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De stille regel</w:t>
      </w:r>
    </w:p>
    <w:p>
      <w:pPr>
        <w:spacing w:after="240"/>
      </w:pPr>
      <w:r>
        <w:rPr>
          <w:color w:val="4A5568"/>
          <w:sz w:val="22"/>
        </w:rPr>
        <w:t>Meneer Van Dijk zet zijn koffie neer in de lerarenkamer als collega Tessa hem terzijde neemt. "Weet jij dat Smit en die jongen uit 5V iets hebben?" fluistert ze. Van Dijk voelt de grond onder zich wegzakken. Mevrouw Smit, docent Nederlands, gerespecteerd, altijd de eerste om anderen aan te spreken op grensoverschrijdend gedrag. Nu blijkt zij zelf al maanden een relatie te hebben met een zeventienjarige leerling. Het is tegen elke schoolregel, tegen elk machtsverschil dat hij zelf altijd heeft proberen te bewaken. Meldt hij het bij de directie, wetend dat dit haar baan kan kosten en de leerling in de schijnwerpers zet? Of wacht hij, in de hoop dat zij er zelf een einde aan maakt? Van Dijk legt zijn hand op de deurklink van het directiekantoor. Doet hij de deur open?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