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ONDERZOEKSINTEGRITEIT</w:t>
      </w:r>
    </w:p>
    <w:p>
      <w:r>
        <w:rPr>
          <w:b/>
          <w:color w:val="993556"/>
        </w:rPr>
        <w:t>★★☆ Meso — organisatorisch dilemma</w:t>
      </w:r>
    </w:p>
    <w:p>
      <w:r>
        <w:rPr>
          <w:b/>
          <w:sz w:val="32"/>
        </w:rPr>
        <w:t>De volgorde van de namen</w:t>
      </w:r>
    </w:p>
    <w:p>
      <w:pPr>
        <w:spacing w:after="240"/>
      </w:pPr>
      <w:r>
        <w:t>Lotte heeft veertien maanden aan dit artikel gewerkt — elk experiment, elke tabel, elke late avond waarin ze de discussiesectie herschreef. Haar promotor, professor Dekker, leest de definitieve versie in stilte en schuift het dan over het bureau terug. "Zet mijn naam eerst," zegt hij, zonder op te kijken. "Zo werkt het hier." Ze kent de normen: senior authorship betekent prestige, haalt de volgende subsidie binnen, houdt haar contractverlenging op zijn bureau in plaats van op dat van iemand anders. Haar naam zou nog wel verschijnen — derde, misschien vierde, begraven waar sollicitatiecommissies zelden kijken. Ze denkt aan de data die ze alleen in het weekend verzamelde, aan resultaten die onmiskenbaar van haar zijn. Weigeren kan haar de postdoc kosten die ze nodig heeft. Tekenen kan haar het enige kosten dat ze echt bezit. Ze opent de auteurslijst en zweeft boven de eerste regel. Wat doet ze?</w:t>
      </w:r>
    </w:p>
    <w:p>
      <w:r>
        <w:rPr>
          <w:b/>
        </w:rPr>
        <w:t>Wat zou jij doen en waarom?</w:t>
      </w:r>
    </w:p>
    <w:p>
      <w:r>
        <w:rPr>
          <w:b/>
        </w:rPr>
        <w:t>Welke waarden zijn hier in het spel?</w:t>
      </w:r>
    </w:p>
    <w:p>
      <w:r>
        <w:rPr>
          <w:i/>
          <w:color w:val="5F5E5A"/>
          <w:sz w:val="16"/>
        </w:rPr>
        <w:t>Driedeling micro/meso/macro: werkdefinitie Lectoraat Ethisch Werken, geïnspireerd op Meijer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