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FCB77" w:sz="24"/>
              <w:right w:val="none" w:color="FFFFFF" w:sz="0"/>
            </w:tcBorders>
            <w:shd w:fill="227C9D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MW03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vertrouwelijke melding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FCB77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moreel probleem in de HR-praktijk helder formuleren.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feiten scheiden van aannames.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waarden van betrokkenen benoemen en een besluit onderbouwen.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wens van de melder af tegen de meldprocedure en de cultuur van het bedrijf, met meerdere betrokkenen.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meldprocedure en de cultuur in het bedrijf.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manager, team, HR en organisatieregels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wetgeving over ongewenst gedrag speelt op de achtergrond, maar de kern is de omgang binnen de organisatie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Groepen van 4–10. Neem 60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let op de scheiding tussen feiten en aannames in blok B. De methode komt uit de zorg; help studenten de vertaalslag naar HRM te maken.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vier blokken zijn in eigen woorden vertaald naar HRM (Steinkamp &amp; Gordijn, 2003). De originele vragenlijst is niet letterlijk overgenomen.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slaan blok B over en gaan direct naar waarden.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Waarden blijven algemeen (“respect”). Vraag naar wat dat hier concreet betekent.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besluit gaat alleen over de manager. Vraag ook naar wat de melder nodig heeft.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HANDVATTEN PER BLOK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27C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Blok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27C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1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27C9D"/>
                <w:sz w:val="17"/>
                <w:szCs w:val="17"/>
              </w:rPr>
              <w:t xml:space="preserve">A. Probleem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is het dilemma en wie moet erover beslissen?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1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27C9D"/>
                <w:sz w:val="17"/>
                <w:szCs w:val="17"/>
              </w:rPr>
              <w:t xml:space="preserve">B. Feiten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is er gemeld? Wat weten we van de regels? Wat missen we?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1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27C9D"/>
                <w:sz w:val="17"/>
                <w:szCs w:val="17"/>
              </w:rPr>
              <w:t xml:space="preserve">C. Waarden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waarden staan tegenover elkaar? Wie draagt de gevolgen?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1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27C9D"/>
                <w:sz w:val="17"/>
                <w:szCs w:val="17"/>
              </w:rPr>
              <w:t xml:space="preserve">D. Besluit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optie is verdedigbaar? Wat regelen we voor de melder?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(40 min): </w:t>
      </w:r>
      <w:r>
        <w:rPr>
          <w:rFonts w:ascii="Arial" w:cs="Arial" w:eastAsia="Arial" w:hAnsi="Arial"/>
          <w:sz w:val="19"/>
          <w:szCs w:val="19"/>
        </w:rPr>
        <w:t xml:space="preserve">sla blok B over of werk met twee betrokkenen.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document met de vier blokken.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één blok uitwerken en presenteer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Steinkamp, N., &amp; Gordijn, B. (2003). Ethical case deliberation on the ward: A comparison of four methods. Medicine, Health Care and Philosophy, 6(3), 235–246. https://doi.org/10.1023/A:1025928617468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moreel beraad in vier blokken (Steinkamp &amp; Gordijn, 2003; in eigen woorden vertaald naar HRM).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MW03 Docentenversie – De vertrouwelijke melding</dc:title>
  <dc:creator>Moreel Vakmanschap</dc:creator>
  <cp:lastModifiedBy>Un-named</cp:lastModifiedBy>
  <cp:revision>1</cp:revision>
  <dcterms:created xsi:type="dcterms:W3CDTF">2026-09-30T10:35:03.788Z</dcterms:created>
  <dcterms:modified xsi:type="dcterms:W3CDTF">2026-09-30T10:35:03.788Z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