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00"/>
        <w:gridCol w:w="2606"/>
      </w:tblGrid>
      <w:tr>
        <w:tc>
          <w:tcPr>
            <w:tcW w:type="dxa" w:w="7300"/>
            <w:tcBorders>
              <w:top w:val="none" w:color="FFFFFF" w:sz="0"/>
              <w:left w:val="none" w:color="FFFFFF" w:sz="0"/>
              <w:bottom w:val="single" w:color="C9ADA7" w:sz="24"/>
              <w:right w:val="none" w:color="FFFFFF" w:sz="0"/>
            </w:tcBorders>
            <w:shd w:fill="4A4E69" w:color="auto" w:val="clear"/>
            <w:tcMar>
              <w:top w:type="dxa" w:w="140"/>
              <w:left w:type="dxa" w:w="220"/>
              <w:bottom w:type="dxa" w:w="140"/>
              <w:right w:type="dxa" w:w="12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3C98B"/>
                <w:spacing w:val="30"/>
                <w:sz w:val="16"/>
                <w:szCs w:val="16"/>
              </w:rPr>
              <w:t xml:space="preserve">DOCENTENVERSIE · MW21</w:t>
            </w:r>
          </w:p>
          <w:p>
            <w:pPr>
              <w:spacing w:after="40" w:line="25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Salarissen op tafel?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DDE6F0"/>
                <w:sz w:val="19"/>
                <w:szCs w:val="19"/>
              </w:rPr>
              <w:t xml:space="preserve">HBO · HRM · Nederlands · bij de studentenversie van 2 pagina’s</w:t>
            </w:r>
          </w:p>
        </w:tc>
        <w:tc>
          <w:tcPr>
            <w:tcW w:type="dxa" w:w="2606"/>
            <w:tcBorders>
              <w:top w:val="none" w:color="FFFFFF" w:sz="0"/>
              <w:left w:val="none" w:color="FFFFFF" w:sz="0"/>
              <w:bottom w:val="single" w:color="C9ADA7" w:sz="24"/>
              <w:right w:val="none" w:color="FFFFFF" w:sz="0"/>
            </w:tcBorders>
            <w:shd w:fill="993556" w:color="auto" w:val="clear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color w:val="F5D9E2"/>
                <w:spacing w:val="30"/>
                <w:sz w:val="14"/>
                <w:szCs w:val="14"/>
              </w:rPr>
              <w:t xml:space="preserve">COMPLEXITEIT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MESO ★★☆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LEERUITKOMSTEN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argumenten voor en tegen een HR-beleidskeuze uitwerken en verdedigen.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het standpunt van de ander zo sterk mogelijk weergeven. (Wegen)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De student kan een gezamenlijk, onderbouwd advies formuleren. (Wegen)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COMPLEXITEIT: WAAROM MESO?</w:t>
      </w:r>
    </w:p>
    <w:p>
      <w:pPr>
        <w:spacing w:after="50" w:line="264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Meso: de HR-adviseur weegt eerlijkheid en transparantie af tegen onderlinge verhoudingen en de cultuur binnen het bedrijf.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Toets: </w:t>
      </w:r>
      <w:r>
        <w:rPr>
          <w:rFonts w:ascii="Arial" w:cs="Arial" w:eastAsia="Arial" w:hAnsi="Arial"/>
          <w:sz w:val="19"/>
          <w:szCs w:val="19"/>
        </w:rPr>
        <w:t xml:space="preserve">“Wie of wat zou er moeten veranderen om dit dilemma te laten verdwijnen?” Antwoord: de manier waarop het bedrijf omgaat met loonverschillen. Dat is Meso.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Micro: </w:t>
      </w:r>
      <w:r>
        <w:rPr>
          <w:rFonts w:ascii="Arial" w:cs="Arial" w:eastAsia="Arial" w:hAnsi="Arial"/>
          <w:sz w:val="19"/>
          <w:szCs w:val="19"/>
        </w:rPr>
        <w:t xml:space="preserve">directie, managers en medewerkers spelen een wezenlijke rol (beslisregel 2).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Niet Macro: </w:t>
      </w:r>
      <w:r>
        <w:rPr>
          <w:rFonts w:ascii="Arial" w:cs="Arial" w:eastAsia="Arial" w:hAnsi="Arial"/>
          <w:sz w:val="19"/>
          <w:szCs w:val="19"/>
        </w:rPr>
        <w:t xml:space="preserve">Europese regels over loontransparantie spelen op de achtergrond, maar de kern is het beleid van dit bedrijf (beslisregel 3).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VOORBEREIDING EN VERLOOP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Materiaal: </w:t>
      </w:r>
      <w:r>
        <w:rPr>
          <w:rFonts w:ascii="Arial" w:cs="Arial" w:eastAsia="Arial" w:hAnsi="Arial"/>
          <w:sz w:val="19"/>
          <w:szCs w:val="19"/>
        </w:rPr>
        <w:t xml:space="preserve">studentenversie dubbelzijdig geprint, pennen, timer. Viertallen, verdeeld in twee duo’s. Neem 60 minuten.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Rol van de begeleider: </w:t>
      </w:r>
      <w:r>
        <w:rPr>
          <w:rFonts w:ascii="Arial" w:cs="Arial" w:eastAsia="Arial" w:hAnsi="Arial"/>
          <w:sz w:val="19"/>
          <w:szCs w:val="19"/>
        </w:rPr>
        <w:t xml:space="preserve">bewaak de wisseling van kant in ronde 3; die is de kern van de methode. Vraag in ronde 4 om een advies, geen compromis.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Afsluiten: </w:t>
      </w:r>
      <w:r>
        <w:rPr>
          <w:rFonts w:ascii="Arial" w:cs="Arial" w:eastAsia="Arial" w:hAnsi="Arial"/>
          <w:sz w:val="19"/>
          <w:szCs w:val="19"/>
        </w:rPr>
        <w:t xml:space="preserve">laat een paar viertallen hun advies presenteren en vergelijk.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VALKUILEN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Studenten houden hun eigen kant vast in ronde 3. Herinner ze dat ze de ander recht moeten doen.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Ronde 4 wordt een gemiddelde. Vraag naar de reden achter het advies.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sz w:val="19"/>
          <w:szCs w:val="19"/>
        </w:rPr>
        <w:t xml:space="preserve">Een duo is het eens met de andere kant. Laat ze toch het sterkste argument van hun eigen kant noteren.</w:t>
      </w:r>
    </w:p>
    <w:p>
      <w:pPr>
        <w:keepNext/>
        <w:pageBreakBefore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MOGELIJKE ARGUMENTEN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906"/>
      </w:tblGrid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A4E6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Kant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4A4E6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FFFFFF"/>
                <w:sz w:val="17"/>
                <w:szCs w:val="17"/>
              </w:rPr>
              <w:t xml:space="preserve">Voorbeeldargumenten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Voor openheid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Vertrouwen en eerlijkheid; loonverschillen tussen mannen en vrouwen worden zichtbaar; minder gissen en geruchten.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Tegen openheid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Privacy van medewerkers; onderlinge vergelijking en jaloezie; druk op managers om alles uit te leggen.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Mogelijk advies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Alleen salarisbanden per functie openbaar; individuele salarissen niet; een vast bezwaarmoment.</w:t>
            </w:r>
          </w:p>
        </w:tc>
      </w:tr>
      <w:tr>
        <w:tc>
          <w:tcPr>
            <w:tcW w:type="dxa" w:w="30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D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b/>
                <w:bCs/>
                <w:color w:val="4A4E69"/>
                <w:sz w:val="17"/>
                <w:szCs w:val="17"/>
              </w:rPr>
              <w:t xml:space="preserve">Vraag voor de nabespreking</w:t>
            </w:r>
          </w:p>
        </w:tc>
        <w:tc>
          <w:tcPr>
            <w:tcW w:type="dxa" w:w="6906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20" w:line="232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Wat moet er eerst geregeld zijn voordat openheid werkt?</w:t>
            </w:r>
          </w:p>
        </w:tc>
      </w:tr>
    </w:tbl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VARIATIES EN DIFFERENTIATIE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Korter (45 min): </w:t>
      </w:r>
      <w:r>
        <w:rPr>
          <w:rFonts w:ascii="Arial" w:cs="Arial" w:eastAsia="Arial" w:hAnsi="Arial"/>
          <w:sz w:val="19"/>
          <w:szCs w:val="19"/>
        </w:rPr>
        <w:t xml:space="preserve">sla ronde 2 over.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Online: </w:t>
      </w:r>
      <w:r>
        <w:rPr>
          <w:rFonts w:ascii="Arial" w:cs="Arial" w:eastAsia="Arial" w:hAnsi="Arial"/>
          <w:sz w:val="19"/>
          <w:szCs w:val="19"/>
        </w:rPr>
        <w:t xml:space="preserve">gebruik breakoutrooms voor de duo’s en een gedeeld document voor ronde 4.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Grote groep: </w:t>
      </w:r>
      <w:r>
        <w:rPr>
          <w:rFonts w:ascii="Arial" w:cs="Arial" w:eastAsia="Arial" w:hAnsi="Arial"/>
          <w:sz w:val="19"/>
          <w:szCs w:val="19"/>
        </w:rPr>
        <w:t xml:space="preserve">laat meerdere viertallen tegelijk werken en bespreek plenair.</w:t>
      </w:r>
    </w:p>
    <w:p>
      <w:pPr>
        <w:pStyle w:val="ListParagraph"/>
        <w:numPr>
          <w:ilvl w:val="0"/>
          <w:numId w:val="2"/>
        </w:numPr>
        <w:spacing w:after="40" w:line="2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HBO (deze versie): </w:t>
      </w:r>
      <w:r>
        <w:rPr>
          <w:rFonts w:ascii="Arial" w:cs="Arial" w:eastAsia="Arial" w:hAnsi="Arial"/>
          <w:sz w:val="19"/>
          <w:szCs w:val="19"/>
        </w:rPr>
        <w:t xml:space="preserve">minstens twee ethische perspectieven en een onderbouwde keuze. Voor MBO: B1-taal en één vraag per stap. Voor WO: theorieën expliciet benoemen en bekritiseren.</w:t>
      </w:r>
    </w:p>
    <w:p>
      <w:pPr>
        <w:keepNext/>
        <w:pBdr>
          <w:bottom w:val="single" w:color="5B2D8E" w:sz="8" w:space="2"/>
        </w:pBdr>
        <w:spacing w:after="90" w:before="200"/>
      </w:pPr>
      <w:r>
        <w:rPr>
          <w:rFonts w:ascii="Arial" w:cs="Arial" w:eastAsia="Arial" w:hAnsi="Arial"/>
          <w:b/>
          <w:bCs/>
          <w:color w:val="5B2D8E"/>
          <w:spacing w:val="30"/>
          <w:sz w:val="20"/>
          <w:szCs w:val="20"/>
        </w:rPr>
        <w:t xml:space="preserve">BRONNEN (APA 7)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Creative Commons. (z.d.). About CC licenses. https://creativecommons.org/share-your-work/cclicenses/</w:t>
      </w:r>
    </w:p>
    <w:p>
      <w:pPr>
        <w:spacing w:after="40" w:line="240"/>
        <w:ind w:left="360" w:hanging="360"/>
      </w:pPr>
      <w:r>
        <w:rPr>
          <w:rFonts w:ascii="Arial" w:cs="Arial" w:eastAsia="Arial" w:hAnsi="Arial"/>
          <w:color w:val="333333"/>
          <w:sz w:val="16"/>
          <w:szCs w:val="16"/>
        </w:rPr>
        <w:t xml:space="preserve">Johnson, D. W., &amp; Johnson, R. T. (1993). Creative and critical thinking through academic controversy. American Behavioral Scientist, 37(1), 40–53. https://doi.org/10.1177/0002764293037001005</w:t>
      </w:r>
    </w:p>
    <w:p>
      <w:pPr>
        <w:spacing w:after="0" w:before="40"/>
      </w:pPr>
      <w:r>
        <w:rPr>
          <w:rFonts w:ascii="Arial" w:cs="Arial" w:eastAsia="Arial" w:hAnsi="Arial"/>
          <w:i/>
          <w:iCs/>
          <w:color w:val="5F5E5A"/>
          <w:sz w:val="15"/>
          <w:szCs w:val="15"/>
        </w:rPr>
        <w:t xml:space="preserve">Complexiteit bepaald met de driedeling micro – meso – macro. De driedeling micro – meso – macro is een werkdefinitie van het Lectoraat Ethisch Werken (Fontys), geïnspireerd op het werk van Kim Meijer (2023).</w:t>
      </w:r>
    </w:p>
    <w:sectPr>
      <w:headerReference w:type="default" r:id="rId7"/>
      <w:footerReference w:type="default" r:id="rId8"/>
      <w:pgSz w:w="11906" w:h="16838" w:orient="portrait"/>
      <w:pgMar w:top="1250" w:right="1000" w:bottom="900" w:left="1000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C5CC" w:sz="4" w:space="4"/>
      </w:pBdr>
      <w:spacing w:before="60"/>
    </w:pPr>
    <w:r>
      <w:rPr>
        <w:rFonts w:ascii="Arial" w:cs="Arial" w:eastAsia="Arial" w:hAnsi="Arial"/>
        <w:i/>
        <w:iCs/>
        <w:color w:val="5F5E5A"/>
        <w:sz w:val="14"/>
        <w:szCs w:val="14"/>
      </w:rPr>
      <w:t xml:space="preserve">Werkvorm gebaseerd op: gestructureerde academische controverse (Johnson &amp; Johnson, 1993). Uitwerking en casus: Moreel Vakmanschap, moreelvakmanschap.nl. Licentie: CC BY-SA 4.0 – https://creativecommons.org/licenses/by-sa/4.0/deed.nl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906"/>
      </w:tabs>
      <w:spacing w:after="60"/>
    </w:pPr>
    <w:r>
      <w:rPr>
        <w:rFonts w:ascii="Arial" w:cs="Arial" w:eastAsia="Arial" w:hAnsi="Arial"/>
        <w:b/>
        <w:bCs/>
        <w:color w:val="5F5E5A"/>
        <w:spacing w:val="20"/>
        <w:sz w:val="15"/>
        <w:szCs w:val="15"/>
      </w:rPr>
      <w:t xml:space="preserve">MOREEL VAKMANSCHAP · LECTORAAT ETHISCH WERKEN · DOCENTENVERSIE</w:t>
    </w:r>
    <w:r>
      <w:rPr>
        <w:rFonts w:ascii="Arial" w:cs="Arial" w:eastAsia="Arial" w:hAnsi="Arial"/>
      </w:rPr>
      <w:tab/>
    </w:r>
    <w:r>
      <w:drawing>
        <wp:inline distT="0" distB="0" distL="0" distR="0">
          <wp:extent cx="838200" cy="476250"/>
          <wp:effectExtent t="0" r="0" b="0" l="0"/>
          <wp:docPr id="1" name="logo" descr="Fontys logo" title="Fonty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38200" cy="4762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400"/>
      </w:pPr>
      <w:rPr>
        <w:rFonts w:ascii="Arial" w:cs="Arial" w:eastAsia="Arial" w:hAnsi="Arial"/>
        <w:b/>
        <w:bCs/>
        <w:color w:val="5B2D8E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rFonts w:ascii="Arial" w:cs="Arial" w:eastAsia="Arial" w:hAnsi="Arial"/>
        <w:color w:val="5B2D8E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0743bdfa2aebd701f32a08f734a4287c2ee9c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MW21 Docentenversie – Salarissen op tafel?</dc:title>
  <dc:creator>Moreel Vakmanschap</dc:creator>
  <cp:lastModifiedBy>Un-named</cp:lastModifiedBy>
  <cp:revision>1</cp:revision>
  <dcterms:created xsi:type="dcterms:W3CDTF">2026-09-30T08:50:15.163Z</dcterms:created>
  <dcterms:modified xsi:type="dcterms:W3CDTF">2026-09-30T08:50:15.163Z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