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Did I really see this clearly?</w:t>
      </w:r>
    </w:p>
    <w:p>
      <w:pPr>
        <w:spacing w:after="240"/>
      </w:pPr>
      <w:r>
        <w:rPr>
          <w:i/>
          <w:iCs/>
          <w:color w:val="5f5e5a"/>
          <w:sz w:val="20"/>
          <w:szCs w:val="20"/>
        </w:rPr>
        <w:t xml:space="preserve">MV_19 · Returning within the Model of Moral Craftsmanship · Step 3 — Weighing</w:t>
      </w:r>
    </w:p>
    <w:p>
      <w:pPr>
        <w:spacing w:after="200"/>
      </w:pPr>
      <w:r>
        <w:t xml:space="preserve">Moral craftsmanship is not a straight line. Along the way, you doubt. You ask yourself whether you really saw something clearly, whether your feeling is accurate, whether you weighed things too quickly. That doubt is not a malfunction in the process — it is where the practice lives.</w:t>
      </w:r>
    </w:p>
    <w:p>
      <w:pPr>
        <w:spacing w:after="200"/>
      </w:pPr>
      <w:r>
        <w:t xml:space="preserve">This worksheet helps you recognise that return and take it seriously, rather than walking past it.</w:t>
      </w:r>
    </w:p>
    <w:p>
      <w:pPr>
        <w:pStyle w:val="Heading2"/>
      </w:pPr>
      <w:r>
        <w:t xml:space="preserve">The six feedback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From</w:t>
            </w:r>
          </w:p>
        </w:tc>
        <w:tc>
          <w:tcPr>
            <w:tcW w:type="dxa" w:w="220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To</w:t>
            </w:r>
          </w:p>
        </w:tc>
        <w:tc>
          <w:tcPr>
            <w:tcW w:type="dxa" w:w="4960"/>
            <w:tcBorders>
              <w:top w:val="single" w:color="d3d1c7" w:sz="1"/>
              <w:left w:val="single" w:color="d3d1c7" w:sz="1"/>
              <w:bottom w:val="single" w:color="d3d1c7" w:sz="1"/>
              <w:right w:val="single" w:color="d3d1c7" w:sz="1"/>
            </w:tcBorders>
            <w:shd w:fill="1a2744" w:val="clear"/>
            <w:tcMar>
              <w:top w:type="dxa" w:w="100"/>
              <w:left w:type="dxa" w:w="120"/>
              <w:bottom w:type="dxa" w:w="100"/>
              <w:right w:type="dxa" w:w="120"/>
            </w:tcMar>
          </w:tcPr>
          <w:p>
            <w:r>
              <w:rPr>
                <w:b/>
                <w:bCs/>
                <w:color w:val="FFFFFF"/>
                <w:sz w:val="20"/>
                <w:szCs w:val="20"/>
              </w:rPr>
              <w:t xml:space="preserve">Feedback question</w:t>
            </w:r>
          </w:p>
        </w:tc>
      </w:tr>
      <w:tr>
        <w:tc>
          <w:tcPr>
            <w:tcW w:type="dxa" w:w="2200"/>
            <w:tcBorders>
              <w:top w:val="single" w:color="d3d1c7" w:sz="1"/>
              <w:left w:val="single" w:color="d3d1c7" w:sz="1"/>
              <w:bottom w:val="single" w:color="d3d1c7" w:sz="1"/>
              <w:right w:val="single" w:color="d3d1c7" w:sz="1"/>
            </w:tcBorders>
            <w:shd w:fill="854f0b" w:val="clear"/>
            <w:tcMar>
              <w:top w:type="dxa" w:w="100"/>
              <w:left w:type="dxa" w:w="120"/>
              <w:bottom w:type="dxa" w:w="100"/>
              <w:right w:type="dxa" w:w="120"/>
            </w:tcMar>
          </w:tcPr>
          <w:p>
            <w:r>
              <w:rPr>
                <w:b/>
                <w:bCs/>
                <w:color w:val="FFFFFF"/>
                <w:sz w:val="20"/>
                <w:szCs w:val="20"/>
              </w:rPr>
              <w:t xml:space="preserve">Feeling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Seeing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Did I really see this clearly, or is my feeling already colouring the observation?</w:t>
            </w:r>
          </w:p>
        </w:tc>
      </w:tr>
      <w:tr>
        <w:tc>
          <w:tcPr>
            <w:tcW w:type="dxa" w:w="2200"/>
            <w:tcBorders>
              <w:top w:val="single" w:color="d3d1c7" w:sz="1"/>
              <w:left w:val="single" w:color="d3d1c7" w:sz="1"/>
              <w:bottom w:val="single" w:color="d3d1c7" w:sz="1"/>
              <w:right w:val="single" w:color="d3d1c7" w:sz="1"/>
            </w:tcBorders>
            <w:shd w:fill="993556" w:val="clear"/>
            <w:tcMar>
              <w:top w:type="dxa" w:w="100"/>
              <w:left w:type="dxa" w:w="120"/>
              <w:bottom w:type="dxa" w:w="100"/>
              <w:right w:type="dxa" w:w="120"/>
            </w:tcMar>
          </w:tcPr>
          <w:p>
            <w:r>
              <w:rPr>
                <w:b/>
                <w:bCs/>
                <w:color w:val="FFFFFF"/>
                <w:sz w:val="20"/>
                <w:szCs w:val="20"/>
              </w:rPr>
              <w:t xml:space="preserve">Weighing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Feeling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Is this feeling accurate — is this moral discomfort, or something else (irritation, fatigue)?</w:t>
            </w:r>
          </w:p>
        </w:tc>
      </w:tr>
      <w:tr>
        <w:tc>
          <w:tcPr>
            <w:tcW w:type="dxa" w:w="2200"/>
            <w:tcBorders>
              <w:top w:val="single" w:color="d3d1c7" w:sz="1"/>
              <w:left w:val="single" w:color="d3d1c7" w:sz="1"/>
              <w:bottom w:val="single" w:color="d3d1c7" w:sz="1"/>
              <w:right w:val="single" w:color="d3d1c7" w:sz="1"/>
            </w:tcBorders>
            <w:shd w:fill="993556" w:val="clear"/>
            <w:tcMar>
              <w:top w:type="dxa" w:w="100"/>
              <w:left w:type="dxa" w:w="120"/>
              <w:bottom w:type="dxa" w:w="100"/>
              <w:right w:type="dxa" w:w="120"/>
            </w:tcMar>
          </w:tcPr>
          <w:p>
            <w:r>
              <w:rPr>
                <w:b/>
                <w:bCs/>
                <w:color w:val="FFFFFF"/>
                <w:sz w:val="20"/>
                <w:szCs w:val="20"/>
              </w:rPr>
              <w:t xml:space="preserve">Weighing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Seeing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Do I have all the facts, or am I missing a perspective in my judgment?</w:t>
            </w:r>
          </w:p>
        </w:tc>
      </w:tr>
      <w:tr>
        <w:tc>
          <w:tcPr>
            <w:tcW w:type="dxa" w:w="2200"/>
            <w:tcBorders>
              <w:top w:val="single" w:color="d3d1c7" w:sz="1"/>
              <w:left w:val="single" w:color="d3d1c7" w:sz="1"/>
              <w:bottom w:val="single" w:color="d3d1c7" w:sz="1"/>
              <w:right w:val="single" w:color="d3d1c7" w:sz="1"/>
            </w:tcBorders>
            <w:shd w:fill="0f6e56" w:val="clear"/>
            <w:tcMar>
              <w:top w:type="dxa" w:w="100"/>
              <w:left w:type="dxa" w:w="120"/>
              <w:bottom w:type="dxa" w:w="100"/>
              <w:right w:type="dxa" w:w="120"/>
            </w:tcMar>
          </w:tcPr>
          <w:p>
            <w:r>
              <w:rPr>
                <w:b/>
                <w:bCs/>
                <w:color w:val="FFFFFF"/>
                <w:sz w:val="20"/>
                <w:szCs w:val="20"/>
              </w:rPr>
              <w:t xml:space="preserve">Acting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Weighing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Did I weigh this properly, or did I conclude too quickly?</w:t>
            </w:r>
          </w:p>
        </w:tc>
      </w:tr>
      <w:tr>
        <w:tc>
          <w:tcPr>
            <w:tcW w:type="dxa" w:w="2200"/>
            <w:tcBorders>
              <w:top w:val="single" w:color="d3d1c7" w:sz="1"/>
              <w:left w:val="single" w:color="d3d1c7" w:sz="1"/>
              <w:bottom w:val="single" w:color="d3d1c7" w:sz="1"/>
              <w:right w:val="single" w:color="d3d1c7" w:sz="1"/>
            </w:tcBorders>
            <w:shd w:fill="993c1d" w:val="clear"/>
            <w:tcMar>
              <w:top w:type="dxa" w:w="100"/>
              <w:left w:type="dxa" w:w="120"/>
              <w:bottom w:type="dxa" w:w="100"/>
              <w:right w:type="dxa" w:w="120"/>
            </w:tcMar>
          </w:tcPr>
          <w:p>
            <w:r>
              <w:rPr>
                <w:b/>
                <w:bCs/>
                <w:color w:val="FFFFFF"/>
                <w:sz w:val="20"/>
                <w:szCs w:val="20"/>
              </w:rPr>
              <w:t xml:space="preserve">Persisting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Acting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Was my action actually fitting, now that the dust has settled?</w:t>
            </w:r>
          </w:p>
        </w:tc>
      </w:tr>
      <w:tr>
        <w:tc>
          <w:tcPr>
            <w:tcW w:type="dxa" w:w="2200"/>
            <w:tcBorders>
              <w:top w:val="single" w:color="d3d1c7" w:sz="1"/>
              <w:left w:val="single" w:color="d3d1c7" w:sz="1"/>
              <w:bottom w:val="single" w:color="d3d1c7" w:sz="1"/>
              <w:right w:val="single" w:color="d3d1c7" w:sz="1"/>
            </w:tcBorders>
            <w:shd w:fill="993c1d" w:val="clear"/>
            <w:tcMar>
              <w:top w:type="dxa" w:w="100"/>
              <w:left w:type="dxa" w:w="120"/>
              <w:bottom w:type="dxa" w:w="100"/>
              <w:right w:type="dxa" w:w="120"/>
            </w:tcMar>
          </w:tcPr>
          <w:p>
            <w:r>
              <w:rPr>
                <w:b/>
                <w:bCs/>
                <w:color w:val="FFFFFF"/>
                <w:sz w:val="20"/>
                <w:szCs w:val="20"/>
              </w:rPr>
              <w:t xml:space="preserve">Persisting</w:t>
            </w:r>
          </w:p>
        </w:tc>
        <w:tc>
          <w:tcPr>
            <w:tcW w:type="dxa" w:w="220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b/>
                <w:bCs/>
                <w:sz w:val="20"/>
                <w:szCs w:val="20"/>
              </w:rPr>
              <w:t xml:space="preserve">Seeing</w:t>
            </w:r>
          </w:p>
        </w:tc>
        <w:tc>
          <w:tcPr>
            <w:tcW w:type="dxa" w:w="4960"/>
            <w:tcBorders>
              <w:top w:val="single" w:color="d3d1c7" w:sz="1"/>
              <w:left w:val="single" w:color="d3d1c7" w:sz="1"/>
              <w:bottom w:val="single" w:color="d3d1c7" w:sz="1"/>
              <w:right w:val="single" w:color="d3d1c7" w:sz="1"/>
            </w:tcBorders>
            <w:tcMar>
              <w:top w:type="dxa" w:w="100"/>
              <w:left w:type="dxa" w:w="120"/>
              <w:bottom w:type="dxa" w:w="100"/>
              <w:right w:type="dxa" w:w="120"/>
            </w:tcMar>
          </w:tcPr>
          <w:p>
            <w:r>
              <w:rPr>
                <w:i/>
                <w:iCs/>
                <w:sz w:val="20"/>
                <w:szCs w:val="20"/>
              </w:rPr>
              <w:t xml:space="preserve">Do I see it differently now than at the start?</w:t>
            </w:r>
          </w:p>
        </w:tc>
      </w:tr>
    </w:tbl>
    <w:p>
      <w:pPr>
        <w:pStyle w:val="Heading2"/>
        <w:spacing w:after="200" w:before="320"/>
      </w:pPr>
      <w:r>
        <w:t xml:space="preserve">For yourself — reflection</w:t>
      </w:r>
    </w:p>
    <w:p>
      <w:pPr>
        <w:pStyle w:val="ListParagraph"/>
        <w:numPr>
          <w:ilvl w:val="0"/>
          <w:numId w:val="2"/>
        </w:numPr>
        <w:spacing w:after="80"/>
      </w:pPr>
      <w:r>
        <w:t xml:space="preserve">At which step in a recent situation did you feel doubt, but kept moving forward anyway?</w:t>
      </w:r>
    </w:p>
    <w:p>
      <w:pPr>
        <w:pStyle w:val="ListParagraph"/>
        <w:numPr>
          <w:ilvl w:val="0"/>
          <w:numId w:val="2"/>
        </w:numPr>
        <w:spacing w:after="80"/>
      </w:pPr>
      <w:r>
        <w:t xml:space="preserve">Which feedback question (see table) could you have asked yourself then?</w:t>
      </w:r>
    </w:p>
    <w:p>
      <w:pPr>
        <w:pStyle w:val="ListParagraph"/>
        <w:numPr>
          <w:ilvl w:val="0"/>
          <w:numId w:val="2"/>
        </w:numPr>
        <w:spacing w:after="80"/>
      </w:pPr>
      <w:r>
        <w:t xml:space="preserve">What changed — in your perception, feeling, or judgment — when you went back?</w:t>
      </w:r>
    </w:p>
    <w:p>
      <w:pPr>
        <w:pStyle w:val="ListParagraph"/>
        <w:numPr>
          <w:ilvl w:val="0"/>
          <w:numId w:val="2"/>
        </w:numPr>
        <w:spacing w:after="200"/>
      </w:pPr>
      <w:r>
        <w:t xml:space="preserve">What makes it difficult to go back, rather than just moving on?</w:t>
      </w:r>
    </w:p>
    <w:p>
      <w:pPr>
        <w:pStyle w:val="Heading2"/>
      </w:pPr>
      <w:r>
        <w:t xml:space="preserve">For use in a group</w:t>
      </w:r>
    </w:p>
    <w:p>
      <w:pPr>
        <w:spacing w:after="160"/>
      </w:pPr>
      <w:r>
        <w:t xml:space="preserve">Split the group into pairs. One person describes a recent moral situation for two minutes — without judgment from the other. The other then asks only one feedback question from the table, chosen by feel. Switch roles.</w:t>
      </w:r>
    </w:p>
    <w:p>
      <w:pPr>
        <w:spacing w:after="200"/>
      </w:pPr>
      <w:r>
        <w:t xml:space="preserve">Close in plenary with an open question (not a summary): “Which feedback question will you ask yourself more often this week?”</w:t>
      </w:r>
    </w:p>
    <w:p>
      <w:pPr>
        <w:pStyle w:val="Heading2"/>
      </w:pPr>
      <w:r>
        <w:t xml:space="preserve">Core statement</w:t>
      </w:r>
    </w:p>
    <w:p>
      <w:pPr>
        <w:spacing w:after="100"/>
      </w:pPr>
      <w:r>
        <w:rPr>
          <w:b/>
          <w:bCs/>
          <w:i/>
          <w:iCs/>
        </w:rPr>
        <w:t xml:space="preserve">Moral craftsmanship also means: daring to go back. That return is not failure — it is where the practice lives.</w:t>
      </w:r>
    </w:p>
    <w:p>
      <w:pPr>
        <w:spacing w:before="300"/>
      </w:pPr>
      <w:r>
        <w:rPr>
          <w:color w:val="5f5e5a"/>
          <w:sz w:val="18"/>
          <w:szCs w:val="18"/>
        </w:rPr>
        <w:t xml:space="preserve">Theoretical foundation: Edgar Karssing (feedback and accountability), Gert Biesta (weak pedagogy, beautiful risk), Aristotle (phronesis as ongoing correction through reflection).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4"/>
        <w:szCs w:val="14"/>
      </w:rPr>
      <w:t xml:space="preserve">© Fontys University of Applied Sciences — Research Group on Ethical Practice — Moral Craftsmanship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MV_19 — Returning within the Model of Moral Craftsmanship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27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ormorant Garamond" w:cs="Cormorant Garamond" w:eastAsia="Cormorant Garamond" w:hAnsi="Cormorant Garamond"/>
      <w:b/>
      <w:bCs/>
      <w:color w:val="1a2744"/>
      <w:sz w:val="40"/>
      <w:szCs w:val="40"/>
    </w:rPr>
  </w:style>
  <w:style w:type="paragraph" w:styleId="Heading2">
    <w:name w:val="Heading 2"/>
    <w:basedOn w:val="Normal"/>
    <w:next w:val="Normal"/>
    <w:qFormat/>
    <w:pPr>
      <w:spacing w:after="160" w:before="300"/>
      <w:outlineLvl w:val="1"/>
    </w:pPr>
    <w:rPr>
      <w:rFonts w:ascii="Cormorant Garamond" w:cs="Cormorant Garamond" w:eastAsia="Cormorant Garamond" w:hAnsi="Cormorant Garamond"/>
      <w:b/>
      <w:bCs/>
      <w:color w:val="9935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2026-06-20T11:12:20.874Z</dcterms:created>
  <dcterms:modified xsi:type="dcterms:W3CDTF">2026-06-20T11:12:20.874Z</dcterms:modified>
</cp:coreProperties>
</file>

<file path=docProps/custom.xml><?xml version="1.0" encoding="utf-8"?>
<Properties xmlns="http://schemas.openxmlformats.org/officeDocument/2006/custom-properties" xmlns:vt="http://schemas.openxmlformats.org/officeDocument/2006/docPropsVTypes"/>
</file>