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Heb ik het wel goed gezien?</w:t>
      </w:r>
    </w:p>
    <w:p>
      <w:pPr>
        <w:spacing w:after="240"/>
      </w:pPr>
      <w:r>
        <w:rPr>
          <w:i/>
          <w:iCs/>
          <w:color w:val="5f5e5a"/>
          <w:sz w:val="20"/>
          <w:szCs w:val="20"/>
        </w:rPr>
        <w:t xml:space="preserve">MV_19 · Terugkeren binnen het Model Moreel Vakmanschap · Stap 3 — Wegen</w:t>
      </w:r>
    </w:p>
    <w:p>
      <w:pPr>
        <w:spacing w:after="200"/>
      </w:pPr>
      <w:r>
        <w:t xml:space="preserve">Moreel vakmanschap is geen rechte lijn. Onderweg twijfel je. Je vraagt je af of je iets wel goed hebt gezien, of je gevoel wel klopt, of je niet te snel hebt gewogen. Die twijfel is geen storing in het proces — het is waar de praktijk zit.</w:t>
      </w:r>
    </w:p>
    <w:p>
      <w:pPr>
        <w:spacing w:after="200"/>
      </w:pPr>
      <w:r>
        <w:t xml:space="preserve">Dit werkblad helpt je die terugkeer te herkennen en serieus te nemen, in plaats van eraan voorbij te lopen.</w:t>
      </w:r>
    </w:p>
    <w:p>
      <w:pPr>
        <w:pStyle w:val="Heading2"/>
      </w:pPr>
      <w:r>
        <w:t xml:space="preserve">De zes terugkoppelmomenten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3d1c7" w:sz="1"/>
              <w:left w:val="single" w:color="d3d1c7" w:sz="1"/>
              <w:bottom w:val="single" w:color="d3d1c7" w:sz="1"/>
              <w:right w:val="single" w:color="d3d1c7" w:sz="1"/>
            </w:tcBorders>
            <w:shd w:fill="1a2744" w:val="clear"/>
            <w:tcMar>
              <w:top w:type="dxa" w:w="100"/>
              <w:left w:type="dxa" w:w="120"/>
              <w:bottom w:type="dxa" w:w="100"/>
              <w:right w:type="dxa" w:w="120"/>
            </w:tcMar>
          </w:tcPr>
          <w:p>
            <w:r>
              <w:rPr>
                <w:b/>
                <w:bCs/>
                <w:color w:val="FFFFFF"/>
                <w:sz w:val="20"/>
                <w:szCs w:val="20"/>
              </w:rPr>
              <w:t xml:space="preserve">Van</w:t>
            </w:r>
          </w:p>
        </w:tc>
        <w:tc>
          <w:tcPr>
            <w:tcW w:type="dxa" w:w="2200"/>
            <w:tcBorders>
              <w:top w:val="single" w:color="d3d1c7" w:sz="1"/>
              <w:left w:val="single" w:color="d3d1c7" w:sz="1"/>
              <w:bottom w:val="single" w:color="d3d1c7" w:sz="1"/>
              <w:right w:val="single" w:color="d3d1c7" w:sz="1"/>
            </w:tcBorders>
            <w:shd w:fill="1a2744" w:val="clear"/>
            <w:tcMar>
              <w:top w:type="dxa" w:w="100"/>
              <w:left w:type="dxa" w:w="120"/>
              <w:bottom w:type="dxa" w:w="100"/>
              <w:right w:type="dxa" w:w="120"/>
            </w:tcMar>
          </w:tcPr>
          <w:p>
            <w:r>
              <w:rPr>
                <w:b/>
                <w:bCs/>
                <w:color w:val="FFFFFF"/>
                <w:sz w:val="20"/>
                <w:szCs w:val="20"/>
              </w:rPr>
              <w:t xml:space="preserve">Naar</w:t>
            </w:r>
          </w:p>
        </w:tc>
        <w:tc>
          <w:tcPr>
            <w:tcW w:type="dxa" w:w="4960"/>
            <w:tcBorders>
              <w:top w:val="single" w:color="d3d1c7" w:sz="1"/>
              <w:left w:val="single" w:color="d3d1c7" w:sz="1"/>
              <w:bottom w:val="single" w:color="d3d1c7" w:sz="1"/>
              <w:right w:val="single" w:color="d3d1c7" w:sz="1"/>
            </w:tcBorders>
            <w:shd w:fill="1a2744" w:val="clear"/>
            <w:tcMar>
              <w:top w:type="dxa" w:w="100"/>
              <w:left w:type="dxa" w:w="120"/>
              <w:bottom w:type="dxa" w:w="100"/>
              <w:right w:type="dxa" w:w="120"/>
            </w:tcMar>
          </w:tcPr>
          <w:p>
            <w:r>
              <w:rPr>
                <w:b/>
                <w:bCs/>
                <w:color w:val="FFFFFF"/>
                <w:sz w:val="20"/>
                <w:szCs w:val="20"/>
              </w:rPr>
              <w:t xml:space="preserve">Terugkoppelvraag</w:t>
            </w:r>
          </w:p>
        </w:tc>
      </w:tr>
      <w:tr>
        <w:tc>
          <w:tcPr>
            <w:tcW w:type="dxa" w:w="2200"/>
            <w:tcBorders>
              <w:top w:val="single" w:color="d3d1c7" w:sz="1"/>
              <w:left w:val="single" w:color="d3d1c7" w:sz="1"/>
              <w:bottom w:val="single" w:color="d3d1c7" w:sz="1"/>
              <w:right w:val="single" w:color="d3d1c7" w:sz="1"/>
            </w:tcBorders>
            <w:shd w:fill="854f0b" w:val="clear"/>
            <w:tcMar>
              <w:top w:type="dxa" w:w="100"/>
              <w:left w:type="dxa" w:w="120"/>
              <w:bottom w:type="dxa" w:w="100"/>
              <w:right w:type="dxa" w:w="120"/>
            </w:tcMar>
          </w:tcPr>
          <w:p>
            <w:r>
              <w:rPr>
                <w:b/>
                <w:bCs/>
                <w:color w:val="FFFFFF"/>
                <w:sz w:val="20"/>
                <w:szCs w:val="20"/>
              </w:rPr>
              <w:t xml:space="preserve">Voelen</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Zien</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Heb ik het wel goed gezien, of kleurt mijn gevoel de waarneming al?</w:t>
            </w:r>
          </w:p>
        </w:tc>
      </w:tr>
      <w:tr>
        <w:tc>
          <w:tcPr>
            <w:tcW w:type="dxa" w:w="2200"/>
            <w:tcBorders>
              <w:top w:val="single" w:color="d3d1c7" w:sz="1"/>
              <w:left w:val="single" w:color="d3d1c7" w:sz="1"/>
              <w:bottom w:val="single" w:color="d3d1c7" w:sz="1"/>
              <w:right w:val="single" w:color="d3d1c7" w:sz="1"/>
            </w:tcBorders>
            <w:shd w:fill="993556" w:val="clear"/>
            <w:tcMar>
              <w:top w:type="dxa" w:w="100"/>
              <w:left w:type="dxa" w:w="120"/>
              <w:bottom w:type="dxa" w:w="100"/>
              <w:right w:type="dxa" w:w="120"/>
            </w:tcMar>
          </w:tcPr>
          <w:p>
            <w:r>
              <w:rPr>
                <w:b/>
                <w:bCs/>
                <w:color w:val="FFFFFF"/>
                <w:sz w:val="20"/>
                <w:szCs w:val="20"/>
              </w:rPr>
              <w:t xml:space="preserve">Wegen</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Voelen</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Klopt mijn gevoel wel — is dit morele onrust, of iets anders (irritatie, moeheid)?</w:t>
            </w:r>
          </w:p>
        </w:tc>
      </w:tr>
      <w:tr>
        <w:tc>
          <w:tcPr>
            <w:tcW w:type="dxa" w:w="2200"/>
            <w:tcBorders>
              <w:top w:val="single" w:color="d3d1c7" w:sz="1"/>
              <w:left w:val="single" w:color="d3d1c7" w:sz="1"/>
              <w:bottom w:val="single" w:color="d3d1c7" w:sz="1"/>
              <w:right w:val="single" w:color="d3d1c7" w:sz="1"/>
            </w:tcBorders>
            <w:shd w:fill="993556" w:val="clear"/>
            <w:tcMar>
              <w:top w:type="dxa" w:w="100"/>
              <w:left w:type="dxa" w:w="120"/>
              <w:bottom w:type="dxa" w:w="100"/>
              <w:right w:type="dxa" w:w="120"/>
            </w:tcMar>
          </w:tcPr>
          <w:p>
            <w:r>
              <w:rPr>
                <w:b/>
                <w:bCs/>
                <w:color w:val="FFFFFF"/>
                <w:sz w:val="20"/>
                <w:szCs w:val="20"/>
              </w:rPr>
              <w:t xml:space="preserve">Wegen</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Zien</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Heb ik wel alle feiten, of mis ik een perspectief in mijn afweging?</w:t>
            </w:r>
          </w:p>
        </w:tc>
      </w:tr>
      <w:tr>
        <w:tc>
          <w:tcPr>
            <w:tcW w:type="dxa" w:w="2200"/>
            <w:tcBorders>
              <w:top w:val="single" w:color="d3d1c7" w:sz="1"/>
              <w:left w:val="single" w:color="d3d1c7" w:sz="1"/>
              <w:bottom w:val="single" w:color="d3d1c7" w:sz="1"/>
              <w:right w:val="single" w:color="d3d1c7" w:sz="1"/>
            </w:tcBorders>
            <w:shd w:fill="0f6e56" w:val="clear"/>
            <w:tcMar>
              <w:top w:type="dxa" w:w="100"/>
              <w:left w:type="dxa" w:w="120"/>
              <w:bottom w:type="dxa" w:w="100"/>
              <w:right w:type="dxa" w:w="120"/>
            </w:tcMar>
          </w:tcPr>
          <w:p>
            <w:r>
              <w:rPr>
                <w:b/>
                <w:bCs/>
                <w:color w:val="FFFFFF"/>
                <w:sz w:val="20"/>
                <w:szCs w:val="20"/>
              </w:rPr>
              <w:t xml:space="preserve">Handelen</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Wegen</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Heb ik dit wel goed afgewogen, of concludeer ik te snel?</w:t>
            </w:r>
          </w:p>
        </w:tc>
      </w:tr>
      <w:tr>
        <w:tc>
          <w:tcPr>
            <w:tcW w:type="dxa" w:w="2200"/>
            <w:tcBorders>
              <w:top w:val="single" w:color="d3d1c7" w:sz="1"/>
              <w:left w:val="single" w:color="d3d1c7" w:sz="1"/>
              <w:bottom w:val="single" w:color="d3d1c7" w:sz="1"/>
              <w:right w:val="single" w:color="d3d1c7" w:sz="1"/>
            </w:tcBorders>
            <w:shd w:fill="993c1d" w:val="clear"/>
            <w:tcMar>
              <w:top w:type="dxa" w:w="100"/>
              <w:left w:type="dxa" w:w="120"/>
              <w:bottom w:type="dxa" w:w="100"/>
              <w:right w:type="dxa" w:w="120"/>
            </w:tcMar>
          </w:tcPr>
          <w:p>
            <w:r>
              <w:rPr>
                <w:b/>
                <w:bCs/>
                <w:color w:val="FFFFFF"/>
                <w:sz w:val="20"/>
                <w:szCs w:val="20"/>
              </w:rPr>
              <w:t xml:space="preserve">Volhouden</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Handelen</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Was mijn handelen wel passend, nu het stof is neergedaald?</w:t>
            </w:r>
          </w:p>
        </w:tc>
      </w:tr>
      <w:tr>
        <w:tc>
          <w:tcPr>
            <w:tcW w:type="dxa" w:w="2200"/>
            <w:tcBorders>
              <w:top w:val="single" w:color="d3d1c7" w:sz="1"/>
              <w:left w:val="single" w:color="d3d1c7" w:sz="1"/>
              <w:bottom w:val="single" w:color="d3d1c7" w:sz="1"/>
              <w:right w:val="single" w:color="d3d1c7" w:sz="1"/>
            </w:tcBorders>
            <w:shd w:fill="993c1d" w:val="clear"/>
            <w:tcMar>
              <w:top w:type="dxa" w:w="100"/>
              <w:left w:type="dxa" w:w="120"/>
              <w:bottom w:type="dxa" w:w="100"/>
              <w:right w:type="dxa" w:w="120"/>
            </w:tcMar>
          </w:tcPr>
          <w:p>
            <w:r>
              <w:rPr>
                <w:b/>
                <w:bCs/>
                <w:color w:val="FFFFFF"/>
                <w:sz w:val="20"/>
                <w:szCs w:val="20"/>
              </w:rPr>
              <w:t xml:space="preserve">Volhouden</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Zien</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Zie ik het nu anders dan aan het begin?</w:t>
            </w:r>
          </w:p>
        </w:tc>
      </w:tr>
    </w:tbl>
    <w:p>
      <w:pPr>
        <w:pStyle w:val="Heading2"/>
        <w:spacing w:after="200" w:before="320"/>
      </w:pPr>
      <w:r>
        <w:t xml:space="preserve">Voor jezelf — reflectie</w:t>
      </w:r>
    </w:p>
    <w:p>
      <w:pPr>
        <w:pStyle w:val="ListParagraph"/>
        <w:numPr>
          <w:ilvl w:val="0"/>
          <w:numId w:val="2"/>
        </w:numPr>
        <w:spacing w:after="80"/>
      </w:pPr>
      <w:r>
        <w:t xml:space="preserve">Bij welke stap in een recente situatie voelde je twijfel, maar liep je toch door?</w:t>
      </w:r>
    </w:p>
    <w:p>
      <w:pPr>
        <w:pStyle w:val="ListParagraph"/>
        <w:numPr>
          <w:ilvl w:val="0"/>
          <w:numId w:val="2"/>
        </w:numPr>
        <w:spacing w:after="80"/>
      </w:pPr>
      <w:r>
        <w:t xml:space="preserve">Welke terugkoppelvraag (zie tabel) had je toen kunnen stellen?</w:t>
      </w:r>
    </w:p>
    <w:p>
      <w:pPr>
        <w:pStyle w:val="ListParagraph"/>
        <w:numPr>
          <w:ilvl w:val="0"/>
          <w:numId w:val="2"/>
        </w:numPr>
        <w:spacing w:after="80"/>
      </w:pPr>
      <w:r>
        <w:t xml:space="preserve">Wat veranderde er — in je waarneming, gevoel of afweging — toen je terugkeerde?</w:t>
      </w:r>
    </w:p>
    <w:p>
      <w:pPr>
        <w:pStyle w:val="ListParagraph"/>
        <w:numPr>
          <w:ilvl w:val="0"/>
          <w:numId w:val="2"/>
        </w:numPr>
        <w:spacing w:after="200"/>
      </w:pPr>
      <w:r>
        <w:t xml:space="preserve">Wat maakt het moeilijk om terug te keren, in plaats van door te lopen?</w:t>
      </w:r>
    </w:p>
    <w:p>
      <w:pPr>
        <w:pStyle w:val="Heading2"/>
      </w:pPr>
      <w:r>
        <w:t xml:space="preserve">Voor gebruik in een groep</w:t>
      </w:r>
    </w:p>
    <w:p>
      <w:pPr>
        <w:spacing w:after="160"/>
      </w:pPr>
      <w:r>
        <w:t xml:space="preserve">Verdeel de groep in tweetallen. Eén persoon beschrijft een recente morele situatie in twee minuten — zonder oordeel van de ander. De ander stelt daarna alleen één terugkoppelvraag uit de tabel, gekozen op gevoel. Wissel van rol.</w:t>
      </w:r>
    </w:p>
    <w:p>
      <w:pPr>
        <w:spacing w:after="200"/>
      </w:pPr>
      <w:r>
        <w:t xml:space="preserve">Sluit plenair af met een open vraag (geen samenvatting): “Welke terugkoppelvraag stel je jezelf de komende week vaker?”</w:t>
      </w:r>
    </w:p>
    <w:p>
      <w:pPr>
        <w:pStyle w:val="Heading2"/>
      </w:pPr>
      <w:r>
        <w:t xml:space="preserve">Kernzin</w:t>
      </w:r>
    </w:p>
    <w:p>
      <w:pPr>
        <w:spacing w:after="100"/>
      </w:pPr>
      <w:r>
        <w:rPr>
          <w:b/>
          <w:bCs/>
          <w:i/>
          <w:iCs/>
        </w:rPr>
        <w:t xml:space="preserve">Moreel vakmanschap betekent ook: durven terugkeren. Die terugkeer is geen falen — het is waar de praktijk zit.</w:t>
      </w:r>
    </w:p>
    <w:p>
      <w:pPr>
        <w:spacing w:before="300"/>
      </w:pPr>
      <w:r>
        <w:rPr>
          <w:color w:val="5f5e5a"/>
          <w:sz w:val="18"/>
          <w:szCs w:val="18"/>
        </w:rPr>
        <w:t xml:space="preserve">Theoretische basis: Edgar Karssing (terugkoppelen en verantwoorden), Gert Biesta (zwakke pedagogiek, beautiful risk), Aristoteles (phronesis als voortdurende correctie door reflectie).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4"/>
        <w:szCs w:val="14"/>
      </w:rPr>
      <w:t xml:space="preserve">© Fontys University of Applied Sciences — Research Group on Ethical Practice — Moral Craftsmanship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MV_19 — Terugkeren binnen het Model Moreel Vakmanschap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27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ormorant Garamond" w:cs="Cormorant Garamond" w:eastAsia="Cormorant Garamond" w:hAnsi="Cormorant Garamond"/>
      <w:b/>
      <w:bCs/>
      <w:color w:val="1a2744"/>
      <w:sz w:val="40"/>
      <w:szCs w:val="40"/>
    </w:rPr>
  </w:style>
  <w:style w:type="paragraph" w:styleId="Heading2">
    <w:name w:val="Heading 2"/>
    <w:basedOn w:val="Normal"/>
    <w:next w:val="Normal"/>
    <w:qFormat/>
    <w:pPr>
      <w:spacing w:after="160" w:before="300"/>
      <w:outlineLvl w:val="1"/>
    </w:pPr>
    <w:rPr>
      <w:rFonts w:ascii="Cormorant Garamond" w:cs="Cormorant Garamond" w:eastAsia="Cormorant Garamond" w:hAnsi="Cormorant Garamond"/>
      <w:b/>
      <w:bCs/>
      <w:color w:val="9935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2026-06-20T11:11:49.052Z</dcterms:created>
  <dcterms:modified xsi:type="dcterms:W3CDTF">2026-06-20T11:11:49.052Z</dcterms:modified>
</cp:coreProperties>
</file>

<file path=docProps/custom.xml><?xml version="1.0" encoding="utf-8"?>
<Properties xmlns="http://schemas.openxmlformats.org/officeDocument/2006/custom-properties" xmlns:vt="http://schemas.openxmlformats.org/officeDocument/2006/docPropsVTypes"/>
</file>