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Fonts w:ascii="Montserrat" w:cs="Montserrat" w:eastAsia="Montserrat" w:hAnsi="Montserrat"/>
          <w:b w:val="1"/>
          <w:bCs w:val="1"/>
          <w:sz w:val="30"/>
          <w:szCs w:val="30"/>
          <w:rtl w:val="0"/>
        </w:rPr>
        <w:t xml:space="preserve">Introductie van Concept</w:t>
        <w:br w:type="textWrapping"/>
      </w:r>
      <w:r w:rsidDel="00000000" w:rsidR="00000000" w:rsidRPr="00000000">
        <w:rPr>
          <w:rtl w:val="0"/>
        </w:rPr>
        <w:br w:type="textWrapping"/>
        <w:t xml:space="preserve">Voor mijn project portfolio website heb ik gekozen voor een unieke vormgeving en dat is een soort manga-style portfolio. Op dit platform worden mijn gemaakte schoolprojecten gepresenteerd. </w:t>
        <w:br w:type="textWrapping"/>
        <w:br w:type="textWrapping"/>
        <w:br w:type="textWrapping"/>
      </w:r>
    </w:p>
    <w:p w:rsidR="00000000" w:rsidDel="00000000" w:rsidP="00000000" w:rsidRDefault="00000000" w:rsidRPr="00000000" w14:paraId="00000003">
      <w:pPr>
        <w:ind w:left="0" w:firstLine="0"/>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sz w:val="30"/>
          <w:szCs w:val="30"/>
          <w:rtl w:val="0"/>
        </w:rPr>
        <w:t xml:space="preserve">Kleurenpalet</w:t>
      </w:r>
    </w:p>
    <w:tbl>
      <w:tblPr>
        <w:tblStyle w:val="Table1"/>
        <w:tblpPr w:leftFromText="180" w:rightFromText="180" w:topFromText="180" w:bottomFromText="180" w:vertAnchor="text" w:horzAnchor="text" w:tblpX="-900" w:tblpY="107.97119140625057"/>
        <w:tblW w:w="11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600"/>
        <w:gridCol w:w="2400"/>
        <w:gridCol w:w="5000"/>
        <w:tblGridChange w:id="0">
          <w:tblGrid>
            <w:gridCol w:w="2000"/>
            <w:gridCol w:w="1600"/>
            <w:gridCol w:w="2400"/>
            <w:gridCol w:w="5000"/>
          </w:tblGrid>
        </w:tblGridChange>
      </w:tblGrid>
      <w:tr>
        <w:trPr>
          <w:cantSplit w:val="0"/>
          <w:tblHeader w:val="1"/>
        </w:trPr>
        <w:tc>
          <w:tcPr/>
          <w:p w:rsidR="00000000" w:rsidDel="00000000" w:rsidP="00000000" w:rsidRDefault="00000000" w:rsidRPr="00000000" w14:paraId="00000004">
            <w:pPr>
              <w:rPr/>
            </w:pPr>
            <w:r w:rsidDel="00000000" w:rsidR="00000000" w:rsidRPr="00000000">
              <w:rPr>
                <w:b w:val="1"/>
                <w:bCs w:val="1"/>
                <w:rtl w:val="0"/>
              </w:rPr>
              <w:t xml:space="preserve">Rol</w:t>
            </w:r>
            <w:r w:rsidDel="00000000" w:rsidR="00000000" w:rsidRPr="00000000">
              <w:rPr>
                <w:rtl w:val="0"/>
              </w:rPr>
            </w:r>
          </w:p>
        </w:tc>
        <w:tc>
          <w:tcPr/>
          <w:p w:rsidR="00000000" w:rsidDel="00000000" w:rsidP="00000000" w:rsidRDefault="00000000" w:rsidRPr="00000000" w14:paraId="00000005">
            <w:pPr>
              <w:rPr/>
            </w:pPr>
            <w:r w:rsidDel="00000000" w:rsidR="00000000" w:rsidRPr="00000000">
              <w:rPr>
                <w:b w:val="1"/>
                <w:bCs w:val="1"/>
                <w:rtl w:val="0"/>
              </w:rPr>
              <w:t xml:space="preserve">Hex-Code</w:t>
            </w:r>
            <w:r w:rsidDel="00000000" w:rsidR="00000000" w:rsidRPr="00000000">
              <w:rPr>
                <w:rtl w:val="0"/>
              </w:rPr>
            </w:r>
          </w:p>
        </w:tc>
        <w:tc>
          <w:tcPr/>
          <w:p w:rsidR="00000000" w:rsidDel="00000000" w:rsidP="00000000" w:rsidRDefault="00000000" w:rsidRPr="00000000" w14:paraId="00000006">
            <w:pPr>
              <w:rPr/>
            </w:pPr>
            <w:r w:rsidDel="00000000" w:rsidR="00000000" w:rsidRPr="00000000">
              <w:rPr>
                <w:b w:val="1"/>
                <w:bCs w:val="1"/>
                <w:rtl w:val="0"/>
              </w:rPr>
              <w:t xml:space="preserve">RGB-Waarde</w:t>
            </w:r>
            <w:r w:rsidDel="00000000" w:rsidR="00000000" w:rsidRPr="00000000">
              <w:rPr>
                <w:rtl w:val="0"/>
              </w:rPr>
            </w:r>
          </w:p>
        </w:tc>
        <w:tc>
          <w:tcPr/>
          <w:p w:rsidR="00000000" w:rsidDel="00000000" w:rsidP="00000000" w:rsidRDefault="00000000" w:rsidRPr="00000000" w14:paraId="00000007">
            <w:pPr>
              <w:rPr/>
            </w:pPr>
            <w:r w:rsidDel="00000000" w:rsidR="00000000" w:rsidRPr="00000000">
              <w:rPr>
                <w:b w:val="1"/>
                <w:bCs w:val="1"/>
                <w:rtl w:val="0"/>
              </w:rPr>
              <w:t xml:space="preserve">UI Toepassing &amp; Functioneel Doel</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Achtergrond</w:t>
            </w:r>
          </w:p>
        </w:tc>
        <w:tc>
          <w:tcPr/>
          <w:p w:rsidR="00000000" w:rsidDel="00000000" w:rsidP="00000000" w:rsidRDefault="00000000" w:rsidRPr="00000000" w14:paraId="00000009">
            <w:pPr>
              <w:rPr/>
            </w:pPr>
            <w:r w:rsidDel="00000000" w:rsidR="00000000" w:rsidRPr="00000000">
              <w:rPr>
                <w:rtl w:val="0"/>
              </w:rPr>
              <w:t xml:space="preserve">#CBEDCA</w:t>
            </w:r>
          </w:p>
        </w:tc>
        <w:tc>
          <w:tcPr/>
          <w:p w:rsidR="00000000" w:rsidDel="00000000" w:rsidP="00000000" w:rsidRDefault="00000000" w:rsidRPr="00000000" w14:paraId="0000000A">
            <w:pPr>
              <w:rPr/>
            </w:pPr>
            <w:r w:rsidDel="00000000" w:rsidR="00000000" w:rsidRPr="00000000">
              <w:rPr>
                <w:rtl w:val="0"/>
              </w:rPr>
              <w:t xml:space="preserve">RGB(203, 237, 202)</w:t>
            </w:r>
          </w:p>
        </w:tc>
        <w:tc>
          <w:tcPr/>
          <w:p w:rsidR="00000000" w:rsidDel="00000000" w:rsidP="00000000" w:rsidRDefault="00000000" w:rsidRPr="00000000" w14:paraId="0000000B">
            <w:pPr>
              <w:rPr/>
            </w:pPr>
            <w:r w:rsidDel="00000000" w:rsidR="00000000" w:rsidRPr="00000000">
              <w:rPr>
                <w:rtl w:val="0"/>
              </w:rPr>
              <w:t xml:space="preserve">Deze zachtgroene tint dient als de voornaamste achtergrondkleur. Het straalt kalmte uit en is minder belastend voor de ogen dan een felwitte basis.</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Kaart Achtergrond</w:t>
            </w:r>
          </w:p>
        </w:tc>
        <w:tc>
          <w:tcPr/>
          <w:p w:rsidR="00000000" w:rsidDel="00000000" w:rsidP="00000000" w:rsidRDefault="00000000" w:rsidRPr="00000000" w14:paraId="0000000D">
            <w:pPr>
              <w:rPr/>
            </w:pPr>
            <w:r w:rsidDel="00000000" w:rsidR="00000000" w:rsidRPr="00000000">
              <w:rPr>
                <w:rtl w:val="0"/>
              </w:rPr>
              <w:t xml:space="preserve">#FFFFFF</w:t>
            </w:r>
          </w:p>
        </w:tc>
        <w:tc>
          <w:tcPr/>
          <w:p w:rsidR="00000000" w:rsidDel="00000000" w:rsidP="00000000" w:rsidRDefault="00000000" w:rsidRPr="00000000" w14:paraId="0000000E">
            <w:pPr>
              <w:rPr/>
            </w:pPr>
            <w:r w:rsidDel="00000000" w:rsidR="00000000" w:rsidRPr="00000000">
              <w:rPr>
                <w:rtl w:val="0"/>
              </w:rPr>
              <w:t xml:space="preserve">RGB(255, 255, 255)</w:t>
            </w:r>
          </w:p>
        </w:tc>
        <w:tc>
          <w:tcPr/>
          <w:p w:rsidR="00000000" w:rsidDel="00000000" w:rsidP="00000000" w:rsidRDefault="00000000" w:rsidRPr="00000000" w14:paraId="0000000F">
            <w:pPr>
              <w:rPr/>
            </w:pPr>
            <w:r w:rsidDel="00000000" w:rsidR="00000000" w:rsidRPr="00000000">
              <w:rPr>
                <w:rtl w:val="0"/>
              </w:rPr>
              <w:t xml:space="preserve">Een heldere, witte kleur die specifiek is gereserveerd voor de navigatiebalk en projectkaarten om een scherp visueel onderscheid te maken.</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Randen &amp; Badges</w:t>
            </w:r>
          </w:p>
        </w:tc>
        <w:tc>
          <w:tcPr/>
          <w:p w:rsidR="00000000" w:rsidDel="00000000" w:rsidP="00000000" w:rsidRDefault="00000000" w:rsidRPr="00000000" w14:paraId="00000011">
            <w:pPr>
              <w:rPr/>
            </w:pPr>
            <w:r w:rsidDel="00000000" w:rsidR="00000000" w:rsidRPr="00000000">
              <w:rPr>
                <w:rtl w:val="0"/>
              </w:rPr>
              <w:t xml:space="preserve">#C4E5C2</w:t>
            </w:r>
          </w:p>
        </w:tc>
        <w:tc>
          <w:tcPr/>
          <w:p w:rsidR="00000000" w:rsidDel="00000000" w:rsidP="00000000" w:rsidRDefault="00000000" w:rsidRPr="00000000" w14:paraId="00000012">
            <w:pPr>
              <w:rPr/>
            </w:pPr>
            <w:r w:rsidDel="00000000" w:rsidR="00000000" w:rsidRPr="00000000">
              <w:rPr>
                <w:rtl w:val="0"/>
              </w:rPr>
              <w:t xml:space="preserve">RGB(196, 229, 194)</w:t>
            </w:r>
          </w:p>
        </w:tc>
        <w:tc>
          <w:tcPr/>
          <w:p w:rsidR="00000000" w:rsidDel="00000000" w:rsidP="00000000" w:rsidRDefault="00000000" w:rsidRPr="00000000" w14:paraId="00000013">
            <w:pPr>
              <w:rPr/>
            </w:pPr>
            <w:r w:rsidDel="00000000" w:rsidR="00000000" w:rsidRPr="00000000">
              <w:rPr>
                <w:rtl w:val="0"/>
              </w:rPr>
              <w:t xml:space="preserve">Een lichtgroene nuance die wordt toegepast voor badges en de contouren van de manga-kaarten, waardoor elementen subtiel gescheiden worden zonder harde contrasten.</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Accent Kleur</w:t>
            </w:r>
          </w:p>
        </w:tc>
        <w:tc>
          <w:tcPr/>
          <w:p w:rsidR="00000000" w:rsidDel="00000000" w:rsidP="00000000" w:rsidRDefault="00000000" w:rsidRPr="00000000" w14:paraId="00000015">
            <w:pPr>
              <w:rPr/>
            </w:pPr>
            <w:r w:rsidDel="00000000" w:rsidR="00000000" w:rsidRPr="00000000">
              <w:rPr>
                <w:rtl w:val="0"/>
              </w:rPr>
              <w:t xml:space="preserve">#90C3A5</w:t>
            </w:r>
          </w:p>
        </w:tc>
        <w:tc>
          <w:tcPr/>
          <w:p w:rsidR="00000000" w:rsidDel="00000000" w:rsidP="00000000" w:rsidRDefault="00000000" w:rsidRPr="00000000" w14:paraId="00000016">
            <w:pPr>
              <w:rPr/>
            </w:pPr>
            <w:r w:rsidDel="00000000" w:rsidR="00000000" w:rsidRPr="00000000">
              <w:rPr>
                <w:rtl w:val="0"/>
              </w:rPr>
              <w:t xml:space="preserve">RGB(144, 195, 165)</w:t>
            </w:r>
          </w:p>
        </w:tc>
        <w:tc>
          <w:tcPr/>
          <w:p w:rsidR="00000000" w:rsidDel="00000000" w:rsidP="00000000" w:rsidRDefault="00000000" w:rsidRPr="00000000" w14:paraId="00000017">
            <w:pPr>
              <w:rPr/>
            </w:pPr>
            <w:r w:rsidDel="00000000" w:rsidR="00000000" w:rsidRPr="00000000">
              <w:rPr>
                <w:rtl w:val="0"/>
              </w:rPr>
              <w:t xml:space="preserve">Dit medium saliegroen wordt gebruikt voor belangrijke interface-elementen, actieve filters en de voornaamste actieknoppen (CTA).</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Accent Hover</w:t>
            </w:r>
          </w:p>
        </w:tc>
        <w:tc>
          <w:tcPr/>
          <w:p w:rsidR="00000000" w:rsidDel="00000000" w:rsidP="00000000" w:rsidRDefault="00000000" w:rsidRPr="00000000" w14:paraId="00000019">
            <w:pPr>
              <w:rPr/>
            </w:pPr>
            <w:r w:rsidDel="00000000" w:rsidR="00000000" w:rsidRPr="00000000">
              <w:rPr>
                <w:rtl w:val="0"/>
              </w:rPr>
              <w:t xml:space="preserve">#8AA189</w:t>
            </w:r>
          </w:p>
        </w:tc>
        <w:tc>
          <w:tcPr/>
          <w:p w:rsidR="00000000" w:rsidDel="00000000" w:rsidP="00000000" w:rsidRDefault="00000000" w:rsidRPr="00000000" w14:paraId="0000001A">
            <w:pPr>
              <w:rPr/>
            </w:pPr>
            <w:r w:rsidDel="00000000" w:rsidR="00000000" w:rsidRPr="00000000">
              <w:rPr>
                <w:rtl w:val="0"/>
              </w:rPr>
              <w:t xml:space="preserve">RGB(138, 161, 137)</w:t>
            </w:r>
          </w:p>
        </w:tc>
        <w:tc>
          <w:tcPr/>
          <w:p w:rsidR="00000000" w:rsidDel="00000000" w:rsidP="00000000" w:rsidRDefault="00000000" w:rsidRPr="00000000" w14:paraId="0000001B">
            <w:pPr>
              <w:rPr/>
            </w:pPr>
            <w:r w:rsidDel="00000000" w:rsidR="00000000" w:rsidRPr="00000000">
              <w:rPr>
                <w:rtl w:val="0"/>
              </w:rPr>
              <w:t xml:space="preserve">Een donkerdere, ingetogen groenvariant die uitsluitend is bedoeld voor hover-effecten om gebruikers directe visuele terugkoppeling te geven.</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Tekst Donker</w:t>
            </w:r>
          </w:p>
        </w:tc>
        <w:tc>
          <w:tcPr/>
          <w:p w:rsidR="00000000" w:rsidDel="00000000" w:rsidP="00000000" w:rsidRDefault="00000000" w:rsidRPr="00000000" w14:paraId="0000001D">
            <w:pPr>
              <w:rPr/>
            </w:pPr>
            <w:r w:rsidDel="00000000" w:rsidR="00000000" w:rsidRPr="00000000">
              <w:rPr>
                <w:rtl w:val="0"/>
              </w:rPr>
              <w:t xml:space="preserve">#4F5C4E</w:t>
            </w:r>
          </w:p>
        </w:tc>
        <w:tc>
          <w:tcPr/>
          <w:p w:rsidR="00000000" w:rsidDel="00000000" w:rsidP="00000000" w:rsidRDefault="00000000" w:rsidRPr="00000000" w14:paraId="0000001E">
            <w:pPr>
              <w:rPr/>
            </w:pPr>
            <w:r w:rsidDel="00000000" w:rsidR="00000000" w:rsidRPr="00000000">
              <w:rPr>
                <w:rtl w:val="0"/>
              </w:rPr>
              <w:t xml:space="preserve">RGB(79, 92, 78)</w:t>
            </w:r>
          </w:p>
        </w:tc>
        <w:tc>
          <w:tcPr/>
          <w:p w:rsidR="00000000" w:rsidDel="00000000" w:rsidP="00000000" w:rsidRDefault="00000000" w:rsidRPr="00000000" w14:paraId="0000001F">
            <w:pPr>
              <w:rPr/>
            </w:pPr>
            <w:r w:rsidDel="00000000" w:rsidR="00000000" w:rsidRPr="00000000">
              <w:rPr>
                <w:rtl w:val="0"/>
              </w:rPr>
              <w:t xml:space="preserve">Een diepe bosgroene kleur voor koppen en tekst. Dit biedt een uitstekende leesbaarheid voor screenreaders en is comfortabeler voor de ogen dan puur zwart.</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Tekst Licht</w:t>
            </w:r>
          </w:p>
        </w:tc>
        <w:tc>
          <w:tcPr/>
          <w:p w:rsidR="00000000" w:rsidDel="00000000" w:rsidP="00000000" w:rsidRDefault="00000000" w:rsidRPr="00000000" w14:paraId="00000021">
            <w:pPr>
              <w:rPr/>
            </w:pPr>
            <w:r w:rsidDel="00000000" w:rsidR="00000000" w:rsidRPr="00000000">
              <w:rPr>
                <w:rtl w:val="0"/>
              </w:rPr>
              <w:t xml:space="preserve">#687967</w:t>
            </w:r>
          </w:p>
        </w:tc>
        <w:tc>
          <w:tcPr/>
          <w:p w:rsidR="00000000" w:rsidDel="00000000" w:rsidP="00000000" w:rsidRDefault="00000000" w:rsidRPr="00000000" w14:paraId="00000022">
            <w:pPr>
              <w:rPr/>
            </w:pPr>
            <w:r w:rsidDel="00000000" w:rsidR="00000000" w:rsidRPr="00000000">
              <w:rPr>
                <w:rtl w:val="0"/>
              </w:rPr>
              <w:t xml:space="preserve">RGB(104, 121, 103)</w:t>
            </w:r>
          </w:p>
        </w:tc>
        <w:tc>
          <w:tcPr/>
          <w:p w:rsidR="00000000" w:rsidDel="00000000" w:rsidP="00000000" w:rsidRDefault="00000000" w:rsidRPr="00000000" w14:paraId="00000023">
            <w:pPr>
              <w:rPr/>
            </w:pPr>
            <w:r w:rsidDel="00000000" w:rsidR="00000000" w:rsidRPr="00000000">
              <w:rPr>
                <w:rtl w:val="0"/>
              </w:rPr>
              <w:t xml:space="preserve">Een grijsgroene middentoon voor minder prominente teksten, zoals labels, menu-onderdelen en omschrijvingen van projecten.</w:t>
            </w:r>
          </w:p>
        </w:tc>
      </w:tr>
    </w:tbl>
    <w:p w:rsidR="00000000" w:rsidDel="00000000" w:rsidP="00000000" w:rsidRDefault="00000000" w:rsidRPr="00000000" w14:paraId="00000024">
      <w:pPr>
        <w:ind w:left="720" w:firstLine="0"/>
        <w:rPr/>
      </w:pPr>
      <w:r w:rsidDel="00000000" w:rsidR="00000000" w:rsidRPr="00000000">
        <w:rPr>
          <w:rtl w:val="0"/>
        </w:rPr>
        <w:br w:type="textWrapping"/>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Bij het kiezen van de kleuren heb ik goed gelet op het contrast, zodat de website voor iedereen fijn leest. Veel websites gebruiken pikzwart op spierwit, maar dat kan na een tijdje vermoeiend zijn voor je ogen.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Daarom heb ik gekozen voor een zachte, pastel groene achtergrond en een donkergroene kleur voor de tekst. Dit leest rustiger en prettiger, en zorgt er ook voor dat de website goed toegankelijk is voor mensen die bijvoorbeeld dyslexie hebben of sneller last hebben van hun ogen.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Waarom groen?</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Groen staat voor rust en focus. Omdat ik wil dat docenten en stagebedrijven relaxed door mijn projecten kunnen klikken, zorgt dit kleurenpalet voor een fijne sfeer. Zo gaat alle aandacht naar waar het echt om gaat: mijn werk. De rode accentkleur gebruik ik voor de knoppen, zodat die er net even uitspringen en duidelijk is waar je op kunt klikken.</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spacing w:before="240" w:lineRule="auto"/>
        <w:rPr/>
      </w:pPr>
      <w:r w:rsidDel="00000000" w:rsidR="00000000" w:rsidRPr="00000000">
        <w:rPr>
          <w:b w:val="1"/>
          <w:bCs w:val="1"/>
          <w:rtl w:val="0"/>
        </w:rPr>
        <w:t xml:space="preserve">Techniek en onderhoud</w:t>
      </w: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Om de website netjes en overzichtelijk te houden, heb ik de kleuren in de code op één centrale plek vastgelegd (in de zogeheten CSS-variabelen). Dit is een slimme keuze omdat het de website flexibel maakt. Wil ik later bijvoorbeeld een 'donkere modus' toevoegen of een ander thema gebruiken? Dan hoef ik alleen op die ene plek de kleuren aan te passen en verandert alles in één keer mee. Zo hoef ik niet overal in de code handmatig dingen te veranderen en blijft het werk overzichtelijk.</w:t>
      </w:r>
    </w:p>
    <w:p w:rsidR="00000000" w:rsidDel="00000000" w:rsidP="00000000" w:rsidRDefault="00000000" w:rsidRPr="00000000" w14:paraId="00000030">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