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168E" w:rsidRDefault="001F168E">
      <w:pPr>
        <w:spacing w:before="1200"/>
      </w:pPr>
    </w:p>
    <w:p w:rsidR="001F168E" w:rsidRDefault="001C1D6D">
      <w:pPr>
        <w:spacing w:after="80"/>
        <w:jc w:val="center"/>
      </w:pPr>
      <w:r>
        <w:rPr>
          <w:b/>
          <w:bCs/>
          <w:caps/>
          <w:color w:val="0B1C35"/>
          <w:sz w:val="52"/>
          <w:szCs w:val="52"/>
        </w:rPr>
        <w:t>GLOBAL MARITIME SOLUTIONS</w:t>
      </w:r>
    </w:p>
    <w:p w:rsidR="001F168E" w:rsidRDefault="001C1D6D">
      <w:pPr>
        <w:pBdr>
          <w:bottom w:val="single" w:sz="8" w:space="6" w:color="007A6E"/>
        </w:pBdr>
        <w:spacing w:after="200"/>
        <w:jc w:val="center"/>
      </w:pPr>
      <w:r>
        <w:rPr>
          <w:color w:val="007A6E"/>
          <w:sz w:val="30"/>
          <w:szCs w:val="30"/>
        </w:rPr>
        <w:t>Terminal Operations — Project Documentation</w:t>
      </w:r>
    </w:p>
    <w:p w:rsidR="001F168E" w:rsidRDefault="001F168E">
      <w:pPr>
        <w:spacing w:before="80"/>
      </w:pPr>
    </w:p>
    <w:p w:rsidR="001F168E" w:rsidRDefault="001C1D6D">
      <w:pPr>
        <w:spacing w:after="60"/>
        <w:jc w:val="center"/>
      </w:pPr>
      <w:r>
        <w:rPr>
          <w:color w:val="555555"/>
        </w:rPr>
        <w:t>Prepared by: Senior Operations Analyst</w:t>
      </w:r>
    </w:p>
    <w:p w:rsidR="001F168E" w:rsidRDefault="001C1D6D">
      <w:pPr>
        <w:spacing w:after="60"/>
        <w:jc w:val="center"/>
      </w:pPr>
      <w:r>
        <w:rPr>
          <w:color w:val="555555"/>
        </w:rPr>
        <w:t>Reporting to: VP of Terminal Operations</w:t>
      </w:r>
    </w:p>
    <w:p w:rsidR="001F168E" w:rsidRDefault="001C1D6D">
      <w:pPr>
        <w:spacing w:after="60"/>
        <w:jc w:val="center"/>
      </w:pPr>
      <w:r>
        <w:rPr>
          <w:color w:val="555555"/>
        </w:rPr>
        <w:t>Data Period: January 2021 – December 2024</w:t>
      </w:r>
    </w:p>
    <w:p w:rsidR="001F168E" w:rsidRDefault="001C1D6D">
      <w:pPr>
        <w:spacing w:after="60"/>
        <w:jc w:val="center"/>
      </w:pPr>
      <w:r>
        <w:rPr>
          <w:color w:val="555555"/>
        </w:rPr>
        <w:t>Generated: 2026</w:t>
      </w:r>
    </w:p>
    <w:tbl>
      <w:tblPr>
        <w:tblpPr w:leftFromText="180" w:rightFromText="180" w:vertAnchor="text" w:horzAnchor="margin" w:tblpXSpec="center" w:tblpY="351"/>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A82011" w:rsidTr="00A82011">
        <w:tblPrEx>
          <w:tblCellMar>
            <w:top w:w="0" w:type="dxa"/>
            <w:bottom w:w="0" w:type="dxa"/>
          </w:tblCellMar>
        </w:tblPrEx>
        <w:tc>
          <w:tcPr>
            <w:tcW w:w="7200" w:type="dxa"/>
            <w:tcBorders>
              <w:top w:val="single" w:sz="6" w:space="0" w:color="007A6E"/>
              <w:left w:val="single" w:sz="6" w:space="0" w:color="007A6E"/>
              <w:bottom w:val="single" w:sz="6" w:space="0" w:color="007A6E"/>
              <w:right w:val="single" w:sz="6" w:space="0" w:color="007A6E"/>
            </w:tcBorders>
            <w:shd w:val="clear" w:color="auto" w:fill="E6F5F3"/>
            <w:tcMar>
              <w:top w:w="200" w:type="dxa"/>
              <w:left w:w="300" w:type="dxa"/>
              <w:bottom w:w="200" w:type="dxa"/>
              <w:right w:w="300" w:type="dxa"/>
            </w:tcMar>
          </w:tcPr>
          <w:p w:rsidR="00A82011" w:rsidRDefault="00A82011" w:rsidP="00A82011">
            <w:pPr>
              <w:jc w:val="center"/>
            </w:pPr>
            <w:r>
              <w:rPr>
                <w:b/>
                <w:bCs/>
                <w:color w:val="0B1C35"/>
              </w:rPr>
              <w:t>15,000 Cargo Movements  ·  50 Terminals  ·  4 Regional Hubs  ·  4 Vessel Types</w:t>
            </w:r>
          </w:p>
        </w:tc>
      </w:tr>
    </w:tbl>
    <w:p w:rsidR="001F168E" w:rsidRDefault="001F168E">
      <w:pPr>
        <w:spacing w:before="400"/>
      </w:pPr>
    </w:p>
    <w:p w:rsidR="001F168E" w:rsidRDefault="001C1D6D">
      <w:r>
        <w:br w:type="page"/>
      </w:r>
      <w:bookmarkStart w:id="0" w:name="_GoBack"/>
      <w:bookmarkEnd w:id="0"/>
    </w:p>
    <w:p w:rsidR="001F168E" w:rsidRDefault="001C1D6D">
      <w:pPr>
        <w:pStyle w:val="Heading1"/>
        <w:pBdr>
          <w:bottom w:val="single" w:sz="6" w:space="4" w:color="007A6E"/>
        </w:pBdr>
      </w:pPr>
      <w:r>
        <w:lastRenderedPageBreak/>
        <w:t>1. Executive Summary</w:t>
      </w:r>
    </w:p>
    <w:p w:rsidR="001F168E" w:rsidRDefault="001C1D6D">
      <w:pPr>
        <w:spacing w:before="80" w:after="100"/>
      </w:pPr>
      <w:r>
        <w:rPr>
          <w:color w:val="333333"/>
        </w:rPr>
        <w:t>Following the 2021 Suez Canal disruption, Global Maritime Solutions experienced inconsistent cargo handling times across terminal locations. This document outlines the full scope of the data analysis project conducted to identify operational inefficiencies</w:t>
      </w:r>
      <w:r>
        <w:rPr>
          <w:color w:val="333333"/>
        </w:rPr>
        <w:t>, measure disruption impact, and develop recommendations to optimize terminal allocation with a target of reducing cargo movement times by 15%.</w:t>
      </w:r>
    </w:p>
    <w:p w:rsidR="001F168E" w:rsidRDefault="001F168E">
      <w:pPr>
        <w:spacing w:before="80"/>
      </w:pPr>
    </w:p>
    <w:p w:rsidR="001F168E" w:rsidRDefault="001C1D6D">
      <w:pPr>
        <w:spacing w:before="80" w:after="100"/>
      </w:pPr>
      <w:r>
        <w:rPr>
          <w:color w:val="333333"/>
        </w:rPr>
        <w:t>The analysis covers three primary investigation areas:</w:t>
      </w:r>
    </w:p>
    <w:p w:rsidR="001F168E" w:rsidRDefault="001C1D6D">
      <w:pPr>
        <w:pStyle w:val="ListParagraph"/>
        <w:numPr>
          <w:ilvl w:val="0"/>
          <w:numId w:val="2"/>
        </w:numPr>
        <w:spacing w:before="60" w:after="60"/>
      </w:pPr>
      <w:r>
        <w:rPr>
          <w:color w:val="333333"/>
        </w:rPr>
        <w:t>Suez Canal disruption impact on cargo volumes and region</w:t>
      </w:r>
      <w:r>
        <w:rPr>
          <w:color w:val="333333"/>
        </w:rPr>
        <w:t>al hub efficiency</w:t>
      </w:r>
    </w:p>
    <w:p w:rsidR="001F168E" w:rsidRDefault="001C1D6D">
      <w:pPr>
        <w:pStyle w:val="ListParagraph"/>
        <w:numPr>
          <w:ilvl w:val="0"/>
          <w:numId w:val="2"/>
        </w:numPr>
        <w:spacing w:before="60" w:after="60"/>
      </w:pPr>
      <w:r>
        <w:rPr>
          <w:color w:val="333333"/>
        </w:rPr>
        <w:t>Terminal infrastructure bottlenecks and capacity utilization patterns</w:t>
      </w:r>
    </w:p>
    <w:p w:rsidR="001F168E" w:rsidRDefault="001C1D6D">
      <w:pPr>
        <w:pStyle w:val="ListParagraph"/>
        <w:numPr>
          <w:ilvl w:val="0"/>
          <w:numId w:val="2"/>
        </w:numPr>
        <w:spacing w:before="60" w:after="60"/>
      </w:pPr>
      <w:r>
        <w:rPr>
          <w:color w:val="333333"/>
        </w:rPr>
        <w:t>Efficiency anomalies across vessel types, shift timings, and vessel age</w:t>
      </w:r>
    </w:p>
    <w:p w:rsidR="001F168E" w:rsidRDefault="001F168E">
      <w:pPr>
        <w:spacing w:before="120"/>
      </w:pPr>
    </w:p>
    <w:p w:rsidR="001F168E" w:rsidRDefault="001C1D6D">
      <w:pPr>
        <w:pStyle w:val="Heading2"/>
      </w:pPr>
      <w:r>
        <w:t>1.1 Key Findings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360"/>
      </w:tblGrid>
      <w:tr w:rsidR="001F168E">
        <w:tblPrEx>
          <w:tblCellMar>
            <w:top w:w="0" w:type="dxa"/>
            <w:bottom w:w="0" w:type="dxa"/>
          </w:tblCellMar>
        </w:tblPrEx>
        <w:trPr>
          <w:tblHeader/>
        </w:trPr>
        <w:tc>
          <w:tcPr>
            <w:tcW w:w="3200" w:type="dxa"/>
            <w:tcBorders>
              <w:top w:val="single" w:sz="1" w:space="0" w:color="C5D8E8"/>
              <w:left w:val="single" w:sz="1" w:space="0" w:color="C5D8E8"/>
              <w:bottom w:val="single" w:sz="1" w:space="0" w:color="C5D8E8"/>
              <w:right w:val="single" w:sz="1" w:space="0" w:color="C5D8E8"/>
            </w:tcBorders>
            <w:shd w:val="clear" w:color="auto" w:fill="0B1C35"/>
            <w:tcMar>
              <w:top w:w="100" w:type="dxa"/>
              <w:left w:w="140" w:type="dxa"/>
              <w:bottom w:w="100" w:type="dxa"/>
              <w:right w:w="140" w:type="dxa"/>
            </w:tcMar>
          </w:tcPr>
          <w:p w:rsidR="001F168E" w:rsidRDefault="001C1D6D">
            <w:r>
              <w:rPr>
                <w:b/>
                <w:bCs/>
                <w:color w:val="FFFFFF"/>
                <w:sz w:val="20"/>
                <w:szCs w:val="20"/>
              </w:rPr>
              <w:t>KPI</w:t>
            </w:r>
          </w:p>
        </w:tc>
        <w:tc>
          <w:tcPr>
            <w:tcW w:w="1800" w:type="dxa"/>
            <w:tcBorders>
              <w:top w:val="single" w:sz="1" w:space="0" w:color="C5D8E8"/>
              <w:left w:val="single" w:sz="1" w:space="0" w:color="C5D8E8"/>
              <w:bottom w:val="single" w:sz="1" w:space="0" w:color="C5D8E8"/>
              <w:right w:val="single" w:sz="1" w:space="0" w:color="C5D8E8"/>
            </w:tcBorders>
            <w:shd w:val="clear" w:color="auto" w:fill="0B1C35"/>
            <w:tcMar>
              <w:top w:w="100" w:type="dxa"/>
              <w:left w:w="140" w:type="dxa"/>
              <w:bottom w:w="100" w:type="dxa"/>
              <w:right w:w="140" w:type="dxa"/>
            </w:tcMar>
          </w:tcPr>
          <w:p w:rsidR="001F168E" w:rsidRDefault="001C1D6D">
            <w:r>
              <w:rPr>
                <w:b/>
                <w:bCs/>
                <w:color w:val="FFFFFF"/>
                <w:sz w:val="20"/>
                <w:szCs w:val="20"/>
              </w:rPr>
              <w:t>Value</w:t>
            </w:r>
          </w:p>
        </w:tc>
        <w:tc>
          <w:tcPr>
            <w:tcW w:w="4360" w:type="dxa"/>
            <w:tcBorders>
              <w:top w:val="single" w:sz="1" w:space="0" w:color="C5D8E8"/>
              <w:left w:val="single" w:sz="1" w:space="0" w:color="C5D8E8"/>
              <w:bottom w:val="single" w:sz="1" w:space="0" w:color="C5D8E8"/>
              <w:right w:val="single" w:sz="1" w:space="0" w:color="C5D8E8"/>
            </w:tcBorders>
            <w:shd w:val="clear" w:color="auto" w:fill="0B1C35"/>
            <w:tcMar>
              <w:top w:w="100" w:type="dxa"/>
              <w:left w:w="140" w:type="dxa"/>
              <w:bottom w:w="100" w:type="dxa"/>
              <w:right w:w="140" w:type="dxa"/>
            </w:tcMar>
          </w:tcPr>
          <w:p w:rsidR="001F168E" w:rsidRDefault="001C1D6D">
            <w:r>
              <w:rPr>
                <w:b/>
                <w:bCs/>
                <w:color w:val="FFFFFF"/>
                <w:sz w:val="20"/>
                <w:szCs w:val="20"/>
              </w:rPr>
              <w:t>Notes</w:t>
            </w:r>
          </w:p>
        </w:tc>
      </w:tr>
      <w:tr w:rsidR="001F168E">
        <w:tblPrEx>
          <w:tblCellMar>
            <w:top w:w="0" w:type="dxa"/>
            <w:bottom w:w="0" w:type="dxa"/>
          </w:tblCellMar>
        </w:tblPrEx>
        <w:tc>
          <w:tcPr>
            <w:tcW w:w="32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20"/>
                <w:szCs w:val="20"/>
              </w:rPr>
              <w:t>Total Cargo Movements</w:t>
            </w:r>
          </w:p>
        </w:tc>
        <w:tc>
          <w:tcPr>
            <w:tcW w:w="18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20"/>
                <w:szCs w:val="20"/>
              </w:rPr>
              <w:t>15,000</w:t>
            </w:r>
          </w:p>
        </w:tc>
        <w:tc>
          <w:tcPr>
            <w:tcW w:w="436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20"/>
                <w:szCs w:val="20"/>
              </w:rPr>
              <w:t>2021–2024</w:t>
            </w:r>
          </w:p>
        </w:tc>
      </w:tr>
      <w:tr w:rsidR="001F168E">
        <w:tblPrEx>
          <w:tblCellMar>
            <w:top w:w="0" w:type="dxa"/>
            <w:bottom w:w="0" w:type="dxa"/>
          </w:tblCellMar>
        </w:tblPrEx>
        <w:tc>
          <w:tcPr>
            <w:tcW w:w="32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20"/>
                <w:szCs w:val="20"/>
              </w:rPr>
              <w:t>Total Terminals</w:t>
            </w:r>
          </w:p>
        </w:tc>
        <w:tc>
          <w:tcPr>
            <w:tcW w:w="18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20"/>
                <w:szCs w:val="20"/>
              </w:rPr>
              <w:t>50</w:t>
            </w:r>
          </w:p>
        </w:tc>
        <w:tc>
          <w:tcPr>
            <w:tcW w:w="436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20"/>
                <w:szCs w:val="20"/>
              </w:rPr>
              <w:t>Across 4 regional hubs</w:t>
            </w:r>
          </w:p>
        </w:tc>
      </w:tr>
      <w:tr w:rsidR="001F168E">
        <w:tblPrEx>
          <w:tblCellMar>
            <w:top w:w="0" w:type="dxa"/>
            <w:bottom w:w="0" w:type="dxa"/>
          </w:tblCellMar>
        </w:tblPrEx>
        <w:tc>
          <w:tcPr>
            <w:tcW w:w="32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20"/>
                <w:szCs w:val="20"/>
              </w:rPr>
              <w:t xml:space="preserve">Overall </w:t>
            </w:r>
            <w:proofErr w:type="spellStart"/>
            <w:r>
              <w:rPr>
                <w:color w:val="333333"/>
                <w:sz w:val="20"/>
                <w:szCs w:val="20"/>
              </w:rPr>
              <w:t>Avg</w:t>
            </w:r>
            <w:proofErr w:type="spellEnd"/>
            <w:r>
              <w:rPr>
                <w:color w:val="333333"/>
                <w:sz w:val="20"/>
                <w:szCs w:val="20"/>
              </w:rPr>
              <w:t xml:space="preserve"> Move Duration</w:t>
            </w:r>
          </w:p>
        </w:tc>
        <w:tc>
          <w:tcPr>
            <w:tcW w:w="18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20"/>
                <w:szCs w:val="20"/>
              </w:rPr>
              <w:t xml:space="preserve">501.2 </w:t>
            </w:r>
            <w:proofErr w:type="spellStart"/>
            <w:r>
              <w:rPr>
                <w:color w:val="333333"/>
                <w:sz w:val="20"/>
                <w:szCs w:val="20"/>
              </w:rPr>
              <w:t>hrs</w:t>
            </w:r>
            <w:proofErr w:type="spellEnd"/>
          </w:p>
        </w:tc>
        <w:tc>
          <w:tcPr>
            <w:tcW w:w="436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20"/>
                <w:szCs w:val="20"/>
              </w:rPr>
              <w:t>Approx. 20.9 days</w:t>
            </w:r>
          </w:p>
        </w:tc>
      </w:tr>
      <w:tr w:rsidR="001F168E">
        <w:tblPrEx>
          <w:tblCellMar>
            <w:top w:w="0" w:type="dxa"/>
            <w:bottom w:w="0" w:type="dxa"/>
          </w:tblCellMar>
        </w:tblPrEx>
        <w:tc>
          <w:tcPr>
            <w:tcW w:w="32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20"/>
                <w:szCs w:val="20"/>
              </w:rPr>
              <w:t xml:space="preserve">Pre-Suez </w:t>
            </w:r>
            <w:proofErr w:type="spellStart"/>
            <w:r>
              <w:rPr>
                <w:color w:val="333333"/>
                <w:sz w:val="20"/>
                <w:szCs w:val="20"/>
              </w:rPr>
              <w:t>Avg</w:t>
            </w:r>
            <w:proofErr w:type="spellEnd"/>
            <w:r>
              <w:rPr>
                <w:color w:val="333333"/>
                <w:sz w:val="20"/>
                <w:szCs w:val="20"/>
              </w:rPr>
              <w:t xml:space="preserve"> Duration</w:t>
            </w:r>
          </w:p>
        </w:tc>
        <w:tc>
          <w:tcPr>
            <w:tcW w:w="18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20"/>
                <w:szCs w:val="20"/>
              </w:rPr>
              <w:t xml:space="preserve">485 </w:t>
            </w:r>
            <w:proofErr w:type="spellStart"/>
            <w:r>
              <w:rPr>
                <w:color w:val="333333"/>
                <w:sz w:val="20"/>
                <w:szCs w:val="20"/>
              </w:rPr>
              <w:t>hrs</w:t>
            </w:r>
            <w:proofErr w:type="spellEnd"/>
          </w:p>
        </w:tc>
        <w:tc>
          <w:tcPr>
            <w:tcW w:w="436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20"/>
                <w:szCs w:val="20"/>
              </w:rPr>
              <w:t>Jan–Feb 2021 baseline</w:t>
            </w:r>
          </w:p>
        </w:tc>
      </w:tr>
      <w:tr w:rsidR="001F168E">
        <w:tblPrEx>
          <w:tblCellMar>
            <w:top w:w="0" w:type="dxa"/>
            <w:bottom w:w="0" w:type="dxa"/>
          </w:tblCellMar>
        </w:tblPrEx>
        <w:tc>
          <w:tcPr>
            <w:tcW w:w="32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20"/>
                <w:szCs w:val="20"/>
              </w:rPr>
              <w:t xml:space="preserve">Post-Suez </w:t>
            </w:r>
            <w:proofErr w:type="spellStart"/>
            <w:r>
              <w:rPr>
                <w:color w:val="333333"/>
                <w:sz w:val="20"/>
                <w:szCs w:val="20"/>
              </w:rPr>
              <w:t>Avg</w:t>
            </w:r>
            <w:proofErr w:type="spellEnd"/>
            <w:r>
              <w:rPr>
                <w:color w:val="333333"/>
                <w:sz w:val="20"/>
                <w:szCs w:val="20"/>
              </w:rPr>
              <w:t xml:space="preserve"> Duration</w:t>
            </w:r>
          </w:p>
        </w:tc>
        <w:tc>
          <w:tcPr>
            <w:tcW w:w="18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20"/>
                <w:szCs w:val="20"/>
              </w:rPr>
              <w:t xml:space="preserve">501 </w:t>
            </w:r>
            <w:proofErr w:type="spellStart"/>
            <w:r>
              <w:rPr>
                <w:color w:val="333333"/>
                <w:sz w:val="20"/>
                <w:szCs w:val="20"/>
              </w:rPr>
              <w:t>hrs</w:t>
            </w:r>
            <w:proofErr w:type="spellEnd"/>
          </w:p>
        </w:tc>
        <w:tc>
          <w:tcPr>
            <w:tcW w:w="436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20"/>
                <w:szCs w:val="20"/>
              </w:rPr>
              <w:t>Mar–Jun 2021</w:t>
            </w:r>
          </w:p>
        </w:tc>
      </w:tr>
      <w:tr w:rsidR="001F168E">
        <w:tblPrEx>
          <w:tblCellMar>
            <w:top w:w="0" w:type="dxa"/>
            <w:bottom w:w="0" w:type="dxa"/>
          </w:tblCellMar>
        </w:tblPrEx>
        <w:tc>
          <w:tcPr>
            <w:tcW w:w="32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20"/>
                <w:szCs w:val="20"/>
              </w:rPr>
              <w:t>Peak Impact Month</w:t>
            </w:r>
          </w:p>
        </w:tc>
        <w:tc>
          <w:tcPr>
            <w:tcW w:w="18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20"/>
                <w:szCs w:val="20"/>
              </w:rPr>
              <w:t>Aug 2021</w:t>
            </w:r>
          </w:p>
        </w:tc>
        <w:tc>
          <w:tcPr>
            <w:tcW w:w="436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20"/>
                <w:szCs w:val="20"/>
              </w:rPr>
              <w:t xml:space="preserve">543 </w:t>
            </w:r>
            <w:proofErr w:type="spellStart"/>
            <w:r>
              <w:rPr>
                <w:color w:val="333333"/>
                <w:sz w:val="20"/>
                <w:szCs w:val="20"/>
              </w:rPr>
              <w:t>hrs</w:t>
            </w:r>
            <w:proofErr w:type="spellEnd"/>
            <w:r>
              <w:rPr>
                <w:color w:val="333333"/>
                <w:sz w:val="20"/>
                <w:szCs w:val="20"/>
              </w:rPr>
              <w:t xml:space="preserve"> </w:t>
            </w:r>
            <w:proofErr w:type="spellStart"/>
            <w:r>
              <w:rPr>
                <w:color w:val="333333"/>
                <w:sz w:val="20"/>
                <w:szCs w:val="20"/>
              </w:rPr>
              <w:t>avg</w:t>
            </w:r>
            <w:proofErr w:type="spellEnd"/>
            <w:r>
              <w:rPr>
                <w:color w:val="333333"/>
                <w:sz w:val="20"/>
                <w:szCs w:val="20"/>
              </w:rPr>
              <w:t xml:space="preserve"> duration</w:t>
            </w:r>
          </w:p>
        </w:tc>
      </w:tr>
      <w:tr w:rsidR="001F168E">
        <w:tblPrEx>
          <w:tblCellMar>
            <w:top w:w="0" w:type="dxa"/>
            <w:bottom w:w="0" w:type="dxa"/>
          </w:tblCellMar>
        </w:tblPrEx>
        <w:tc>
          <w:tcPr>
            <w:tcW w:w="32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20"/>
                <w:szCs w:val="20"/>
              </w:rPr>
              <w:t>AMER 2023 Surge</w:t>
            </w:r>
          </w:p>
        </w:tc>
        <w:tc>
          <w:tcPr>
            <w:tcW w:w="18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20"/>
                <w:szCs w:val="20"/>
              </w:rPr>
              <w:t xml:space="preserve">+31 </w:t>
            </w:r>
            <w:proofErr w:type="spellStart"/>
            <w:r>
              <w:rPr>
                <w:color w:val="333333"/>
                <w:sz w:val="20"/>
                <w:szCs w:val="20"/>
              </w:rPr>
              <w:t>hrs</w:t>
            </w:r>
            <w:proofErr w:type="spellEnd"/>
          </w:p>
        </w:tc>
        <w:tc>
          <w:tcPr>
            <w:tcW w:w="436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20"/>
                <w:szCs w:val="20"/>
              </w:rPr>
              <w:t>+6.4% vs 2021 baseline</w:t>
            </w:r>
          </w:p>
        </w:tc>
      </w:tr>
      <w:tr w:rsidR="001F168E">
        <w:tblPrEx>
          <w:tblCellMar>
            <w:top w:w="0" w:type="dxa"/>
            <w:bottom w:w="0" w:type="dxa"/>
          </w:tblCellMar>
        </w:tblPrEx>
        <w:tc>
          <w:tcPr>
            <w:tcW w:w="32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20"/>
                <w:szCs w:val="20"/>
              </w:rPr>
              <w:t>Day vs Night Gap</w:t>
            </w:r>
          </w:p>
        </w:tc>
        <w:tc>
          <w:tcPr>
            <w:tcW w:w="18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20"/>
                <w:szCs w:val="20"/>
              </w:rPr>
              <w:t xml:space="preserve">+8.9 </w:t>
            </w:r>
            <w:proofErr w:type="spellStart"/>
            <w:r>
              <w:rPr>
                <w:color w:val="333333"/>
                <w:sz w:val="20"/>
                <w:szCs w:val="20"/>
              </w:rPr>
              <w:t>hrs</w:t>
            </w:r>
            <w:proofErr w:type="spellEnd"/>
          </w:p>
        </w:tc>
        <w:tc>
          <w:tcPr>
            <w:tcW w:w="436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20"/>
                <w:szCs w:val="20"/>
              </w:rPr>
              <w:t>Day shifts are slower</w:t>
            </w:r>
          </w:p>
        </w:tc>
      </w:tr>
      <w:tr w:rsidR="001F168E">
        <w:tblPrEx>
          <w:tblCellMar>
            <w:top w:w="0" w:type="dxa"/>
            <w:bottom w:w="0" w:type="dxa"/>
          </w:tblCellMar>
        </w:tblPrEx>
        <w:tc>
          <w:tcPr>
            <w:tcW w:w="32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20"/>
                <w:szCs w:val="20"/>
              </w:rPr>
              <w:t>Vessel Age Correlation</w:t>
            </w:r>
          </w:p>
        </w:tc>
        <w:tc>
          <w:tcPr>
            <w:tcW w:w="18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20"/>
                <w:szCs w:val="20"/>
              </w:rPr>
              <w:t>r = -0.006</w:t>
            </w:r>
          </w:p>
        </w:tc>
        <w:tc>
          <w:tcPr>
            <w:tcW w:w="436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20"/>
                <w:szCs w:val="20"/>
              </w:rPr>
              <w:t>No meaningful impact</w:t>
            </w:r>
          </w:p>
        </w:tc>
      </w:tr>
      <w:tr w:rsidR="001F168E">
        <w:tblPrEx>
          <w:tblCellMar>
            <w:top w:w="0" w:type="dxa"/>
            <w:bottom w:w="0" w:type="dxa"/>
          </w:tblCellMar>
        </w:tblPrEx>
        <w:tc>
          <w:tcPr>
            <w:tcW w:w="32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20"/>
                <w:szCs w:val="20"/>
              </w:rPr>
              <w:t>Busiest Terminal</w:t>
            </w:r>
          </w:p>
        </w:tc>
        <w:tc>
          <w:tcPr>
            <w:tcW w:w="18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20"/>
                <w:szCs w:val="20"/>
              </w:rPr>
              <w:t>T-350 (329 movements)</w:t>
            </w:r>
          </w:p>
        </w:tc>
        <w:tc>
          <w:tcPr>
            <w:tcW w:w="436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20"/>
                <w:szCs w:val="20"/>
              </w:rPr>
              <w:t>Jason Gonzalez, EMEA</w:t>
            </w:r>
          </w:p>
        </w:tc>
      </w:tr>
      <w:tr w:rsidR="001F168E">
        <w:tblPrEx>
          <w:tblCellMar>
            <w:top w:w="0" w:type="dxa"/>
            <w:bottom w:w="0" w:type="dxa"/>
          </w:tblCellMar>
        </w:tblPrEx>
        <w:tc>
          <w:tcPr>
            <w:tcW w:w="32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20"/>
                <w:szCs w:val="20"/>
              </w:rPr>
              <w:t>Slowest Terminal</w:t>
            </w:r>
          </w:p>
        </w:tc>
        <w:tc>
          <w:tcPr>
            <w:tcW w:w="18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20"/>
                <w:szCs w:val="20"/>
              </w:rPr>
              <w:t xml:space="preserve">T-672 (530 </w:t>
            </w:r>
            <w:proofErr w:type="spellStart"/>
            <w:r>
              <w:rPr>
                <w:color w:val="333333"/>
                <w:sz w:val="20"/>
                <w:szCs w:val="20"/>
              </w:rPr>
              <w:t>hrs</w:t>
            </w:r>
            <w:proofErr w:type="spellEnd"/>
            <w:r>
              <w:rPr>
                <w:color w:val="333333"/>
                <w:sz w:val="20"/>
                <w:szCs w:val="20"/>
              </w:rPr>
              <w:t>)</w:t>
            </w:r>
          </w:p>
        </w:tc>
        <w:tc>
          <w:tcPr>
            <w:tcW w:w="436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20"/>
                <w:szCs w:val="20"/>
              </w:rPr>
              <w:t>Deborah Perez, AMER</w:t>
            </w:r>
          </w:p>
        </w:tc>
      </w:tr>
      <w:tr w:rsidR="001F168E">
        <w:tblPrEx>
          <w:tblCellMar>
            <w:top w:w="0" w:type="dxa"/>
            <w:bottom w:w="0" w:type="dxa"/>
          </w:tblCellMar>
        </w:tblPrEx>
        <w:tc>
          <w:tcPr>
            <w:tcW w:w="32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20"/>
                <w:szCs w:val="20"/>
              </w:rPr>
              <w:t>Most Containers Handled</w:t>
            </w:r>
          </w:p>
        </w:tc>
        <w:tc>
          <w:tcPr>
            <w:tcW w:w="18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20"/>
                <w:szCs w:val="20"/>
              </w:rPr>
              <w:t>T-99 (166,497 units)</w:t>
            </w:r>
          </w:p>
        </w:tc>
        <w:tc>
          <w:tcPr>
            <w:tcW w:w="436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20"/>
                <w:szCs w:val="20"/>
              </w:rPr>
              <w:t>Kayla Mitchell, APAC</w:t>
            </w:r>
          </w:p>
        </w:tc>
      </w:tr>
    </w:tbl>
    <w:p w:rsidR="001F168E" w:rsidRDefault="001F168E">
      <w:pPr>
        <w:spacing w:before="200"/>
      </w:pPr>
    </w:p>
    <w:p w:rsidR="001A2DA7" w:rsidRDefault="001A2DA7">
      <w:pPr>
        <w:pStyle w:val="Heading1"/>
        <w:pBdr>
          <w:bottom w:val="single" w:sz="6" w:space="4" w:color="007A6E"/>
        </w:pBdr>
      </w:pPr>
    </w:p>
    <w:p w:rsidR="001A2DA7" w:rsidRDefault="001A2DA7">
      <w:pPr>
        <w:pStyle w:val="Heading1"/>
        <w:pBdr>
          <w:bottom w:val="single" w:sz="6" w:space="4" w:color="007A6E"/>
        </w:pBdr>
      </w:pPr>
    </w:p>
    <w:p w:rsidR="001F168E" w:rsidRDefault="001C1D6D">
      <w:pPr>
        <w:pStyle w:val="Heading1"/>
        <w:pBdr>
          <w:bottom w:val="single" w:sz="6" w:space="4" w:color="007A6E"/>
        </w:pBdr>
      </w:pPr>
      <w:r>
        <w:lastRenderedPageBreak/>
        <w:t xml:space="preserve"> Project Background</w:t>
      </w:r>
    </w:p>
    <w:p w:rsidR="001F168E" w:rsidRDefault="001C1D6D">
      <w:pPr>
        <w:pStyle w:val="Heading2"/>
      </w:pPr>
      <w:r>
        <w:t xml:space="preserve"> Business Context</w:t>
      </w:r>
    </w:p>
    <w:p w:rsidR="001F168E" w:rsidRDefault="001C1D6D">
      <w:pPr>
        <w:spacing w:before="80" w:after="100"/>
      </w:pPr>
      <w:r>
        <w:rPr>
          <w:color w:val="333333"/>
        </w:rPr>
        <w:t>In March 2021, the container ship Ever Given ran aground in the Suez Canal, blocking one of the world’s most critical shipping arteries for six days. The disruption sent ripple effects across global maritime logistics, straining port capacity and inflating</w:t>
      </w:r>
      <w:r>
        <w:rPr>
          <w:color w:val="333333"/>
        </w:rPr>
        <w:t xml:space="preserve"> cargo movement times worldwide.</w:t>
      </w:r>
    </w:p>
    <w:p w:rsidR="001F168E" w:rsidRDefault="001C1D6D">
      <w:pPr>
        <w:spacing w:before="80" w:after="100"/>
      </w:pPr>
      <w:r>
        <w:rPr>
          <w:color w:val="333333"/>
        </w:rPr>
        <w:t>Global Maritime Solutions operates 50 terminal locations across four regional hubs — EMEA, APAC, AMER, and LATAM — handling over 15,000 cargo movements annually. Post-disruption, leadership observed widening variance in ter</w:t>
      </w:r>
      <w:r>
        <w:rPr>
          <w:color w:val="333333"/>
        </w:rPr>
        <w:t>minal performance and initiated this data-driven review.</w:t>
      </w:r>
    </w:p>
    <w:p w:rsidR="001F168E" w:rsidRDefault="001F168E">
      <w:pPr>
        <w:spacing w:before="80"/>
      </w:pPr>
    </w:p>
    <w:p w:rsidR="001F168E" w:rsidRDefault="001C1D6D">
      <w:pPr>
        <w:pStyle w:val="Heading2"/>
      </w:pPr>
      <w:r>
        <w:t>Project Objectives</w:t>
      </w:r>
    </w:p>
    <w:p w:rsidR="001F168E" w:rsidRDefault="001C1D6D">
      <w:pPr>
        <w:pStyle w:val="ListParagraph"/>
        <w:numPr>
          <w:ilvl w:val="0"/>
          <w:numId w:val="3"/>
        </w:numPr>
        <w:spacing w:before="60" w:after="60"/>
      </w:pPr>
      <w:r>
        <w:rPr>
          <w:color w:val="333333"/>
        </w:rPr>
        <w:t>Identify when and where the Suez disruption is reflected in operational data</w:t>
      </w:r>
    </w:p>
    <w:p w:rsidR="001F168E" w:rsidRDefault="001C1D6D">
      <w:pPr>
        <w:pStyle w:val="ListParagraph"/>
        <w:numPr>
          <w:ilvl w:val="0"/>
          <w:numId w:val="3"/>
        </w:numPr>
        <w:spacing w:before="60" w:after="60"/>
      </w:pPr>
      <w:r>
        <w:rPr>
          <w:color w:val="333333"/>
        </w:rPr>
        <w:t>Pinpoint terminal bottlenecks operating above optimal capacity</w:t>
      </w:r>
    </w:p>
    <w:p w:rsidR="001F168E" w:rsidRDefault="001C1D6D">
      <w:pPr>
        <w:pStyle w:val="ListParagraph"/>
        <w:numPr>
          <w:ilvl w:val="0"/>
          <w:numId w:val="3"/>
        </w:numPr>
        <w:spacing w:before="60" w:after="60"/>
      </w:pPr>
      <w:r>
        <w:rPr>
          <w:color w:val="333333"/>
        </w:rPr>
        <w:t>Understand efficiency drivers acros</w:t>
      </w:r>
      <w:r>
        <w:rPr>
          <w:color w:val="333333"/>
        </w:rPr>
        <w:t>s vessel types, shifts, and terminal locations</w:t>
      </w:r>
    </w:p>
    <w:p w:rsidR="001F168E" w:rsidRDefault="001C1D6D">
      <w:pPr>
        <w:pStyle w:val="ListParagraph"/>
        <w:numPr>
          <w:ilvl w:val="0"/>
          <w:numId w:val="3"/>
        </w:numPr>
        <w:spacing w:before="60" w:after="60"/>
      </w:pPr>
      <w:r>
        <w:rPr>
          <w:color w:val="333333"/>
        </w:rPr>
        <w:t>Recommend terminal allocation optimizations to reduce move duration by 15%</w:t>
      </w:r>
    </w:p>
    <w:p w:rsidR="001F168E" w:rsidRDefault="001F168E">
      <w:pPr>
        <w:spacing w:before="80"/>
      </w:pPr>
    </w:p>
    <w:p w:rsidR="001F168E" w:rsidRDefault="001C1D6D">
      <w:pPr>
        <w:pStyle w:val="Heading2"/>
      </w:pPr>
      <w:r>
        <w:t>Scope</w:t>
      </w:r>
    </w:p>
    <w:p w:rsidR="001F168E" w:rsidRDefault="001C1D6D">
      <w:pPr>
        <w:pStyle w:val="ListParagraph"/>
        <w:numPr>
          <w:ilvl w:val="0"/>
          <w:numId w:val="2"/>
        </w:numPr>
        <w:spacing w:before="60" w:after="60"/>
      </w:pPr>
      <w:r>
        <w:rPr>
          <w:color w:val="333333"/>
        </w:rPr>
        <w:t>Date Range: January 1, 2021 – December 31, 2024</w:t>
      </w:r>
    </w:p>
    <w:p w:rsidR="001F168E" w:rsidRDefault="001C1D6D">
      <w:pPr>
        <w:pStyle w:val="ListParagraph"/>
        <w:numPr>
          <w:ilvl w:val="0"/>
          <w:numId w:val="2"/>
        </w:numPr>
        <w:spacing w:before="60" w:after="60"/>
      </w:pPr>
      <w:r>
        <w:rPr>
          <w:color w:val="333333"/>
        </w:rPr>
        <w:t>Terminals: 50 global ports across EMEA, APAC, AMER, LATAM</w:t>
      </w:r>
    </w:p>
    <w:p w:rsidR="001F168E" w:rsidRDefault="001C1D6D">
      <w:pPr>
        <w:pStyle w:val="ListParagraph"/>
        <w:numPr>
          <w:ilvl w:val="0"/>
          <w:numId w:val="2"/>
        </w:numPr>
        <w:spacing w:before="60" w:after="60"/>
      </w:pPr>
      <w:r>
        <w:rPr>
          <w:color w:val="333333"/>
        </w:rPr>
        <w:t>Vessels: 1,000 vessels across Passenger, Cargo, Container, and Tanker categories</w:t>
      </w:r>
    </w:p>
    <w:p w:rsidR="001F168E" w:rsidRDefault="001C1D6D" w:rsidP="001A2DA7">
      <w:pPr>
        <w:pStyle w:val="ListParagraph"/>
        <w:numPr>
          <w:ilvl w:val="0"/>
          <w:numId w:val="2"/>
        </w:numPr>
        <w:spacing w:before="60" w:after="60"/>
      </w:pPr>
      <w:r>
        <w:rPr>
          <w:color w:val="333333"/>
        </w:rPr>
        <w:t>Movements: 15,000 fact-level cargo movement records</w:t>
      </w:r>
      <w:r>
        <w:br w:type="page"/>
      </w:r>
    </w:p>
    <w:p w:rsidR="001F168E" w:rsidRDefault="001C1D6D">
      <w:pPr>
        <w:pStyle w:val="Heading1"/>
        <w:pBdr>
          <w:bottom w:val="single" w:sz="6" w:space="4" w:color="007A6E"/>
        </w:pBdr>
      </w:pPr>
      <w:r>
        <w:lastRenderedPageBreak/>
        <w:t>Analysis Findings</w:t>
      </w:r>
    </w:p>
    <w:p w:rsidR="001F168E" w:rsidRDefault="001C1D6D">
      <w:pPr>
        <w:pStyle w:val="Heading2"/>
      </w:pPr>
      <w:r>
        <w:t>Suez Canal Disruption Impact</w:t>
      </w:r>
    </w:p>
    <w:p w:rsidR="001F168E" w:rsidRDefault="001C1D6D">
      <w:pPr>
        <w:spacing w:before="80" w:after="100"/>
      </w:pPr>
      <w:r>
        <w:rPr>
          <w:color w:val="333333"/>
        </w:rPr>
        <w:t>The analysis examined monthly cargo movement patterns throughout 2021 to identify the operational signature of the Suez Canal blockage.</w:t>
      </w:r>
    </w:p>
    <w:p w:rsidR="001F168E" w:rsidRDefault="001F168E">
      <w:pPr>
        <w:spacing w:before="80"/>
      </w:pPr>
    </w:p>
    <w:p w:rsidR="001F168E" w:rsidRDefault="001C1D6D">
      <w:pPr>
        <w:pStyle w:val="Heading3"/>
      </w:pPr>
      <w:r>
        <w:t>Monthly 2021 Duration Trend</w:t>
      </w:r>
    </w:p>
    <w:p w:rsidR="001F168E" w:rsidRDefault="001C1D6D">
      <w:pPr>
        <w:pStyle w:val="ListParagraph"/>
        <w:numPr>
          <w:ilvl w:val="0"/>
          <w:numId w:val="2"/>
        </w:numPr>
        <w:spacing w:before="60" w:after="60"/>
      </w:pPr>
      <w:r>
        <w:rPr>
          <w:color w:val="333333"/>
        </w:rPr>
        <w:t xml:space="preserve">Pre-Suez baseline (Jan–Feb 2021): 485 </w:t>
      </w:r>
      <w:proofErr w:type="spellStart"/>
      <w:r>
        <w:rPr>
          <w:color w:val="333333"/>
        </w:rPr>
        <w:t>hrs</w:t>
      </w:r>
      <w:proofErr w:type="spellEnd"/>
      <w:r>
        <w:rPr>
          <w:color w:val="333333"/>
        </w:rPr>
        <w:t xml:space="preserve"> average move duration</w:t>
      </w:r>
    </w:p>
    <w:p w:rsidR="001F168E" w:rsidRDefault="001C1D6D">
      <w:pPr>
        <w:pStyle w:val="ListParagraph"/>
        <w:numPr>
          <w:ilvl w:val="0"/>
          <w:numId w:val="2"/>
        </w:numPr>
        <w:spacing w:before="60" w:after="60"/>
      </w:pPr>
      <w:r>
        <w:rPr>
          <w:color w:val="333333"/>
        </w:rPr>
        <w:t xml:space="preserve">March 2021 (blockage month): 489 </w:t>
      </w:r>
      <w:proofErr w:type="spellStart"/>
      <w:r>
        <w:rPr>
          <w:color w:val="333333"/>
        </w:rPr>
        <w:t>hrs</w:t>
      </w:r>
      <w:proofErr w:type="spellEnd"/>
      <w:r>
        <w:rPr>
          <w:color w:val="333333"/>
        </w:rPr>
        <w:t xml:space="preserve"> — marginal increase, suggesting the immediate impact was absorbed by existing buffer capacity</w:t>
      </w:r>
    </w:p>
    <w:p w:rsidR="001F168E" w:rsidRDefault="001C1D6D">
      <w:pPr>
        <w:pStyle w:val="ListParagraph"/>
        <w:numPr>
          <w:ilvl w:val="0"/>
          <w:numId w:val="2"/>
        </w:numPr>
        <w:spacing w:before="60" w:after="60"/>
      </w:pPr>
      <w:r>
        <w:rPr>
          <w:color w:val="333333"/>
        </w:rPr>
        <w:t xml:space="preserve">Peak delayed impact: August 2021 </w:t>
      </w:r>
      <w:r>
        <w:rPr>
          <w:color w:val="333333"/>
        </w:rPr>
        <w:t xml:space="preserve">at 543 </w:t>
      </w:r>
      <w:proofErr w:type="spellStart"/>
      <w:r>
        <w:rPr>
          <w:color w:val="333333"/>
        </w:rPr>
        <w:t>hrs</w:t>
      </w:r>
      <w:proofErr w:type="spellEnd"/>
      <w:r>
        <w:rPr>
          <w:color w:val="333333"/>
        </w:rPr>
        <w:t xml:space="preserve"> — a 58-hour spike, indicating the ripple effect peaked 5 months after the event</w:t>
      </w:r>
    </w:p>
    <w:p w:rsidR="001F168E" w:rsidRDefault="001C1D6D">
      <w:pPr>
        <w:pStyle w:val="ListParagraph"/>
        <w:numPr>
          <w:ilvl w:val="0"/>
          <w:numId w:val="2"/>
        </w:numPr>
        <w:spacing w:before="60" w:after="60"/>
      </w:pPr>
      <w:r>
        <w:rPr>
          <w:color w:val="333333"/>
        </w:rPr>
        <w:t xml:space="preserve">By December 2021, duration had returned to 495 </w:t>
      </w:r>
      <w:proofErr w:type="spellStart"/>
      <w:r>
        <w:rPr>
          <w:color w:val="333333"/>
        </w:rPr>
        <w:t>hrs</w:t>
      </w:r>
      <w:proofErr w:type="spellEnd"/>
      <w:r>
        <w:rPr>
          <w:color w:val="333333"/>
        </w:rPr>
        <w:t>, approaching pre-event levels</w:t>
      </w:r>
    </w:p>
    <w:p w:rsidR="001F168E" w:rsidRDefault="001F168E">
      <w:pPr>
        <w:spacing w:before="80"/>
      </w:pPr>
    </w:p>
    <w:p w:rsidR="001F168E" w:rsidRDefault="001C1D6D">
      <w:pPr>
        <w:pStyle w:val="Heading3"/>
      </w:pPr>
      <w:r>
        <w:t>Regional Hub Impact</w:t>
      </w:r>
    </w:p>
    <w:p w:rsidR="001F168E" w:rsidRDefault="001C1D6D">
      <w:pPr>
        <w:pStyle w:val="ListParagraph"/>
        <w:numPr>
          <w:ilvl w:val="0"/>
          <w:numId w:val="2"/>
        </w:numPr>
        <w:spacing w:before="60" w:after="60"/>
      </w:pPr>
      <w:r>
        <w:rPr>
          <w:color w:val="333333"/>
        </w:rPr>
        <w:t xml:space="preserve">AMER was the most durably affected region, rising from 494 </w:t>
      </w:r>
      <w:proofErr w:type="spellStart"/>
      <w:r>
        <w:rPr>
          <w:color w:val="333333"/>
        </w:rPr>
        <w:t>hrs</w:t>
      </w:r>
      <w:proofErr w:type="spellEnd"/>
      <w:r>
        <w:rPr>
          <w:color w:val="333333"/>
        </w:rPr>
        <w:t xml:space="preserve"> </w:t>
      </w:r>
      <w:r>
        <w:rPr>
          <w:color w:val="333333"/>
        </w:rPr>
        <w:t xml:space="preserve">(2021) to a peak of 525 </w:t>
      </w:r>
      <w:proofErr w:type="spellStart"/>
      <w:r>
        <w:rPr>
          <w:color w:val="333333"/>
        </w:rPr>
        <w:t>hrs</w:t>
      </w:r>
      <w:proofErr w:type="spellEnd"/>
      <w:r>
        <w:rPr>
          <w:color w:val="333333"/>
        </w:rPr>
        <w:t xml:space="preserve"> in 2023 — a 6.4% increase over baseline</w:t>
      </w:r>
    </w:p>
    <w:p w:rsidR="001F168E" w:rsidRDefault="001C1D6D">
      <w:pPr>
        <w:pStyle w:val="ListParagraph"/>
        <w:numPr>
          <w:ilvl w:val="0"/>
          <w:numId w:val="2"/>
        </w:numPr>
        <w:spacing w:before="60" w:after="60"/>
      </w:pPr>
      <w:r>
        <w:rPr>
          <w:color w:val="333333"/>
        </w:rPr>
        <w:t xml:space="preserve">EMEA showed the fastest recovery, declining from 511 </w:t>
      </w:r>
      <w:proofErr w:type="spellStart"/>
      <w:r>
        <w:rPr>
          <w:color w:val="333333"/>
        </w:rPr>
        <w:t>hrs</w:t>
      </w:r>
      <w:proofErr w:type="spellEnd"/>
      <w:r>
        <w:rPr>
          <w:color w:val="333333"/>
        </w:rPr>
        <w:t xml:space="preserve"> (2022) to 491 </w:t>
      </w:r>
      <w:proofErr w:type="spellStart"/>
      <w:r>
        <w:rPr>
          <w:color w:val="333333"/>
        </w:rPr>
        <w:t>hrs</w:t>
      </w:r>
      <w:proofErr w:type="spellEnd"/>
      <w:r>
        <w:rPr>
          <w:color w:val="333333"/>
        </w:rPr>
        <w:t xml:space="preserve"> by 2023</w:t>
      </w:r>
    </w:p>
    <w:p w:rsidR="001F168E" w:rsidRDefault="001C1D6D">
      <w:pPr>
        <w:pStyle w:val="ListParagraph"/>
        <w:numPr>
          <w:ilvl w:val="0"/>
          <w:numId w:val="2"/>
        </w:numPr>
        <w:spacing w:before="60" w:after="60"/>
      </w:pPr>
      <w:r>
        <w:rPr>
          <w:color w:val="333333"/>
        </w:rPr>
        <w:t xml:space="preserve">APAC remained relatively stable throughout the period, fluctuating within 485–504 </w:t>
      </w:r>
      <w:proofErr w:type="spellStart"/>
      <w:r>
        <w:rPr>
          <w:color w:val="333333"/>
        </w:rPr>
        <w:t>hrs</w:t>
      </w:r>
      <w:proofErr w:type="spellEnd"/>
    </w:p>
    <w:p w:rsidR="001F168E" w:rsidRDefault="001C1D6D">
      <w:pPr>
        <w:pStyle w:val="ListParagraph"/>
        <w:numPr>
          <w:ilvl w:val="0"/>
          <w:numId w:val="2"/>
        </w:numPr>
        <w:spacing w:before="60" w:after="60"/>
      </w:pPr>
      <w:r>
        <w:rPr>
          <w:color w:val="333333"/>
        </w:rPr>
        <w:t xml:space="preserve">LATAM trended upward in 2024 (512 </w:t>
      </w:r>
      <w:proofErr w:type="spellStart"/>
      <w:r>
        <w:rPr>
          <w:color w:val="333333"/>
        </w:rPr>
        <w:t>hrs</w:t>
      </w:r>
      <w:proofErr w:type="spellEnd"/>
      <w:r>
        <w:rPr>
          <w:color w:val="333333"/>
        </w:rPr>
        <w:t>), suggesting emerging congestion independent of the Suez event</w:t>
      </w:r>
    </w:p>
    <w:p w:rsidR="001F168E" w:rsidRDefault="001F168E">
      <w:pPr>
        <w:spacing w:before="80"/>
      </w:pPr>
    </w:p>
    <w:p w:rsidR="001F168E" w:rsidRDefault="001C1D6D">
      <w:pPr>
        <w:pStyle w:val="Heading2"/>
      </w:pPr>
      <w:r>
        <w:t>Terminal Bottleneck Analysis</w:t>
      </w:r>
    </w:p>
    <w:p w:rsidR="001F168E" w:rsidRDefault="001C1D6D">
      <w:pPr>
        <w:spacing w:before="80" w:after="100"/>
      </w:pPr>
      <w:r>
        <w:rPr>
          <w:color w:val="333333"/>
        </w:rPr>
        <w:t>The following table shows the top 10 terminals by total cargo movements, including utilization status based on movement t</w:t>
      </w:r>
      <w:r>
        <w:rPr>
          <w:color w:val="333333"/>
        </w:rPr>
        <w:t>hresholds.</w:t>
      </w:r>
    </w:p>
    <w:p w:rsidR="001F168E" w:rsidRDefault="001F168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5"/>
        <w:gridCol w:w="761"/>
        <w:gridCol w:w="958"/>
        <w:gridCol w:w="1381"/>
        <w:gridCol w:w="1304"/>
        <w:gridCol w:w="1478"/>
        <w:gridCol w:w="1413"/>
      </w:tblGrid>
      <w:tr w:rsidR="001F168E">
        <w:tblPrEx>
          <w:tblCellMar>
            <w:top w:w="0" w:type="dxa"/>
            <w:bottom w:w="0" w:type="dxa"/>
          </w:tblCellMar>
        </w:tblPrEx>
        <w:trPr>
          <w:tblHeader/>
        </w:trPr>
        <w:tc>
          <w:tcPr>
            <w:tcW w:w="1900" w:type="dxa"/>
            <w:tcBorders>
              <w:top w:val="single" w:sz="1" w:space="0" w:color="C5D8E8"/>
              <w:left w:val="single" w:sz="1" w:space="0" w:color="C5D8E8"/>
              <w:bottom w:val="single" w:sz="1" w:space="0" w:color="C5D8E8"/>
              <w:right w:val="single" w:sz="1" w:space="0" w:color="C5D8E8"/>
            </w:tcBorders>
            <w:shd w:val="clear" w:color="auto" w:fill="0B1C35"/>
            <w:tcMar>
              <w:top w:w="100" w:type="dxa"/>
              <w:left w:w="140" w:type="dxa"/>
              <w:bottom w:w="100" w:type="dxa"/>
              <w:right w:w="140" w:type="dxa"/>
            </w:tcMar>
          </w:tcPr>
          <w:p w:rsidR="001F168E" w:rsidRDefault="001C1D6D">
            <w:r>
              <w:rPr>
                <w:b/>
                <w:bCs/>
                <w:color w:val="FFFFFF"/>
                <w:sz w:val="18"/>
                <w:szCs w:val="18"/>
              </w:rPr>
              <w:t>Terminal Name</w:t>
            </w:r>
          </w:p>
        </w:tc>
        <w:tc>
          <w:tcPr>
            <w:tcW w:w="700" w:type="dxa"/>
            <w:tcBorders>
              <w:top w:val="single" w:sz="1" w:space="0" w:color="C5D8E8"/>
              <w:left w:val="single" w:sz="1" w:space="0" w:color="C5D8E8"/>
              <w:bottom w:val="single" w:sz="1" w:space="0" w:color="C5D8E8"/>
              <w:right w:val="single" w:sz="1" w:space="0" w:color="C5D8E8"/>
            </w:tcBorders>
            <w:shd w:val="clear" w:color="auto" w:fill="0B1C35"/>
            <w:tcMar>
              <w:top w:w="100" w:type="dxa"/>
              <w:left w:w="140" w:type="dxa"/>
              <w:bottom w:w="100" w:type="dxa"/>
              <w:right w:w="140" w:type="dxa"/>
            </w:tcMar>
          </w:tcPr>
          <w:p w:rsidR="001F168E" w:rsidRDefault="001C1D6D">
            <w:r>
              <w:rPr>
                <w:b/>
                <w:bCs/>
                <w:color w:val="FFFFFF"/>
                <w:sz w:val="18"/>
                <w:szCs w:val="18"/>
              </w:rPr>
              <w:t>ID</w:t>
            </w:r>
          </w:p>
        </w:tc>
        <w:tc>
          <w:tcPr>
            <w:tcW w:w="800" w:type="dxa"/>
            <w:tcBorders>
              <w:top w:val="single" w:sz="1" w:space="0" w:color="C5D8E8"/>
              <w:left w:val="single" w:sz="1" w:space="0" w:color="C5D8E8"/>
              <w:bottom w:val="single" w:sz="1" w:space="0" w:color="C5D8E8"/>
              <w:right w:val="single" w:sz="1" w:space="0" w:color="C5D8E8"/>
            </w:tcBorders>
            <w:shd w:val="clear" w:color="auto" w:fill="0B1C35"/>
            <w:tcMar>
              <w:top w:w="100" w:type="dxa"/>
              <w:left w:w="140" w:type="dxa"/>
              <w:bottom w:w="100" w:type="dxa"/>
              <w:right w:w="140" w:type="dxa"/>
            </w:tcMar>
          </w:tcPr>
          <w:p w:rsidR="001F168E" w:rsidRDefault="001C1D6D">
            <w:r>
              <w:rPr>
                <w:b/>
                <w:bCs/>
                <w:color w:val="FFFFFF"/>
                <w:sz w:val="18"/>
                <w:szCs w:val="18"/>
              </w:rPr>
              <w:t>Hub</w:t>
            </w:r>
          </w:p>
        </w:tc>
        <w:tc>
          <w:tcPr>
            <w:tcW w:w="1100" w:type="dxa"/>
            <w:tcBorders>
              <w:top w:val="single" w:sz="1" w:space="0" w:color="C5D8E8"/>
              <w:left w:val="single" w:sz="1" w:space="0" w:color="C5D8E8"/>
              <w:bottom w:val="single" w:sz="1" w:space="0" w:color="C5D8E8"/>
              <w:right w:val="single" w:sz="1" w:space="0" w:color="C5D8E8"/>
            </w:tcBorders>
            <w:shd w:val="clear" w:color="auto" w:fill="0B1C35"/>
            <w:tcMar>
              <w:top w:w="100" w:type="dxa"/>
              <w:left w:w="140" w:type="dxa"/>
              <w:bottom w:w="100" w:type="dxa"/>
              <w:right w:w="140" w:type="dxa"/>
            </w:tcMar>
          </w:tcPr>
          <w:p w:rsidR="001F168E" w:rsidRDefault="001C1D6D">
            <w:r>
              <w:rPr>
                <w:b/>
                <w:bCs/>
                <w:color w:val="FFFFFF"/>
                <w:sz w:val="18"/>
                <w:szCs w:val="18"/>
              </w:rPr>
              <w:t>Movements</w:t>
            </w:r>
          </w:p>
        </w:tc>
        <w:tc>
          <w:tcPr>
            <w:tcW w:w="1200" w:type="dxa"/>
            <w:tcBorders>
              <w:top w:val="single" w:sz="1" w:space="0" w:color="C5D8E8"/>
              <w:left w:val="single" w:sz="1" w:space="0" w:color="C5D8E8"/>
              <w:bottom w:val="single" w:sz="1" w:space="0" w:color="C5D8E8"/>
              <w:right w:val="single" w:sz="1" w:space="0" w:color="C5D8E8"/>
            </w:tcBorders>
            <w:shd w:val="clear" w:color="auto" w:fill="0B1C35"/>
            <w:tcMar>
              <w:top w:w="100" w:type="dxa"/>
              <w:left w:w="140" w:type="dxa"/>
              <w:bottom w:w="100" w:type="dxa"/>
              <w:right w:w="140" w:type="dxa"/>
            </w:tcMar>
          </w:tcPr>
          <w:p w:rsidR="001F168E" w:rsidRDefault="001C1D6D">
            <w:proofErr w:type="spellStart"/>
            <w:r>
              <w:rPr>
                <w:b/>
                <w:bCs/>
                <w:color w:val="FFFFFF"/>
                <w:sz w:val="18"/>
                <w:szCs w:val="18"/>
              </w:rPr>
              <w:t>Avg</w:t>
            </w:r>
            <w:proofErr w:type="spellEnd"/>
            <w:r>
              <w:rPr>
                <w:b/>
                <w:bCs/>
                <w:color w:val="FFFFFF"/>
                <w:sz w:val="18"/>
                <w:szCs w:val="18"/>
              </w:rPr>
              <w:t xml:space="preserve"> Duration</w:t>
            </w:r>
          </w:p>
        </w:tc>
        <w:tc>
          <w:tcPr>
            <w:tcW w:w="1360" w:type="dxa"/>
            <w:tcBorders>
              <w:top w:val="single" w:sz="1" w:space="0" w:color="C5D8E8"/>
              <w:left w:val="single" w:sz="1" w:space="0" w:color="C5D8E8"/>
              <w:bottom w:val="single" w:sz="1" w:space="0" w:color="C5D8E8"/>
              <w:right w:val="single" w:sz="1" w:space="0" w:color="C5D8E8"/>
            </w:tcBorders>
            <w:shd w:val="clear" w:color="auto" w:fill="0B1C35"/>
            <w:tcMar>
              <w:top w:w="100" w:type="dxa"/>
              <w:left w:w="140" w:type="dxa"/>
              <w:bottom w:w="100" w:type="dxa"/>
              <w:right w:w="140" w:type="dxa"/>
            </w:tcMar>
          </w:tcPr>
          <w:p w:rsidR="001F168E" w:rsidRDefault="001C1D6D">
            <w:r>
              <w:rPr>
                <w:b/>
                <w:bCs/>
                <w:color w:val="FFFFFF"/>
                <w:sz w:val="18"/>
                <w:szCs w:val="18"/>
              </w:rPr>
              <w:t>Containers</w:t>
            </w:r>
          </w:p>
        </w:tc>
        <w:tc>
          <w:tcPr>
            <w:tcW w:w="1300" w:type="dxa"/>
            <w:tcBorders>
              <w:top w:val="single" w:sz="1" w:space="0" w:color="C5D8E8"/>
              <w:left w:val="single" w:sz="1" w:space="0" w:color="C5D8E8"/>
              <w:bottom w:val="single" w:sz="1" w:space="0" w:color="C5D8E8"/>
              <w:right w:val="single" w:sz="1" w:space="0" w:color="C5D8E8"/>
            </w:tcBorders>
            <w:shd w:val="clear" w:color="auto" w:fill="0B1C35"/>
            <w:tcMar>
              <w:top w:w="100" w:type="dxa"/>
              <w:left w:w="140" w:type="dxa"/>
              <w:bottom w:w="100" w:type="dxa"/>
              <w:right w:w="140" w:type="dxa"/>
            </w:tcMar>
          </w:tcPr>
          <w:p w:rsidR="001F168E" w:rsidRDefault="001C1D6D">
            <w:r>
              <w:rPr>
                <w:b/>
                <w:bCs/>
                <w:color w:val="FFFFFF"/>
                <w:sz w:val="18"/>
                <w:szCs w:val="18"/>
              </w:rPr>
              <w:t>Status</w:t>
            </w:r>
          </w:p>
        </w:tc>
      </w:tr>
      <w:tr w:rsidR="001F168E">
        <w:tblPrEx>
          <w:tblCellMar>
            <w:top w:w="0" w:type="dxa"/>
            <w:bottom w:w="0" w:type="dxa"/>
          </w:tblCellMar>
        </w:tblPrEx>
        <w:tc>
          <w:tcPr>
            <w:tcW w:w="19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Jason Gonzalez</w:t>
            </w:r>
          </w:p>
        </w:tc>
        <w:tc>
          <w:tcPr>
            <w:tcW w:w="7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350</w:t>
            </w:r>
          </w:p>
        </w:tc>
        <w:tc>
          <w:tcPr>
            <w:tcW w:w="8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EMEA</w:t>
            </w:r>
          </w:p>
        </w:tc>
        <w:tc>
          <w:tcPr>
            <w:tcW w:w="11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329</w:t>
            </w:r>
          </w:p>
        </w:tc>
        <w:tc>
          <w:tcPr>
            <w:tcW w:w="12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 xml:space="preserve">505 </w:t>
            </w:r>
            <w:proofErr w:type="spellStart"/>
            <w:r>
              <w:rPr>
                <w:color w:val="333333"/>
                <w:sz w:val="18"/>
                <w:szCs w:val="18"/>
              </w:rPr>
              <w:t>hrs</w:t>
            </w:r>
            <w:proofErr w:type="spellEnd"/>
          </w:p>
        </w:tc>
        <w:tc>
          <w:tcPr>
            <w:tcW w:w="136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159,328</w:t>
            </w:r>
          </w:p>
        </w:tc>
        <w:tc>
          <w:tcPr>
            <w:tcW w:w="13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b/>
                <w:bCs/>
                <w:color w:val="C0392B"/>
                <w:sz w:val="18"/>
                <w:szCs w:val="18"/>
              </w:rPr>
              <w:t>Over-utilized</w:t>
            </w:r>
          </w:p>
        </w:tc>
      </w:tr>
      <w:tr w:rsidR="001F168E">
        <w:tblPrEx>
          <w:tblCellMar>
            <w:top w:w="0" w:type="dxa"/>
            <w:bottom w:w="0" w:type="dxa"/>
          </w:tblCellMar>
        </w:tblPrEx>
        <w:tc>
          <w:tcPr>
            <w:tcW w:w="19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Shannon Gray</w:t>
            </w:r>
          </w:p>
        </w:tc>
        <w:tc>
          <w:tcPr>
            <w:tcW w:w="7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778</w:t>
            </w:r>
          </w:p>
        </w:tc>
        <w:tc>
          <w:tcPr>
            <w:tcW w:w="8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APAC</w:t>
            </w:r>
          </w:p>
        </w:tc>
        <w:tc>
          <w:tcPr>
            <w:tcW w:w="11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327</w:t>
            </w:r>
          </w:p>
        </w:tc>
        <w:tc>
          <w:tcPr>
            <w:tcW w:w="12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 xml:space="preserve">481 </w:t>
            </w:r>
            <w:proofErr w:type="spellStart"/>
            <w:r>
              <w:rPr>
                <w:color w:val="333333"/>
                <w:sz w:val="18"/>
                <w:szCs w:val="18"/>
              </w:rPr>
              <w:t>hrs</w:t>
            </w:r>
            <w:proofErr w:type="spellEnd"/>
          </w:p>
        </w:tc>
        <w:tc>
          <w:tcPr>
            <w:tcW w:w="136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158,188</w:t>
            </w:r>
          </w:p>
        </w:tc>
        <w:tc>
          <w:tcPr>
            <w:tcW w:w="13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b/>
                <w:bCs/>
                <w:color w:val="C0392B"/>
                <w:sz w:val="18"/>
                <w:szCs w:val="18"/>
              </w:rPr>
              <w:t>Over-utilized</w:t>
            </w:r>
          </w:p>
        </w:tc>
      </w:tr>
      <w:tr w:rsidR="001F168E">
        <w:tblPrEx>
          <w:tblCellMar>
            <w:top w:w="0" w:type="dxa"/>
            <w:bottom w:w="0" w:type="dxa"/>
          </w:tblCellMar>
        </w:tblPrEx>
        <w:tc>
          <w:tcPr>
            <w:tcW w:w="19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Deborah Perez</w:t>
            </w:r>
          </w:p>
        </w:tc>
        <w:tc>
          <w:tcPr>
            <w:tcW w:w="7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672</w:t>
            </w:r>
          </w:p>
        </w:tc>
        <w:tc>
          <w:tcPr>
            <w:tcW w:w="8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AMER</w:t>
            </w:r>
          </w:p>
        </w:tc>
        <w:tc>
          <w:tcPr>
            <w:tcW w:w="11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324</w:t>
            </w:r>
          </w:p>
        </w:tc>
        <w:tc>
          <w:tcPr>
            <w:tcW w:w="12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 xml:space="preserve">530 </w:t>
            </w:r>
            <w:proofErr w:type="spellStart"/>
            <w:r>
              <w:rPr>
                <w:color w:val="333333"/>
                <w:sz w:val="18"/>
                <w:szCs w:val="18"/>
              </w:rPr>
              <w:t>hrs</w:t>
            </w:r>
            <w:proofErr w:type="spellEnd"/>
          </w:p>
        </w:tc>
        <w:tc>
          <w:tcPr>
            <w:tcW w:w="136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155,955</w:t>
            </w:r>
          </w:p>
        </w:tc>
        <w:tc>
          <w:tcPr>
            <w:tcW w:w="13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b/>
                <w:bCs/>
                <w:color w:val="C0392B"/>
                <w:sz w:val="18"/>
                <w:szCs w:val="18"/>
              </w:rPr>
              <w:t>Over-utilized</w:t>
            </w:r>
          </w:p>
        </w:tc>
      </w:tr>
      <w:tr w:rsidR="001F168E">
        <w:tblPrEx>
          <w:tblCellMar>
            <w:top w:w="0" w:type="dxa"/>
            <w:bottom w:w="0" w:type="dxa"/>
          </w:tblCellMar>
        </w:tblPrEx>
        <w:tc>
          <w:tcPr>
            <w:tcW w:w="19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Lauren Little</w:t>
            </w:r>
          </w:p>
        </w:tc>
        <w:tc>
          <w:tcPr>
            <w:tcW w:w="7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272</w:t>
            </w:r>
          </w:p>
        </w:tc>
        <w:tc>
          <w:tcPr>
            <w:tcW w:w="8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LATAM</w:t>
            </w:r>
          </w:p>
        </w:tc>
        <w:tc>
          <w:tcPr>
            <w:tcW w:w="11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322</w:t>
            </w:r>
          </w:p>
        </w:tc>
        <w:tc>
          <w:tcPr>
            <w:tcW w:w="12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 xml:space="preserve">521 </w:t>
            </w:r>
            <w:proofErr w:type="spellStart"/>
            <w:r>
              <w:rPr>
                <w:color w:val="333333"/>
                <w:sz w:val="18"/>
                <w:szCs w:val="18"/>
              </w:rPr>
              <w:t>hrs</w:t>
            </w:r>
            <w:proofErr w:type="spellEnd"/>
          </w:p>
        </w:tc>
        <w:tc>
          <w:tcPr>
            <w:tcW w:w="136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159,782</w:t>
            </w:r>
          </w:p>
        </w:tc>
        <w:tc>
          <w:tcPr>
            <w:tcW w:w="13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b/>
                <w:bCs/>
                <w:color w:val="C0392B"/>
                <w:sz w:val="18"/>
                <w:szCs w:val="18"/>
              </w:rPr>
              <w:t>Over-utilized</w:t>
            </w:r>
          </w:p>
        </w:tc>
      </w:tr>
      <w:tr w:rsidR="001F168E">
        <w:tblPrEx>
          <w:tblCellMar>
            <w:top w:w="0" w:type="dxa"/>
            <w:bottom w:w="0" w:type="dxa"/>
          </w:tblCellMar>
        </w:tblPrEx>
        <w:tc>
          <w:tcPr>
            <w:tcW w:w="19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Patricia Gallegos</w:t>
            </w:r>
          </w:p>
        </w:tc>
        <w:tc>
          <w:tcPr>
            <w:tcW w:w="7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506</w:t>
            </w:r>
          </w:p>
        </w:tc>
        <w:tc>
          <w:tcPr>
            <w:tcW w:w="8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APAC</w:t>
            </w:r>
          </w:p>
        </w:tc>
        <w:tc>
          <w:tcPr>
            <w:tcW w:w="11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321</w:t>
            </w:r>
          </w:p>
        </w:tc>
        <w:tc>
          <w:tcPr>
            <w:tcW w:w="12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 xml:space="preserve">517 </w:t>
            </w:r>
            <w:proofErr w:type="spellStart"/>
            <w:r>
              <w:rPr>
                <w:color w:val="333333"/>
                <w:sz w:val="18"/>
                <w:szCs w:val="18"/>
              </w:rPr>
              <w:t>hrs</w:t>
            </w:r>
            <w:proofErr w:type="spellEnd"/>
          </w:p>
        </w:tc>
        <w:tc>
          <w:tcPr>
            <w:tcW w:w="136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159,268</w:t>
            </w:r>
          </w:p>
        </w:tc>
        <w:tc>
          <w:tcPr>
            <w:tcW w:w="13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b/>
                <w:bCs/>
                <w:color w:val="C0392B"/>
                <w:sz w:val="18"/>
                <w:szCs w:val="18"/>
              </w:rPr>
              <w:t>Over-utilized</w:t>
            </w:r>
          </w:p>
        </w:tc>
      </w:tr>
      <w:tr w:rsidR="001F168E">
        <w:tblPrEx>
          <w:tblCellMar>
            <w:top w:w="0" w:type="dxa"/>
            <w:bottom w:w="0" w:type="dxa"/>
          </w:tblCellMar>
        </w:tblPrEx>
        <w:tc>
          <w:tcPr>
            <w:tcW w:w="19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Kayla Mitchell</w:t>
            </w:r>
          </w:p>
        </w:tc>
        <w:tc>
          <w:tcPr>
            <w:tcW w:w="7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99</w:t>
            </w:r>
          </w:p>
        </w:tc>
        <w:tc>
          <w:tcPr>
            <w:tcW w:w="8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APAC</w:t>
            </w:r>
          </w:p>
        </w:tc>
        <w:tc>
          <w:tcPr>
            <w:tcW w:w="11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320</w:t>
            </w:r>
          </w:p>
        </w:tc>
        <w:tc>
          <w:tcPr>
            <w:tcW w:w="12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 xml:space="preserve">514 </w:t>
            </w:r>
            <w:proofErr w:type="spellStart"/>
            <w:r>
              <w:rPr>
                <w:color w:val="333333"/>
                <w:sz w:val="18"/>
                <w:szCs w:val="18"/>
              </w:rPr>
              <w:t>hrs</w:t>
            </w:r>
            <w:proofErr w:type="spellEnd"/>
          </w:p>
        </w:tc>
        <w:tc>
          <w:tcPr>
            <w:tcW w:w="136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166,497</w:t>
            </w:r>
          </w:p>
        </w:tc>
        <w:tc>
          <w:tcPr>
            <w:tcW w:w="13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b/>
                <w:bCs/>
                <w:color w:val="C0392B"/>
                <w:sz w:val="18"/>
                <w:szCs w:val="18"/>
              </w:rPr>
              <w:t>Over-utilized</w:t>
            </w:r>
          </w:p>
        </w:tc>
      </w:tr>
      <w:tr w:rsidR="001F168E">
        <w:tblPrEx>
          <w:tblCellMar>
            <w:top w:w="0" w:type="dxa"/>
            <w:bottom w:w="0" w:type="dxa"/>
          </w:tblCellMar>
        </w:tblPrEx>
        <w:tc>
          <w:tcPr>
            <w:tcW w:w="19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John Juarez</w:t>
            </w:r>
          </w:p>
        </w:tc>
        <w:tc>
          <w:tcPr>
            <w:tcW w:w="7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737</w:t>
            </w:r>
          </w:p>
        </w:tc>
        <w:tc>
          <w:tcPr>
            <w:tcW w:w="8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LATAM</w:t>
            </w:r>
          </w:p>
        </w:tc>
        <w:tc>
          <w:tcPr>
            <w:tcW w:w="11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319</w:t>
            </w:r>
          </w:p>
        </w:tc>
        <w:tc>
          <w:tcPr>
            <w:tcW w:w="12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 xml:space="preserve">489 </w:t>
            </w:r>
            <w:proofErr w:type="spellStart"/>
            <w:r>
              <w:rPr>
                <w:color w:val="333333"/>
                <w:sz w:val="18"/>
                <w:szCs w:val="18"/>
              </w:rPr>
              <w:t>hrs</w:t>
            </w:r>
            <w:proofErr w:type="spellEnd"/>
          </w:p>
        </w:tc>
        <w:tc>
          <w:tcPr>
            <w:tcW w:w="136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158,332</w:t>
            </w:r>
          </w:p>
        </w:tc>
        <w:tc>
          <w:tcPr>
            <w:tcW w:w="13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b/>
                <w:bCs/>
                <w:color w:val="F5A623"/>
                <w:sz w:val="18"/>
                <w:szCs w:val="18"/>
              </w:rPr>
              <w:t>Near Capacity</w:t>
            </w:r>
          </w:p>
        </w:tc>
      </w:tr>
      <w:tr w:rsidR="001F168E">
        <w:tblPrEx>
          <w:tblCellMar>
            <w:top w:w="0" w:type="dxa"/>
            <w:bottom w:w="0" w:type="dxa"/>
          </w:tblCellMar>
        </w:tblPrEx>
        <w:tc>
          <w:tcPr>
            <w:tcW w:w="19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Shawn Martinez</w:t>
            </w:r>
          </w:p>
        </w:tc>
        <w:tc>
          <w:tcPr>
            <w:tcW w:w="7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395</w:t>
            </w:r>
          </w:p>
        </w:tc>
        <w:tc>
          <w:tcPr>
            <w:tcW w:w="8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APAC</w:t>
            </w:r>
          </w:p>
        </w:tc>
        <w:tc>
          <w:tcPr>
            <w:tcW w:w="11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316</w:t>
            </w:r>
          </w:p>
        </w:tc>
        <w:tc>
          <w:tcPr>
            <w:tcW w:w="12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 xml:space="preserve">522 </w:t>
            </w:r>
            <w:proofErr w:type="spellStart"/>
            <w:r>
              <w:rPr>
                <w:color w:val="333333"/>
                <w:sz w:val="18"/>
                <w:szCs w:val="18"/>
              </w:rPr>
              <w:t>hrs</w:t>
            </w:r>
            <w:proofErr w:type="spellEnd"/>
          </w:p>
        </w:tc>
        <w:tc>
          <w:tcPr>
            <w:tcW w:w="136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159,775</w:t>
            </w:r>
          </w:p>
        </w:tc>
        <w:tc>
          <w:tcPr>
            <w:tcW w:w="13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b/>
                <w:bCs/>
                <w:color w:val="F5A623"/>
                <w:sz w:val="18"/>
                <w:szCs w:val="18"/>
              </w:rPr>
              <w:t>Near Capacity</w:t>
            </w:r>
          </w:p>
        </w:tc>
      </w:tr>
      <w:tr w:rsidR="001F168E">
        <w:tblPrEx>
          <w:tblCellMar>
            <w:top w:w="0" w:type="dxa"/>
            <w:bottom w:w="0" w:type="dxa"/>
          </w:tblCellMar>
        </w:tblPrEx>
        <w:tc>
          <w:tcPr>
            <w:tcW w:w="19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lastRenderedPageBreak/>
              <w:t>Isaac Moore</w:t>
            </w:r>
          </w:p>
        </w:tc>
        <w:tc>
          <w:tcPr>
            <w:tcW w:w="7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371</w:t>
            </w:r>
          </w:p>
        </w:tc>
        <w:tc>
          <w:tcPr>
            <w:tcW w:w="8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EMEA</w:t>
            </w:r>
          </w:p>
        </w:tc>
        <w:tc>
          <w:tcPr>
            <w:tcW w:w="11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316</w:t>
            </w:r>
          </w:p>
        </w:tc>
        <w:tc>
          <w:tcPr>
            <w:tcW w:w="12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 xml:space="preserve">509 </w:t>
            </w:r>
            <w:proofErr w:type="spellStart"/>
            <w:r>
              <w:rPr>
                <w:color w:val="333333"/>
                <w:sz w:val="18"/>
                <w:szCs w:val="18"/>
              </w:rPr>
              <w:t>hrs</w:t>
            </w:r>
            <w:proofErr w:type="spellEnd"/>
          </w:p>
        </w:tc>
        <w:tc>
          <w:tcPr>
            <w:tcW w:w="136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153,753</w:t>
            </w:r>
          </w:p>
        </w:tc>
        <w:tc>
          <w:tcPr>
            <w:tcW w:w="13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b/>
                <w:bCs/>
                <w:color w:val="F5A623"/>
                <w:sz w:val="18"/>
                <w:szCs w:val="18"/>
              </w:rPr>
              <w:t>Near Capacity</w:t>
            </w:r>
          </w:p>
        </w:tc>
      </w:tr>
      <w:tr w:rsidR="001F168E">
        <w:tblPrEx>
          <w:tblCellMar>
            <w:top w:w="0" w:type="dxa"/>
            <w:bottom w:w="0" w:type="dxa"/>
          </w:tblCellMar>
        </w:tblPrEx>
        <w:tc>
          <w:tcPr>
            <w:tcW w:w="19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Diamond Newman</w:t>
            </w:r>
          </w:p>
        </w:tc>
        <w:tc>
          <w:tcPr>
            <w:tcW w:w="7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374</w:t>
            </w:r>
          </w:p>
        </w:tc>
        <w:tc>
          <w:tcPr>
            <w:tcW w:w="8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EMEA</w:t>
            </w:r>
          </w:p>
        </w:tc>
        <w:tc>
          <w:tcPr>
            <w:tcW w:w="11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314</w:t>
            </w:r>
          </w:p>
        </w:tc>
        <w:tc>
          <w:tcPr>
            <w:tcW w:w="12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 xml:space="preserve">487 </w:t>
            </w:r>
            <w:proofErr w:type="spellStart"/>
            <w:r>
              <w:rPr>
                <w:color w:val="333333"/>
                <w:sz w:val="18"/>
                <w:szCs w:val="18"/>
              </w:rPr>
              <w:t>hrs</w:t>
            </w:r>
            <w:proofErr w:type="spellEnd"/>
          </w:p>
        </w:tc>
        <w:tc>
          <w:tcPr>
            <w:tcW w:w="136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154,055</w:t>
            </w:r>
          </w:p>
        </w:tc>
        <w:tc>
          <w:tcPr>
            <w:tcW w:w="13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b/>
                <w:bCs/>
                <w:color w:val="F5A623"/>
                <w:sz w:val="18"/>
                <w:szCs w:val="18"/>
              </w:rPr>
              <w:t>Near Capacity</w:t>
            </w:r>
          </w:p>
        </w:tc>
      </w:tr>
    </w:tbl>
    <w:p w:rsidR="001F168E" w:rsidRDefault="001F168E">
      <w:pPr>
        <w:spacing w:before="160"/>
      </w:pPr>
    </w:p>
    <w:p w:rsidR="001F168E" w:rsidRDefault="001C1D6D">
      <w:pPr>
        <w:pStyle w:val="Heading3"/>
      </w:pPr>
      <w:r>
        <w:t>Bottleneck Classification</w:t>
      </w:r>
    </w:p>
    <w:p w:rsidR="001F168E" w:rsidRDefault="001C1D6D">
      <w:pPr>
        <w:pStyle w:val="ListParagraph"/>
        <w:numPr>
          <w:ilvl w:val="0"/>
          <w:numId w:val="2"/>
        </w:numPr>
        <w:spacing w:before="60" w:after="60"/>
      </w:pPr>
      <w:r>
        <w:rPr>
          <w:color w:val="333333"/>
        </w:rPr>
        <w:t>Over-utilized: 320+ movements — 6 terminals flagged</w:t>
      </w:r>
    </w:p>
    <w:p w:rsidR="001F168E" w:rsidRDefault="001C1D6D">
      <w:pPr>
        <w:pStyle w:val="ListParagraph"/>
        <w:numPr>
          <w:ilvl w:val="0"/>
          <w:numId w:val="2"/>
        </w:numPr>
        <w:spacing w:before="60" w:after="60"/>
      </w:pPr>
      <w:r>
        <w:rPr>
          <w:color w:val="333333"/>
        </w:rPr>
        <w:t>Near Capacity: 300–319 movements — 4 terminals flagged</w:t>
      </w:r>
    </w:p>
    <w:p w:rsidR="001F168E" w:rsidRDefault="001C1D6D">
      <w:pPr>
        <w:pStyle w:val="ListParagraph"/>
        <w:numPr>
          <w:ilvl w:val="0"/>
          <w:numId w:val="2"/>
        </w:numPr>
        <w:spacing w:before="60" w:after="60"/>
      </w:pPr>
      <w:r>
        <w:rPr>
          <w:color w:val="333333"/>
        </w:rPr>
        <w:t>Normal: below 300 movements</w:t>
      </w:r>
    </w:p>
    <w:p w:rsidR="001F168E" w:rsidRDefault="001F168E">
      <w:pPr>
        <w:spacing w:before="80"/>
      </w:pPr>
    </w:p>
    <w:p w:rsidR="001F168E" w:rsidRDefault="001C1D6D">
      <w:pPr>
        <w:pStyle w:val="Heading3"/>
      </w:pPr>
      <w:r>
        <w:t>Critical Bottleneck Terminals</w:t>
      </w:r>
    </w:p>
    <w:p w:rsidR="001F168E" w:rsidRDefault="001C1D6D">
      <w:pPr>
        <w:pStyle w:val="ListParagraph"/>
        <w:numPr>
          <w:ilvl w:val="0"/>
          <w:numId w:val="2"/>
        </w:numPr>
        <w:spacing w:before="60" w:after="60"/>
      </w:pPr>
      <w:r>
        <w:rPr>
          <w:color w:val="333333"/>
        </w:rPr>
        <w:t xml:space="preserve">Deborah Perez (T-672, AMER): Highest </w:t>
      </w:r>
      <w:proofErr w:type="spellStart"/>
      <w:r>
        <w:rPr>
          <w:color w:val="333333"/>
        </w:rPr>
        <w:t>avg</w:t>
      </w:r>
      <w:proofErr w:type="spellEnd"/>
      <w:r>
        <w:rPr>
          <w:color w:val="333333"/>
        </w:rPr>
        <w:t xml:space="preserve"> duration at 530 </w:t>
      </w:r>
      <w:proofErr w:type="spellStart"/>
      <w:r>
        <w:rPr>
          <w:color w:val="333333"/>
        </w:rPr>
        <w:t>hrs</w:t>
      </w:r>
      <w:proofErr w:type="spellEnd"/>
      <w:r>
        <w:rPr>
          <w:color w:val="333333"/>
        </w:rPr>
        <w:t xml:space="preserve"> combined with 324 movements. Primary bottleneck candidate for capacity expansion.</w:t>
      </w:r>
    </w:p>
    <w:p w:rsidR="001F168E" w:rsidRDefault="001C1D6D">
      <w:pPr>
        <w:pStyle w:val="ListParagraph"/>
        <w:numPr>
          <w:ilvl w:val="0"/>
          <w:numId w:val="2"/>
        </w:numPr>
        <w:spacing w:before="60" w:after="60"/>
      </w:pPr>
      <w:r>
        <w:rPr>
          <w:color w:val="333333"/>
        </w:rPr>
        <w:t xml:space="preserve">Shawn Martinez (T-395, APAC): 316 movements with 522 </w:t>
      </w:r>
      <w:proofErr w:type="spellStart"/>
      <w:r>
        <w:rPr>
          <w:color w:val="333333"/>
        </w:rPr>
        <w:t>hrs</w:t>
      </w:r>
      <w:proofErr w:type="spellEnd"/>
      <w:r>
        <w:rPr>
          <w:color w:val="333333"/>
        </w:rPr>
        <w:t xml:space="preserve"> </w:t>
      </w:r>
      <w:proofErr w:type="spellStart"/>
      <w:r>
        <w:rPr>
          <w:color w:val="333333"/>
        </w:rPr>
        <w:t>avg</w:t>
      </w:r>
      <w:proofErr w:type="spellEnd"/>
      <w:r>
        <w:rPr>
          <w:color w:val="333333"/>
        </w:rPr>
        <w:t xml:space="preserve"> duration. High-traffic and high-duration.</w:t>
      </w:r>
    </w:p>
    <w:p w:rsidR="001F168E" w:rsidRDefault="001C1D6D">
      <w:pPr>
        <w:pStyle w:val="ListParagraph"/>
        <w:numPr>
          <w:ilvl w:val="0"/>
          <w:numId w:val="2"/>
        </w:numPr>
        <w:spacing w:before="60" w:after="60"/>
      </w:pPr>
      <w:r>
        <w:rPr>
          <w:color w:val="333333"/>
        </w:rPr>
        <w:t xml:space="preserve">Kayla Mitchell (T-99, APAC): Highest container volume at 166,497 units with 514 </w:t>
      </w:r>
      <w:proofErr w:type="spellStart"/>
      <w:r>
        <w:rPr>
          <w:color w:val="333333"/>
        </w:rPr>
        <w:t>hrs</w:t>
      </w:r>
      <w:proofErr w:type="spellEnd"/>
      <w:r>
        <w:rPr>
          <w:color w:val="333333"/>
        </w:rPr>
        <w:t xml:space="preserve"> </w:t>
      </w:r>
      <w:proofErr w:type="spellStart"/>
      <w:r>
        <w:rPr>
          <w:color w:val="333333"/>
        </w:rPr>
        <w:t>avg</w:t>
      </w:r>
      <w:proofErr w:type="spellEnd"/>
      <w:r>
        <w:rPr>
          <w:color w:val="333333"/>
        </w:rPr>
        <w:t xml:space="preserve"> duration — showing strain under load.</w:t>
      </w:r>
    </w:p>
    <w:p w:rsidR="001F168E" w:rsidRDefault="001F168E">
      <w:pPr>
        <w:spacing w:before="80"/>
      </w:pPr>
    </w:p>
    <w:p w:rsidR="001F168E" w:rsidRDefault="001C1D6D">
      <w:pPr>
        <w:pStyle w:val="Heading2"/>
      </w:pPr>
      <w:r>
        <w:t>Efficiency Anomalies</w:t>
      </w:r>
    </w:p>
    <w:p w:rsidR="001F168E" w:rsidRDefault="001C1D6D">
      <w:pPr>
        <w:pStyle w:val="Heading3"/>
      </w:pPr>
      <w:r>
        <w:t>By Vessel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560"/>
      </w:tblGrid>
      <w:tr w:rsidR="001F168E">
        <w:tblPrEx>
          <w:tblCellMar>
            <w:top w:w="0" w:type="dxa"/>
            <w:bottom w:w="0" w:type="dxa"/>
          </w:tblCellMar>
        </w:tblPrEx>
        <w:trPr>
          <w:tblHeader/>
        </w:trPr>
        <w:tc>
          <w:tcPr>
            <w:tcW w:w="2400" w:type="dxa"/>
            <w:tcBorders>
              <w:top w:val="single" w:sz="1" w:space="0" w:color="C5D8E8"/>
              <w:left w:val="single" w:sz="1" w:space="0" w:color="C5D8E8"/>
              <w:bottom w:val="single" w:sz="1" w:space="0" w:color="C5D8E8"/>
              <w:right w:val="single" w:sz="1" w:space="0" w:color="C5D8E8"/>
            </w:tcBorders>
            <w:shd w:val="clear" w:color="auto" w:fill="0B1C35"/>
            <w:tcMar>
              <w:top w:w="100" w:type="dxa"/>
              <w:left w:w="140" w:type="dxa"/>
              <w:bottom w:w="100" w:type="dxa"/>
              <w:right w:w="140" w:type="dxa"/>
            </w:tcMar>
          </w:tcPr>
          <w:p w:rsidR="001F168E" w:rsidRDefault="001C1D6D">
            <w:r>
              <w:rPr>
                <w:b/>
                <w:bCs/>
                <w:color w:val="FFFFFF"/>
                <w:sz w:val="20"/>
                <w:szCs w:val="20"/>
              </w:rPr>
              <w:t>Vessel Category</w:t>
            </w:r>
          </w:p>
        </w:tc>
        <w:tc>
          <w:tcPr>
            <w:tcW w:w="2200" w:type="dxa"/>
            <w:tcBorders>
              <w:top w:val="single" w:sz="1" w:space="0" w:color="C5D8E8"/>
              <w:left w:val="single" w:sz="1" w:space="0" w:color="C5D8E8"/>
              <w:bottom w:val="single" w:sz="1" w:space="0" w:color="C5D8E8"/>
              <w:right w:val="single" w:sz="1" w:space="0" w:color="C5D8E8"/>
            </w:tcBorders>
            <w:shd w:val="clear" w:color="auto" w:fill="0B1C35"/>
            <w:tcMar>
              <w:top w:w="100" w:type="dxa"/>
              <w:left w:w="140" w:type="dxa"/>
              <w:bottom w:w="100" w:type="dxa"/>
              <w:right w:w="140" w:type="dxa"/>
            </w:tcMar>
          </w:tcPr>
          <w:p w:rsidR="001F168E" w:rsidRDefault="001C1D6D">
            <w:proofErr w:type="spellStart"/>
            <w:r>
              <w:rPr>
                <w:b/>
                <w:bCs/>
                <w:color w:val="FFFFFF"/>
                <w:sz w:val="20"/>
                <w:szCs w:val="20"/>
              </w:rPr>
              <w:t>Avg</w:t>
            </w:r>
            <w:proofErr w:type="spellEnd"/>
            <w:r>
              <w:rPr>
                <w:b/>
                <w:bCs/>
                <w:color w:val="FFFFFF"/>
                <w:sz w:val="20"/>
                <w:szCs w:val="20"/>
              </w:rPr>
              <w:t xml:space="preserve"> Duration (</w:t>
            </w:r>
            <w:proofErr w:type="spellStart"/>
            <w:r>
              <w:rPr>
                <w:b/>
                <w:bCs/>
                <w:color w:val="FFFFFF"/>
                <w:sz w:val="20"/>
                <w:szCs w:val="20"/>
              </w:rPr>
              <w:t>hrs</w:t>
            </w:r>
            <w:proofErr w:type="spellEnd"/>
            <w:r>
              <w:rPr>
                <w:b/>
                <w:bCs/>
                <w:color w:val="FFFFFF"/>
                <w:sz w:val="20"/>
                <w:szCs w:val="20"/>
              </w:rPr>
              <w:t>)</w:t>
            </w:r>
          </w:p>
        </w:tc>
        <w:tc>
          <w:tcPr>
            <w:tcW w:w="2200" w:type="dxa"/>
            <w:tcBorders>
              <w:top w:val="single" w:sz="1" w:space="0" w:color="C5D8E8"/>
              <w:left w:val="single" w:sz="1" w:space="0" w:color="C5D8E8"/>
              <w:bottom w:val="single" w:sz="1" w:space="0" w:color="C5D8E8"/>
              <w:right w:val="single" w:sz="1" w:space="0" w:color="C5D8E8"/>
            </w:tcBorders>
            <w:shd w:val="clear" w:color="auto" w:fill="0B1C35"/>
            <w:tcMar>
              <w:top w:w="100" w:type="dxa"/>
              <w:left w:w="140" w:type="dxa"/>
              <w:bottom w:w="100" w:type="dxa"/>
              <w:right w:w="140" w:type="dxa"/>
            </w:tcMar>
          </w:tcPr>
          <w:p w:rsidR="001F168E" w:rsidRDefault="001C1D6D">
            <w:r>
              <w:rPr>
                <w:b/>
                <w:bCs/>
                <w:color w:val="FFFFFF"/>
                <w:sz w:val="20"/>
                <w:szCs w:val="20"/>
              </w:rPr>
              <w:t>Movement Count</w:t>
            </w:r>
          </w:p>
        </w:tc>
        <w:tc>
          <w:tcPr>
            <w:tcW w:w="2560" w:type="dxa"/>
            <w:tcBorders>
              <w:top w:val="single" w:sz="1" w:space="0" w:color="C5D8E8"/>
              <w:left w:val="single" w:sz="1" w:space="0" w:color="C5D8E8"/>
              <w:bottom w:val="single" w:sz="1" w:space="0" w:color="C5D8E8"/>
              <w:right w:val="single" w:sz="1" w:space="0" w:color="C5D8E8"/>
            </w:tcBorders>
            <w:shd w:val="clear" w:color="auto" w:fill="0B1C35"/>
            <w:tcMar>
              <w:top w:w="100" w:type="dxa"/>
              <w:left w:w="140" w:type="dxa"/>
              <w:bottom w:w="100" w:type="dxa"/>
              <w:right w:w="140" w:type="dxa"/>
            </w:tcMar>
          </w:tcPr>
          <w:p w:rsidR="001F168E" w:rsidRDefault="001C1D6D">
            <w:r>
              <w:rPr>
                <w:b/>
                <w:bCs/>
                <w:color w:val="FFFFFF"/>
                <w:sz w:val="20"/>
                <w:szCs w:val="20"/>
              </w:rPr>
              <w:t>Share (%)</w:t>
            </w:r>
          </w:p>
        </w:tc>
      </w:tr>
      <w:tr w:rsidR="001F168E">
        <w:tblPrEx>
          <w:tblCellMar>
            <w:top w:w="0" w:type="dxa"/>
            <w:bottom w:w="0" w:type="dxa"/>
          </w:tblCellMar>
        </w:tblPrEx>
        <w:tc>
          <w:tcPr>
            <w:tcW w:w="24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20"/>
                <w:szCs w:val="20"/>
              </w:rPr>
              <w:t>Passenger</w:t>
            </w:r>
          </w:p>
        </w:tc>
        <w:tc>
          <w:tcPr>
            <w:tcW w:w="22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20"/>
                <w:szCs w:val="20"/>
              </w:rPr>
              <w:t>511.7</w:t>
            </w:r>
          </w:p>
        </w:tc>
        <w:tc>
          <w:tcPr>
            <w:tcW w:w="22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20"/>
                <w:szCs w:val="20"/>
              </w:rPr>
              <w:t>3,935</w:t>
            </w:r>
          </w:p>
        </w:tc>
        <w:tc>
          <w:tcPr>
            <w:tcW w:w="256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20"/>
                <w:szCs w:val="20"/>
              </w:rPr>
              <w:t>26.2%</w:t>
            </w:r>
          </w:p>
        </w:tc>
      </w:tr>
      <w:tr w:rsidR="001F168E">
        <w:tblPrEx>
          <w:tblCellMar>
            <w:top w:w="0" w:type="dxa"/>
            <w:bottom w:w="0" w:type="dxa"/>
          </w:tblCellMar>
        </w:tblPrEx>
        <w:tc>
          <w:tcPr>
            <w:tcW w:w="24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20"/>
                <w:szCs w:val="20"/>
              </w:rPr>
              <w:t>Tanker</w:t>
            </w:r>
          </w:p>
        </w:tc>
        <w:tc>
          <w:tcPr>
            <w:tcW w:w="22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20"/>
                <w:szCs w:val="20"/>
              </w:rPr>
              <w:t>498.6</w:t>
            </w:r>
          </w:p>
        </w:tc>
        <w:tc>
          <w:tcPr>
            <w:tcW w:w="22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20"/>
                <w:szCs w:val="20"/>
              </w:rPr>
              <w:t>3,571</w:t>
            </w:r>
          </w:p>
        </w:tc>
        <w:tc>
          <w:tcPr>
            <w:tcW w:w="256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20"/>
                <w:szCs w:val="20"/>
              </w:rPr>
              <w:t>23.8%</w:t>
            </w:r>
          </w:p>
        </w:tc>
      </w:tr>
      <w:tr w:rsidR="001F168E">
        <w:tblPrEx>
          <w:tblCellMar>
            <w:top w:w="0" w:type="dxa"/>
            <w:bottom w:w="0" w:type="dxa"/>
          </w:tblCellMar>
        </w:tblPrEx>
        <w:tc>
          <w:tcPr>
            <w:tcW w:w="24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20"/>
                <w:szCs w:val="20"/>
              </w:rPr>
              <w:t>Cargo</w:t>
            </w:r>
          </w:p>
        </w:tc>
        <w:tc>
          <w:tcPr>
            <w:tcW w:w="22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20"/>
                <w:szCs w:val="20"/>
              </w:rPr>
              <w:t>498.1</w:t>
            </w:r>
          </w:p>
        </w:tc>
        <w:tc>
          <w:tcPr>
            <w:tcW w:w="22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20"/>
                <w:szCs w:val="20"/>
              </w:rPr>
              <w:t>3,888</w:t>
            </w:r>
          </w:p>
        </w:tc>
        <w:tc>
          <w:tcPr>
            <w:tcW w:w="256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20"/>
                <w:szCs w:val="20"/>
              </w:rPr>
              <w:t>25.9%</w:t>
            </w:r>
          </w:p>
        </w:tc>
      </w:tr>
      <w:tr w:rsidR="001F168E">
        <w:tblPrEx>
          <w:tblCellMar>
            <w:top w:w="0" w:type="dxa"/>
            <w:bottom w:w="0" w:type="dxa"/>
          </w:tblCellMar>
        </w:tblPrEx>
        <w:tc>
          <w:tcPr>
            <w:tcW w:w="24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20"/>
                <w:szCs w:val="20"/>
              </w:rPr>
              <w:t>Container</w:t>
            </w:r>
          </w:p>
        </w:tc>
        <w:tc>
          <w:tcPr>
            <w:tcW w:w="22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20"/>
                <w:szCs w:val="20"/>
              </w:rPr>
              <w:t>495.9</w:t>
            </w:r>
          </w:p>
        </w:tc>
        <w:tc>
          <w:tcPr>
            <w:tcW w:w="22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20"/>
                <w:szCs w:val="20"/>
              </w:rPr>
              <w:t>3,606</w:t>
            </w:r>
          </w:p>
        </w:tc>
        <w:tc>
          <w:tcPr>
            <w:tcW w:w="256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20"/>
                <w:szCs w:val="20"/>
              </w:rPr>
              <w:t>24.0%</w:t>
            </w:r>
          </w:p>
        </w:tc>
      </w:tr>
    </w:tbl>
    <w:p w:rsidR="001F168E" w:rsidRDefault="001F168E">
      <w:pPr>
        <w:spacing w:before="120"/>
      </w:pPr>
    </w:p>
    <w:p w:rsidR="001F168E" w:rsidRDefault="001C1D6D">
      <w:pPr>
        <w:pStyle w:val="ListParagraph"/>
        <w:numPr>
          <w:ilvl w:val="0"/>
          <w:numId w:val="2"/>
        </w:numPr>
        <w:spacing w:before="60" w:after="60"/>
      </w:pPr>
      <w:r>
        <w:rPr>
          <w:color w:val="333333"/>
        </w:rPr>
        <w:t xml:space="preserve">Passenger vessels are the slowest category at 511.7 </w:t>
      </w:r>
      <w:proofErr w:type="spellStart"/>
      <w:r>
        <w:rPr>
          <w:color w:val="333333"/>
        </w:rPr>
        <w:t>hrs</w:t>
      </w:r>
      <w:proofErr w:type="spellEnd"/>
      <w:r>
        <w:rPr>
          <w:color w:val="333333"/>
        </w:rPr>
        <w:t xml:space="preserve"> — 15.8 </w:t>
      </w:r>
      <w:proofErr w:type="spellStart"/>
      <w:r>
        <w:rPr>
          <w:color w:val="333333"/>
        </w:rPr>
        <w:t>hrs</w:t>
      </w:r>
      <w:proofErr w:type="spellEnd"/>
      <w:r>
        <w:rPr>
          <w:color w:val="333333"/>
        </w:rPr>
        <w:t xml:space="preserve"> above Container vessels</w:t>
      </w:r>
    </w:p>
    <w:p w:rsidR="001F168E" w:rsidRDefault="001C1D6D">
      <w:pPr>
        <w:pStyle w:val="ListParagraph"/>
        <w:numPr>
          <w:ilvl w:val="0"/>
          <w:numId w:val="2"/>
        </w:numPr>
        <w:spacing w:before="60" w:after="60"/>
      </w:pPr>
      <w:r>
        <w:rPr>
          <w:color w:val="333333"/>
        </w:rPr>
        <w:t xml:space="preserve">Container vessels are the most efficient at 495.9 </w:t>
      </w:r>
      <w:proofErr w:type="spellStart"/>
      <w:r>
        <w:rPr>
          <w:color w:val="333333"/>
        </w:rPr>
        <w:t>hrs</w:t>
      </w:r>
      <w:proofErr w:type="spellEnd"/>
    </w:p>
    <w:p w:rsidR="001F168E" w:rsidRDefault="001C1D6D">
      <w:pPr>
        <w:pStyle w:val="ListParagraph"/>
        <w:numPr>
          <w:ilvl w:val="0"/>
          <w:numId w:val="2"/>
        </w:numPr>
        <w:spacing w:before="60" w:after="60"/>
      </w:pPr>
      <w:r>
        <w:rPr>
          <w:color w:val="333333"/>
        </w:rPr>
        <w:t xml:space="preserve">Cargo and Tanker categories are nearly identical in performance (498 </w:t>
      </w:r>
      <w:proofErr w:type="spellStart"/>
      <w:r>
        <w:rPr>
          <w:color w:val="333333"/>
        </w:rPr>
        <w:t>hrs</w:t>
      </w:r>
      <w:proofErr w:type="spellEnd"/>
      <w:r>
        <w:rPr>
          <w:color w:val="333333"/>
        </w:rPr>
        <w:t>)</w:t>
      </w:r>
    </w:p>
    <w:p w:rsidR="001F168E" w:rsidRDefault="001F168E">
      <w:pPr>
        <w:spacing w:before="80"/>
      </w:pPr>
    </w:p>
    <w:p w:rsidR="001F168E" w:rsidRDefault="001C1D6D">
      <w:pPr>
        <w:pStyle w:val="Heading3"/>
      </w:pPr>
      <w:r>
        <w:t>By Shift</w:t>
      </w:r>
    </w:p>
    <w:p w:rsidR="001F168E" w:rsidRDefault="001C1D6D">
      <w:pPr>
        <w:pStyle w:val="ListParagraph"/>
        <w:numPr>
          <w:ilvl w:val="0"/>
          <w:numId w:val="2"/>
        </w:numPr>
        <w:spacing w:before="60" w:after="60"/>
      </w:pPr>
      <w:r>
        <w:rPr>
          <w:color w:val="333333"/>
        </w:rPr>
        <w:t xml:space="preserve">Day shifts average 505.7 </w:t>
      </w:r>
      <w:proofErr w:type="spellStart"/>
      <w:r>
        <w:rPr>
          <w:color w:val="333333"/>
        </w:rPr>
        <w:t>hr</w:t>
      </w:r>
      <w:r>
        <w:rPr>
          <w:color w:val="333333"/>
        </w:rPr>
        <w:t>s</w:t>
      </w:r>
      <w:proofErr w:type="spellEnd"/>
      <w:r>
        <w:rPr>
          <w:color w:val="333333"/>
        </w:rPr>
        <w:t xml:space="preserve"> — 8.9 </w:t>
      </w:r>
      <w:proofErr w:type="spellStart"/>
      <w:r>
        <w:rPr>
          <w:color w:val="333333"/>
        </w:rPr>
        <w:t>hrs</w:t>
      </w:r>
      <w:proofErr w:type="spellEnd"/>
      <w:r>
        <w:rPr>
          <w:color w:val="333333"/>
        </w:rPr>
        <w:t xml:space="preserve"> slower than Night shifts (496.8 </w:t>
      </w:r>
      <w:proofErr w:type="spellStart"/>
      <w:r>
        <w:rPr>
          <w:color w:val="333333"/>
        </w:rPr>
        <w:t>hrs</w:t>
      </w:r>
      <w:proofErr w:type="spellEnd"/>
      <w:r>
        <w:rPr>
          <w:color w:val="333333"/>
        </w:rPr>
        <w:t>)</w:t>
      </w:r>
    </w:p>
    <w:p w:rsidR="001F168E" w:rsidRDefault="001C1D6D">
      <w:pPr>
        <w:pStyle w:val="ListParagraph"/>
        <w:numPr>
          <w:ilvl w:val="0"/>
          <w:numId w:val="2"/>
        </w:numPr>
        <w:spacing w:before="60" w:after="60"/>
      </w:pPr>
      <w:r>
        <w:rPr>
          <w:color w:val="333333"/>
        </w:rPr>
        <w:t>This suggests daytime congestion, staffing peaks, or berth contention during operational hours</w:t>
      </w:r>
    </w:p>
    <w:p w:rsidR="001F168E" w:rsidRDefault="001F168E">
      <w:pPr>
        <w:spacing w:before="80"/>
      </w:pPr>
    </w:p>
    <w:p w:rsidR="001F168E" w:rsidRDefault="001C1D6D">
      <w:pPr>
        <w:pStyle w:val="Heading3"/>
      </w:pPr>
      <w:r>
        <w:t>Vessel Age Correlation</w:t>
      </w:r>
    </w:p>
    <w:p w:rsidR="001F168E" w:rsidRDefault="001C1D6D">
      <w:pPr>
        <w:pStyle w:val="ListParagraph"/>
        <w:numPr>
          <w:ilvl w:val="0"/>
          <w:numId w:val="2"/>
        </w:numPr>
        <w:spacing w:before="60" w:after="60"/>
      </w:pPr>
      <w:r>
        <w:rPr>
          <w:color w:val="333333"/>
        </w:rPr>
        <w:t>Pearson correlation between vessel age and move duration: r = -0.006</w:t>
      </w:r>
    </w:p>
    <w:p w:rsidR="001F168E" w:rsidRDefault="001C1D6D">
      <w:pPr>
        <w:pStyle w:val="ListParagraph"/>
        <w:numPr>
          <w:ilvl w:val="0"/>
          <w:numId w:val="2"/>
        </w:numPr>
        <w:spacing w:before="60" w:after="60"/>
      </w:pPr>
      <w:r>
        <w:rPr>
          <w:color w:val="333333"/>
        </w:rPr>
        <w:t>Near-zero correlati</w:t>
      </w:r>
      <w:r>
        <w:rPr>
          <w:color w:val="333333"/>
        </w:rPr>
        <w:t>on — vessel age has no meaningful influence on movement duration</w:t>
      </w:r>
    </w:p>
    <w:p w:rsidR="001F168E" w:rsidRPr="00831923" w:rsidRDefault="001C1D6D">
      <w:pPr>
        <w:pStyle w:val="ListParagraph"/>
        <w:numPr>
          <w:ilvl w:val="0"/>
          <w:numId w:val="2"/>
        </w:numPr>
        <w:spacing w:before="60" w:after="60"/>
      </w:pPr>
      <w:r>
        <w:rPr>
          <w:color w:val="333333"/>
        </w:rPr>
        <w:t>Optimization efforts should focus on vessel type routing and terminal assignment, not fleet age</w:t>
      </w:r>
    </w:p>
    <w:p w:rsidR="00831923" w:rsidRDefault="00831923" w:rsidP="00831923"/>
    <w:p w:rsidR="001F168E" w:rsidRDefault="001C1D6D" w:rsidP="00831923">
      <w:r>
        <w:rPr>
          <w:b/>
          <w:bCs/>
          <w:color w:val="0B1C35"/>
          <w:sz w:val="32"/>
          <w:szCs w:val="32"/>
        </w:rPr>
        <w:t>Power BI Report Structure</w:t>
      </w:r>
    </w:p>
    <w:p w:rsidR="001F168E" w:rsidRDefault="001C1D6D">
      <w:pPr>
        <w:pStyle w:val="Heading2"/>
      </w:pPr>
      <w:r>
        <w:t>DAX Measures Reference</w:t>
      </w:r>
    </w:p>
    <w:p w:rsidR="001F168E" w:rsidRDefault="001C1D6D">
      <w:pPr>
        <w:spacing w:before="80" w:after="100"/>
      </w:pPr>
      <w:r>
        <w:rPr>
          <w:color w:val="333333"/>
        </w:rPr>
        <w:t>Create a dedicated Measures table in Power BI and add the following measures:</w:t>
      </w:r>
    </w:p>
    <w:p w:rsidR="001F168E" w:rsidRDefault="001F168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3160"/>
      </w:tblGrid>
      <w:tr w:rsidR="001F168E">
        <w:tblPrEx>
          <w:tblCellMar>
            <w:top w:w="0" w:type="dxa"/>
            <w:bottom w:w="0" w:type="dxa"/>
          </w:tblCellMar>
        </w:tblPrEx>
        <w:trPr>
          <w:tblHeader/>
        </w:trPr>
        <w:tc>
          <w:tcPr>
            <w:tcW w:w="2000" w:type="dxa"/>
            <w:tcBorders>
              <w:top w:val="single" w:sz="1" w:space="0" w:color="C5D8E8"/>
              <w:left w:val="single" w:sz="1" w:space="0" w:color="C5D8E8"/>
              <w:bottom w:val="single" w:sz="1" w:space="0" w:color="C5D8E8"/>
              <w:right w:val="single" w:sz="1" w:space="0" w:color="C5D8E8"/>
            </w:tcBorders>
            <w:shd w:val="clear" w:color="auto" w:fill="0B1C35"/>
            <w:tcMar>
              <w:top w:w="100" w:type="dxa"/>
              <w:left w:w="140" w:type="dxa"/>
              <w:bottom w:w="100" w:type="dxa"/>
              <w:right w:w="140" w:type="dxa"/>
            </w:tcMar>
          </w:tcPr>
          <w:p w:rsidR="001F168E" w:rsidRDefault="001C1D6D">
            <w:r>
              <w:rPr>
                <w:b/>
                <w:bCs/>
                <w:color w:val="FFFFFF"/>
                <w:sz w:val="18"/>
                <w:szCs w:val="18"/>
              </w:rPr>
              <w:t>Measure Name</w:t>
            </w:r>
          </w:p>
        </w:tc>
        <w:tc>
          <w:tcPr>
            <w:tcW w:w="4200" w:type="dxa"/>
            <w:tcBorders>
              <w:top w:val="single" w:sz="1" w:space="0" w:color="C5D8E8"/>
              <w:left w:val="single" w:sz="1" w:space="0" w:color="C5D8E8"/>
              <w:bottom w:val="single" w:sz="1" w:space="0" w:color="C5D8E8"/>
              <w:right w:val="single" w:sz="1" w:space="0" w:color="C5D8E8"/>
            </w:tcBorders>
            <w:shd w:val="clear" w:color="auto" w:fill="0B1C35"/>
            <w:tcMar>
              <w:top w:w="100" w:type="dxa"/>
              <w:left w:w="140" w:type="dxa"/>
              <w:bottom w:w="100" w:type="dxa"/>
              <w:right w:w="140" w:type="dxa"/>
            </w:tcMar>
          </w:tcPr>
          <w:p w:rsidR="001F168E" w:rsidRDefault="001C1D6D">
            <w:r>
              <w:rPr>
                <w:b/>
                <w:bCs/>
                <w:color w:val="FFFFFF"/>
                <w:sz w:val="18"/>
                <w:szCs w:val="18"/>
              </w:rPr>
              <w:t>DAX Formula</w:t>
            </w:r>
          </w:p>
        </w:tc>
        <w:tc>
          <w:tcPr>
            <w:tcW w:w="3160" w:type="dxa"/>
            <w:tcBorders>
              <w:top w:val="single" w:sz="1" w:space="0" w:color="C5D8E8"/>
              <w:left w:val="single" w:sz="1" w:space="0" w:color="C5D8E8"/>
              <w:bottom w:val="single" w:sz="1" w:space="0" w:color="C5D8E8"/>
              <w:right w:val="single" w:sz="1" w:space="0" w:color="C5D8E8"/>
            </w:tcBorders>
            <w:shd w:val="clear" w:color="auto" w:fill="0B1C35"/>
            <w:tcMar>
              <w:top w:w="100" w:type="dxa"/>
              <w:left w:w="140" w:type="dxa"/>
              <w:bottom w:w="100" w:type="dxa"/>
              <w:right w:w="140" w:type="dxa"/>
            </w:tcMar>
          </w:tcPr>
          <w:p w:rsidR="001F168E" w:rsidRDefault="001C1D6D">
            <w:r>
              <w:rPr>
                <w:b/>
                <w:bCs/>
                <w:color w:val="FFFFFF"/>
                <w:sz w:val="18"/>
                <w:szCs w:val="18"/>
              </w:rPr>
              <w:t>Purpos</w:t>
            </w:r>
            <w:r>
              <w:rPr>
                <w:b/>
                <w:bCs/>
                <w:color w:val="FFFFFF"/>
                <w:sz w:val="18"/>
                <w:szCs w:val="18"/>
              </w:rPr>
              <w:t>e</w:t>
            </w:r>
          </w:p>
        </w:tc>
      </w:tr>
      <w:tr w:rsidR="001F168E">
        <w:tblPrEx>
          <w:tblCellMar>
            <w:top w:w="0" w:type="dxa"/>
            <w:bottom w:w="0" w:type="dxa"/>
          </w:tblCellMar>
        </w:tblPrEx>
        <w:tc>
          <w:tcPr>
            <w:tcW w:w="20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Total Movements</w:t>
            </w:r>
          </w:p>
        </w:tc>
        <w:tc>
          <w:tcPr>
            <w:tcW w:w="42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COUNTROWS('Fact Cargo Movements')</w:t>
            </w:r>
          </w:p>
        </w:tc>
        <w:tc>
          <w:tcPr>
            <w:tcW w:w="316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Total number of cargo movements</w:t>
            </w:r>
          </w:p>
        </w:tc>
      </w:tr>
      <w:tr w:rsidR="001F168E">
        <w:tblPrEx>
          <w:tblCellMar>
            <w:top w:w="0" w:type="dxa"/>
            <w:bottom w:w="0" w:type="dxa"/>
          </w:tblCellMar>
        </w:tblPrEx>
        <w:tc>
          <w:tcPr>
            <w:tcW w:w="20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Total Containers</w:t>
            </w:r>
          </w:p>
        </w:tc>
        <w:tc>
          <w:tcPr>
            <w:tcW w:w="42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SUM('Fact Cargo Movements'[</w:t>
            </w:r>
            <w:proofErr w:type="spellStart"/>
            <w:r>
              <w:rPr>
                <w:color w:val="333333"/>
                <w:sz w:val="18"/>
                <w:szCs w:val="18"/>
              </w:rPr>
              <w:t>container_count</w:t>
            </w:r>
            <w:proofErr w:type="spellEnd"/>
            <w:r>
              <w:rPr>
                <w:color w:val="333333"/>
                <w:sz w:val="18"/>
                <w:szCs w:val="18"/>
              </w:rPr>
              <w:t>])</w:t>
            </w:r>
          </w:p>
        </w:tc>
        <w:tc>
          <w:tcPr>
            <w:tcW w:w="316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Total containers across all movements</w:t>
            </w:r>
          </w:p>
        </w:tc>
      </w:tr>
      <w:tr w:rsidR="001F168E">
        <w:tblPrEx>
          <w:tblCellMar>
            <w:top w:w="0" w:type="dxa"/>
            <w:bottom w:w="0" w:type="dxa"/>
          </w:tblCellMar>
        </w:tblPrEx>
        <w:tc>
          <w:tcPr>
            <w:tcW w:w="20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proofErr w:type="spellStart"/>
            <w:r>
              <w:rPr>
                <w:color w:val="333333"/>
                <w:sz w:val="18"/>
                <w:szCs w:val="18"/>
              </w:rPr>
              <w:t>Avg</w:t>
            </w:r>
            <w:proofErr w:type="spellEnd"/>
            <w:r>
              <w:rPr>
                <w:color w:val="333333"/>
                <w:sz w:val="18"/>
                <w:szCs w:val="18"/>
              </w:rPr>
              <w:t xml:space="preserve"> Move Duration</w:t>
            </w:r>
          </w:p>
        </w:tc>
        <w:tc>
          <w:tcPr>
            <w:tcW w:w="42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AVERAGE('Fact Cargo Movements'[</w:t>
            </w:r>
            <w:proofErr w:type="spellStart"/>
            <w:r>
              <w:rPr>
                <w:color w:val="333333"/>
                <w:sz w:val="18"/>
                <w:szCs w:val="18"/>
              </w:rPr>
              <w:t>move_duration</w:t>
            </w:r>
            <w:proofErr w:type="spellEnd"/>
            <w:r>
              <w:rPr>
                <w:color w:val="333333"/>
                <w:sz w:val="18"/>
                <w:szCs w:val="18"/>
              </w:rPr>
              <w:t>])</w:t>
            </w:r>
          </w:p>
        </w:tc>
        <w:tc>
          <w:tcPr>
            <w:tcW w:w="316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Average duration in hours</w:t>
            </w:r>
          </w:p>
        </w:tc>
      </w:tr>
      <w:tr w:rsidR="001F168E">
        <w:tblPrEx>
          <w:tblCellMar>
            <w:top w:w="0" w:type="dxa"/>
            <w:bottom w:w="0" w:type="dxa"/>
          </w:tblCellMar>
        </w:tblPrEx>
        <w:tc>
          <w:tcPr>
            <w:tcW w:w="20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Top Terminal Count</w:t>
            </w:r>
          </w:p>
        </w:tc>
        <w:tc>
          <w:tcPr>
            <w:tcW w:w="42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MAXX(SUMMARIZE(...), [</w:t>
            </w:r>
            <w:proofErr w:type="spellStart"/>
            <w:r>
              <w:rPr>
                <w:color w:val="333333"/>
                <w:sz w:val="18"/>
                <w:szCs w:val="18"/>
              </w:rPr>
              <w:t>MovementCount</w:t>
            </w:r>
            <w:proofErr w:type="spellEnd"/>
            <w:r>
              <w:rPr>
                <w:color w:val="333333"/>
                <w:sz w:val="18"/>
                <w:szCs w:val="18"/>
              </w:rPr>
              <w:t>])</w:t>
            </w:r>
          </w:p>
        </w:tc>
        <w:tc>
          <w:tcPr>
            <w:tcW w:w="316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Movement count for busiest terminal</w:t>
            </w:r>
          </w:p>
        </w:tc>
      </w:tr>
      <w:tr w:rsidR="001F168E" w:rsidTr="00831923">
        <w:tblPrEx>
          <w:tblCellMar>
            <w:top w:w="0" w:type="dxa"/>
            <w:bottom w:w="0" w:type="dxa"/>
          </w:tblCellMar>
        </w:tblPrEx>
        <w:trPr>
          <w:trHeight w:val="744"/>
        </w:trPr>
        <w:tc>
          <w:tcPr>
            <w:tcW w:w="20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 xml:space="preserve">Pre-Suez </w:t>
            </w:r>
            <w:proofErr w:type="spellStart"/>
            <w:r>
              <w:rPr>
                <w:color w:val="333333"/>
                <w:sz w:val="18"/>
                <w:szCs w:val="18"/>
              </w:rPr>
              <w:t>Avg</w:t>
            </w:r>
            <w:proofErr w:type="spellEnd"/>
            <w:r>
              <w:rPr>
                <w:color w:val="333333"/>
                <w:sz w:val="18"/>
                <w:szCs w:val="18"/>
              </w:rPr>
              <w:t xml:space="preserve"> Duration</w:t>
            </w:r>
          </w:p>
        </w:tc>
        <w:tc>
          <w:tcPr>
            <w:tcW w:w="42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831923" w:rsidRPr="00831923" w:rsidRDefault="00831923" w:rsidP="00831923">
            <w:pPr>
              <w:shd w:val="clear" w:color="auto" w:fill="FFFFFF"/>
              <w:spacing w:line="270" w:lineRule="atLeast"/>
              <w:rPr>
                <w:rFonts w:ascii="Consolas" w:eastAsia="Times New Roman" w:hAnsi="Consolas" w:cs="Times New Roman"/>
                <w:color w:val="000000"/>
                <w:sz w:val="18"/>
                <w:szCs w:val="18"/>
              </w:rPr>
            </w:pPr>
            <w:r w:rsidRPr="00831923">
              <w:rPr>
                <w:rFonts w:ascii="Consolas" w:eastAsia="Times New Roman" w:hAnsi="Consolas" w:cs="Times New Roman"/>
                <w:color w:val="3165BB"/>
                <w:sz w:val="18"/>
                <w:szCs w:val="18"/>
              </w:rPr>
              <w:t>CALCULATE</w:t>
            </w:r>
            <w:r w:rsidRPr="00831923">
              <w:rPr>
                <w:rFonts w:ascii="Consolas" w:eastAsia="Times New Roman" w:hAnsi="Consolas" w:cs="Times New Roman"/>
                <w:color w:val="000000"/>
                <w:sz w:val="18"/>
                <w:szCs w:val="18"/>
              </w:rPr>
              <w:t>(</w:t>
            </w:r>
          </w:p>
          <w:p w:rsidR="00831923" w:rsidRPr="00831923" w:rsidRDefault="00831923" w:rsidP="00831923">
            <w:pPr>
              <w:shd w:val="clear" w:color="auto" w:fill="FFFFFF"/>
              <w:spacing w:line="270" w:lineRule="atLeast"/>
              <w:rPr>
                <w:rFonts w:ascii="Consolas" w:eastAsia="Times New Roman" w:hAnsi="Consolas" w:cs="Times New Roman"/>
                <w:color w:val="000000"/>
                <w:sz w:val="18"/>
                <w:szCs w:val="18"/>
              </w:rPr>
            </w:pPr>
            <w:r w:rsidRPr="00831923">
              <w:rPr>
                <w:rFonts w:ascii="Consolas" w:eastAsia="Times New Roman" w:hAnsi="Consolas" w:cs="Times New Roman"/>
                <w:color w:val="000000"/>
                <w:sz w:val="18"/>
                <w:szCs w:val="18"/>
              </w:rPr>
              <w:t xml:space="preserve">    </w:t>
            </w:r>
            <w:r w:rsidRPr="00831923">
              <w:rPr>
                <w:rFonts w:ascii="Consolas" w:eastAsia="Times New Roman" w:hAnsi="Consolas" w:cs="Times New Roman"/>
                <w:color w:val="3165BB"/>
                <w:sz w:val="18"/>
                <w:szCs w:val="18"/>
              </w:rPr>
              <w:t>COUNT</w:t>
            </w:r>
            <w:r w:rsidRPr="00831923">
              <w:rPr>
                <w:rFonts w:ascii="Consolas" w:eastAsia="Times New Roman" w:hAnsi="Consolas" w:cs="Times New Roman"/>
                <w:color w:val="000000"/>
                <w:sz w:val="18"/>
                <w:szCs w:val="18"/>
              </w:rPr>
              <w:t>(</w:t>
            </w:r>
            <w:r w:rsidRPr="00831923">
              <w:rPr>
                <w:rFonts w:ascii="Consolas" w:eastAsia="Times New Roman" w:hAnsi="Consolas" w:cs="Times New Roman"/>
                <w:color w:val="001080"/>
                <w:sz w:val="18"/>
                <w:szCs w:val="18"/>
              </w:rPr>
              <w:t>'Fact Cargo Movements'[</w:t>
            </w:r>
            <w:proofErr w:type="spellStart"/>
            <w:r w:rsidRPr="00831923">
              <w:rPr>
                <w:rFonts w:ascii="Consolas" w:eastAsia="Times New Roman" w:hAnsi="Consolas" w:cs="Times New Roman"/>
                <w:color w:val="001080"/>
                <w:sz w:val="18"/>
                <w:szCs w:val="18"/>
              </w:rPr>
              <w:t>container_count</w:t>
            </w:r>
            <w:proofErr w:type="spellEnd"/>
            <w:r w:rsidRPr="00831923">
              <w:rPr>
                <w:rFonts w:ascii="Consolas" w:eastAsia="Times New Roman" w:hAnsi="Consolas" w:cs="Times New Roman"/>
                <w:color w:val="001080"/>
                <w:sz w:val="18"/>
                <w:szCs w:val="18"/>
              </w:rPr>
              <w:t>]</w:t>
            </w:r>
            <w:r w:rsidRPr="00831923">
              <w:rPr>
                <w:rFonts w:ascii="Consolas" w:eastAsia="Times New Roman" w:hAnsi="Consolas" w:cs="Times New Roman"/>
                <w:color w:val="000000"/>
                <w:sz w:val="18"/>
                <w:szCs w:val="18"/>
              </w:rPr>
              <w:t>),</w:t>
            </w:r>
          </w:p>
          <w:p w:rsidR="00831923" w:rsidRPr="00831923" w:rsidRDefault="00831923" w:rsidP="00831923">
            <w:pPr>
              <w:shd w:val="clear" w:color="auto" w:fill="FFFFFF"/>
              <w:spacing w:line="270" w:lineRule="atLeast"/>
              <w:rPr>
                <w:rFonts w:ascii="Consolas" w:eastAsia="Times New Roman" w:hAnsi="Consolas" w:cs="Times New Roman"/>
                <w:color w:val="000000"/>
                <w:sz w:val="18"/>
                <w:szCs w:val="18"/>
              </w:rPr>
            </w:pPr>
            <w:r w:rsidRPr="00831923">
              <w:rPr>
                <w:rFonts w:ascii="Consolas" w:eastAsia="Times New Roman" w:hAnsi="Consolas" w:cs="Times New Roman"/>
                <w:color w:val="000000"/>
                <w:sz w:val="18"/>
                <w:szCs w:val="18"/>
              </w:rPr>
              <w:t xml:space="preserve">    </w:t>
            </w:r>
            <w:r w:rsidRPr="00831923">
              <w:rPr>
                <w:rFonts w:ascii="Consolas" w:eastAsia="Times New Roman" w:hAnsi="Consolas" w:cs="Times New Roman"/>
                <w:color w:val="001080"/>
                <w:sz w:val="18"/>
                <w:szCs w:val="18"/>
              </w:rPr>
              <w:t>'Time'[</w:t>
            </w:r>
            <w:proofErr w:type="spellStart"/>
            <w:r w:rsidRPr="00831923">
              <w:rPr>
                <w:rFonts w:ascii="Consolas" w:eastAsia="Times New Roman" w:hAnsi="Consolas" w:cs="Times New Roman"/>
                <w:color w:val="001080"/>
                <w:sz w:val="18"/>
                <w:szCs w:val="18"/>
              </w:rPr>
              <w:t>date_id</w:t>
            </w:r>
            <w:proofErr w:type="spellEnd"/>
            <w:r w:rsidRPr="00831923">
              <w:rPr>
                <w:rFonts w:ascii="Consolas" w:eastAsia="Times New Roman" w:hAnsi="Consolas" w:cs="Times New Roman"/>
                <w:color w:val="001080"/>
                <w:sz w:val="18"/>
                <w:szCs w:val="18"/>
              </w:rPr>
              <w:t>]</w:t>
            </w:r>
            <w:r w:rsidRPr="00831923">
              <w:rPr>
                <w:rFonts w:ascii="Consolas" w:eastAsia="Times New Roman" w:hAnsi="Consolas" w:cs="Times New Roman"/>
                <w:color w:val="000000"/>
                <w:sz w:val="18"/>
                <w:szCs w:val="18"/>
              </w:rPr>
              <w:t xml:space="preserve"> &gt;= </w:t>
            </w:r>
            <w:r w:rsidRPr="00831923">
              <w:rPr>
                <w:rFonts w:ascii="Consolas" w:eastAsia="Times New Roman" w:hAnsi="Consolas" w:cs="Times New Roman"/>
                <w:color w:val="3165BB"/>
                <w:sz w:val="18"/>
                <w:szCs w:val="18"/>
              </w:rPr>
              <w:t>date</w:t>
            </w:r>
            <w:r w:rsidRPr="00831923">
              <w:rPr>
                <w:rFonts w:ascii="Consolas" w:eastAsia="Times New Roman" w:hAnsi="Consolas" w:cs="Times New Roman"/>
                <w:color w:val="000000"/>
                <w:sz w:val="18"/>
                <w:szCs w:val="18"/>
              </w:rPr>
              <w:t xml:space="preserve"> (</w:t>
            </w:r>
            <w:r w:rsidRPr="00831923">
              <w:rPr>
                <w:rFonts w:ascii="Consolas" w:eastAsia="Times New Roman" w:hAnsi="Consolas" w:cs="Times New Roman"/>
                <w:color w:val="098658"/>
                <w:sz w:val="18"/>
                <w:szCs w:val="18"/>
              </w:rPr>
              <w:t>2021</w:t>
            </w:r>
            <w:r w:rsidRPr="00831923">
              <w:rPr>
                <w:rFonts w:ascii="Consolas" w:eastAsia="Times New Roman" w:hAnsi="Consolas" w:cs="Times New Roman"/>
                <w:color w:val="000000"/>
                <w:sz w:val="18"/>
                <w:szCs w:val="18"/>
              </w:rPr>
              <w:t xml:space="preserve">, </w:t>
            </w:r>
            <w:r w:rsidRPr="00831923">
              <w:rPr>
                <w:rFonts w:ascii="Consolas" w:eastAsia="Times New Roman" w:hAnsi="Consolas" w:cs="Times New Roman"/>
                <w:color w:val="098658"/>
                <w:sz w:val="18"/>
                <w:szCs w:val="18"/>
              </w:rPr>
              <w:t>1</w:t>
            </w:r>
            <w:r w:rsidRPr="00831923">
              <w:rPr>
                <w:rFonts w:ascii="Consolas" w:eastAsia="Times New Roman" w:hAnsi="Consolas" w:cs="Times New Roman"/>
                <w:color w:val="000000"/>
                <w:sz w:val="18"/>
                <w:szCs w:val="18"/>
              </w:rPr>
              <w:t xml:space="preserve">, </w:t>
            </w:r>
            <w:r w:rsidRPr="00831923">
              <w:rPr>
                <w:rFonts w:ascii="Consolas" w:eastAsia="Times New Roman" w:hAnsi="Consolas" w:cs="Times New Roman"/>
                <w:color w:val="098658"/>
                <w:sz w:val="18"/>
                <w:szCs w:val="18"/>
              </w:rPr>
              <w:t>1</w:t>
            </w:r>
            <w:r w:rsidRPr="00831923">
              <w:rPr>
                <w:rFonts w:ascii="Consolas" w:eastAsia="Times New Roman" w:hAnsi="Consolas" w:cs="Times New Roman"/>
                <w:color w:val="000000"/>
                <w:sz w:val="18"/>
                <w:szCs w:val="18"/>
              </w:rPr>
              <w:t>),</w:t>
            </w:r>
          </w:p>
          <w:p w:rsidR="00831923" w:rsidRPr="00831923" w:rsidRDefault="00831923" w:rsidP="00831923">
            <w:pPr>
              <w:shd w:val="clear" w:color="auto" w:fill="FFFFFF"/>
              <w:spacing w:line="270" w:lineRule="atLeast"/>
              <w:rPr>
                <w:rFonts w:ascii="Consolas" w:eastAsia="Times New Roman" w:hAnsi="Consolas" w:cs="Times New Roman"/>
                <w:color w:val="000000"/>
                <w:sz w:val="18"/>
                <w:szCs w:val="18"/>
              </w:rPr>
            </w:pPr>
            <w:r w:rsidRPr="00831923">
              <w:rPr>
                <w:rFonts w:ascii="Consolas" w:eastAsia="Times New Roman" w:hAnsi="Consolas" w:cs="Times New Roman"/>
                <w:color w:val="000000"/>
                <w:sz w:val="18"/>
                <w:szCs w:val="18"/>
              </w:rPr>
              <w:t xml:space="preserve">    </w:t>
            </w:r>
            <w:r w:rsidRPr="00831923">
              <w:rPr>
                <w:rFonts w:ascii="Consolas" w:eastAsia="Times New Roman" w:hAnsi="Consolas" w:cs="Times New Roman"/>
                <w:color w:val="001080"/>
                <w:sz w:val="18"/>
                <w:szCs w:val="18"/>
              </w:rPr>
              <w:t>'Time'[</w:t>
            </w:r>
            <w:proofErr w:type="spellStart"/>
            <w:r w:rsidRPr="00831923">
              <w:rPr>
                <w:rFonts w:ascii="Consolas" w:eastAsia="Times New Roman" w:hAnsi="Consolas" w:cs="Times New Roman"/>
                <w:color w:val="001080"/>
                <w:sz w:val="18"/>
                <w:szCs w:val="18"/>
              </w:rPr>
              <w:t>date_id</w:t>
            </w:r>
            <w:proofErr w:type="spellEnd"/>
            <w:r w:rsidRPr="00831923">
              <w:rPr>
                <w:rFonts w:ascii="Consolas" w:eastAsia="Times New Roman" w:hAnsi="Consolas" w:cs="Times New Roman"/>
                <w:color w:val="001080"/>
                <w:sz w:val="18"/>
                <w:szCs w:val="18"/>
              </w:rPr>
              <w:t>]</w:t>
            </w:r>
            <w:r w:rsidRPr="00831923">
              <w:rPr>
                <w:rFonts w:ascii="Consolas" w:eastAsia="Times New Roman" w:hAnsi="Consolas" w:cs="Times New Roman"/>
                <w:color w:val="000000"/>
                <w:sz w:val="18"/>
                <w:szCs w:val="18"/>
              </w:rPr>
              <w:t xml:space="preserve"> &lt;= </w:t>
            </w:r>
            <w:r w:rsidRPr="00831923">
              <w:rPr>
                <w:rFonts w:ascii="Consolas" w:eastAsia="Times New Roman" w:hAnsi="Consolas" w:cs="Times New Roman"/>
                <w:color w:val="3165BB"/>
                <w:sz w:val="18"/>
                <w:szCs w:val="18"/>
              </w:rPr>
              <w:t>date</w:t>
            </w:r>
            <w:r w:rsidRPr="00831923">
              <w:rPr>
                <w:rFonts w:ascii="Consolas" w:eastAsia="Times New Roman" w:hAnsi="Consolas" w:cs="Times New Roman"/>
                <w:color w:val="000000"/>
                <w:sz w:val="18"/>
                <w:szCs w:val="18"/>
              </w:rPr>
              <w:t xml:space="preserve"> (</w:t>
            </w:r>
            <w:r w:rsidRPr="00831923">
              <w:rPr>
                <w:rFonts w:ascii="Consolas" w:eastAsia="Times New Roman" w:hAnsi="Consolas" w:cs="Times New Roman"/>
                <w:color w:val="098658"/>
                <w:sz w:val="18"/>
                <w:szCs w:val="18"/>
              </w:rPr>
              <w:t>2021</w:t>
            </w:r>
            <w:r w:rsidRPr="00831923">
              <w:rPr>
                <w:rFonts w:ascii="Consolas" w:eastAsia="Times New Roman" w:hAnsi="Consolas" w:cs="Times New Roman"/>
                <w:color w:val="000000"/>
                <w:sz w:val="18"/>
                <w:szCs w:val="18"/>
              </w:rPr>
              <w:t xml:space="preserve">, </w:t>
            </w:r>
            <w:r w:rsidRPr="00831923">
              <w:rPr>
                <w:rFonts w:ascii="Consolas" w:eastAsia="Times New Roman" w:hAnsi="Consolas" w:cs="Times New Roman"/>
                <w:color w:val="098658"/>
                <w:sz w:val="18"/>
                <w:szCs w:val="18"/>
              </w:rPr>
              <w:t>2</w:t>
            </w:r>
            <w:r w:rsidRPr="00831923">
              <w:rPr>
                <w:rFonts w:ascii="Consolas" w:eastAsia="Times New Roman" w:hAnsi="Consolas" w:cs="Times New Roman"/>
                <w:color w:val="000000"/>
                <w:sz w:val="18"/>
                <w:szCs w:val="18"/>
              </w:rPr>
              <w:t xml:space="preserve">, </w:t>
            </w:r>
            <w:r w:rsidRPr="00831923">
              <w:rPr>
                <w:rFonts w:ascii="Consolas" w:eastAsia="Times New Roman" w:hAnsi="Consolas" w:cs="Times New Roman"/>
                <w:color w:val="098658"/>
                <w:sz w:val="18"/>
                <w:szCs w:val="18"/>
              </w:rPr>
              <w:t>28</w:t>
            </w:r>
            <w:r w:rsidRPr="00831923">
              <w:rPr>
                <w:rFonts w:ascii="Consolas" w:eastAsia="Times New Roman" w:hAnsi="Consolas" w:cs="Times New Roman"/>
                <w:color w:val="000000"/>
                <w:sz w:val="18"/>
                <w:szCs w:val="18"/>
              </w:rPr>
              <w:t>)</w:t>
            </w:r>
          </w:p>
          <w:p w:rsidR="00831923" w:rsidRPr="00831923" w:rsidRDefault="00831923" w:rsidP="00831923">
            <w:pPr>
              <w:shd w:val="clear" w:color="auto" w:fill="FFFFFF"/>
              <w:spacing w:line="270" w:lineRule="atLeast"/>
              <w:rPr>
                <w:rFonts w:ascii="Consolas" w:eastAsia="Times New Roman" w:hAnsi="Consolas" w:cs="Times New Roman"/>
                <w:color w:val="000000"/>
                <w:sz w:val="18"/>
                <w:szCs w:val="18"/>
              </w:rPr>
            </w:pPr>
            <w:r w:rsidRPr="00831923">
              <w:rPr>
                <w:rFonts w:ascii="Consolas" w:eastAsia="Times New Roman" w:hAnsi="Consolas" w:cs="Times New Roman"/>
                <w:color w:val="000000"/>
                <w:sz w:val="18"/>
                <w:szCs w:val="18"/>
              </w:rPr>
              <w:t>    )</w:t>
            </w:r>
          </w:p>
          <w:p w:rsidR="001F168E" w:rsidRDefault="001F168E"/>
        </w:tc>
        <w:tc>
          <w:tcPr>
            <w:tcW w:w="316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Baseline before Suez event</w:t>
            </w:r>
            <w:r w:rsidR="00831923">
              <w:rPr>
                <w:color w:val="333333"/>
                <w:sz w:val="18"/>
                <w:szCs w:val="18"/>
              </w:rPr>
              <w:t xml:space="preserve"> (1/1/21 up to 28/2/21</w:t>
            </w:r>
          </w:p>
        </w:tc>
      </w:tr>
      <w:tr w:rsidR="001F168E">
        <w:tblPrEx>
          <w:tblCellMar>
            <w:top w:w="0" w:type="dxa"/>
            <w:bottom w:w="0" w:type="dxa"/>
          </w:tblCellMar>
        </w:tblPrEx>
        <w:tc>
          <w:tcPr>
            <w:tcW w:w="20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 xml:space="preserve">Post-Suez </w:t>
            </w:r>
            <w:proofErr w:type="spellStart"/>
            <w:r>
              <w:rPr>
                <w:color w:val="333333"/>
                <w:sz w:val="18"/>
                <w:szCs w:val="18"/>
              </w:rPr>
              <w:t>Avg</w:t>
            </w:r>
            <w:proofErr w:type="spellEnd"/>
            <w:r>
              <w:rPr>
                <w:color w:val="333333"/>
                <w:sz w:val="18"/>
                <w:szCs w:val="18"/>
              </w:rPr>
              <w:t xml:space="preserve"> Duration</w:t>
            </w:r>
          </w:p>
        </w:tc>
        <w:tc>
          <w:tcPr>
            <w:tcW w:w="420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831923" w:rsidRPr="00831923" w:rsidRDefault="00831923" w:rsidP="00831923">
            <w:pPr>
              <w:shd w:val="clear" w:color="auto" w:fill="FFFFFF"/>
              <w:spacing w:line="270" w:lineRule="atLeast"/>
              <w:rPr>
                <w:rFonts w:ascii="Consolas" w:eastAsia="Times New Roman" w:hAnsi="Consolas" w:cs="Times New Roman"/>
                <w:color w:val="000000"/>
                <w:sz w:val="18"/>
                <w:szCs w:val="18"/>
              </w:rPr>
            </w:pPr>
            <w:r w:rsidRPr="00831923">
              <w:rPr>
                <w:rFonts w:ascii="Consolas" w:eastAsia="Times New Roman" w:hAnsi="Consolas" w:cs="Times New Roman"/>
                <w:color w:val="3165BB"/>
                <w:sz w:val="18"/>
                <w:szCs w:val="18"/>
              </w:rPr>
              <w:t>CALCULATE</w:t>
            </w:r>
            <w:r w:rsidRPr="00831923">
              <w:rPr>
                <w:rFonts w:ascii="Consolas" w:eastAsia="Times New Roman" w:hAnsi="Consolas" w:cs="Times New Roman"/>
                <w:color w:val="000000"/>
                <w:sz w:val="18"/>
                <w:szCs w:val="18"/>
              </w:rPr>
              <w:t>(</w:t>
            </w:r>
          </w:p>
          <w:p w:rsidR="00831923" w:rsidRPr="00831923" w:rsidRDefault="00831923" w:rsidP="00831923">
            <w:pPr>
              <w:shd w:val="clear" w:color="auto" w:fill="FFFFFF"/>
              <w:spacing w:line="270" w:lineRule="atLeast"/>
              <w:rPr>
                <w:rFonts w:ascii="Consolas" w:eastAsia="Times New Roman" w:hAnsi="Consolas" w:cs="Times New Roman"/>
                <w:color w:val="000000"/>
                <w:sz w:val="18"/>
                <w:szCs w:val="18"/>
              </w:rPr>
            </w:pPr>
            <w:r w:rsidRPr="00831923">
              <w:rPr>
                <w:rFonts w:ascii="Consolas" w:eastAsia="Times New Roman" w:hAnsi="Consolas" w:cs="Times New Roman"/>
                <w:color w:val="000000"/>
                <w:sz w:val="18"/>
                <w:szCs w:val="18"/>
              </w:rPr>
              <w:t xml:space="preserve">    </w:t>
            </w:r>
            <w:r w:rsidRPr="00831923">
              <w:rPr>
                <w:rFonts w:ascii="Consolas" w:eastAsia="Times New Roman" w:hAnsi="Consolas" w:cs="Times New Roman"/>
                <w:color w:val="3165BB"/>
                <w:sz w:val="18"/>
                <w:szCs w:val="18"/>
              </w:rPr>
              <w:t>COUNT</w:t>
            </w:r>
            <w:r w:rsidRPr="00831923">
              <w:rPr>
                <w:rFonts w:ascii="Consolas" w:eastAsia="Times New Roman" w:hAnsi="Consolas" w:cs="Times New Roman"/>
                <w:color w:val="000000"/>
                <w:sz w:val="18"/>
                <w:szCs w:val="18"/>
              </w:rPr>
              <w:t>(</w:t>
            </w:r>
            <w:r w:rsidRPr="00831923">
              <w:rPr>
                <w:rFonts w:ascii="Consolas" w:eastAsia="Times New Roman" w:hAnsi="Consolas" w:cs="Times New Roman"/>
                <w:color w:val="001080"/>
                <w:sz w:val="18"/>
                <w:szCs w:val="18"/>
              </w:rPr>
              <w:t>'Fact Cargo Movements'[</w:t>
            </w:r>
            <w:proofErr w:type="spellStart"/>
            <w:r w:rsidRPr="00831923">
              <w:rPr>
                <w:rFonts w:ascii="Consolas" w:eastAsia="Times New Roman" w:hAnsi="Consolas" w:cs="Times New Roman"/>
                <w:color w:val="001080"/>
                <w:sz w:val="18"/>
                <w:szCs w:val="18"/>
              </w:rPr>
              <w:t>container_count</w:t>
            </w:r>
            <w:proofErr w:type="spellEnd"/>
            <w:r w:rsidRPr="00831923">
              <w:rPr>
                <w:rFonts w:ascii="Consolas" w:eastAsia="Times New Roman" w:hAnsi="Consolas" w:cs="Times New Roman"/>
                <w:color w:val="001080"/>
                <w:sz w:val="18"/>
                <w:szCs w:val="18"/>
              </w:rPr>
              <w:t>]</w:t>
            </w:r>
            <w:r w:rsidRPr="00831923">
              <w:rPr>
                <w:rFonts w:ascii="Consolas" w:eastAsia="Times New Roman" w:hAnsi="Consolas" w:cs="Times New Roman"/>
                <w:color w:val="000000"/>
                <w:sz w:val="18"/>
                <w:szCs w:val="18"/>
              </w:rPr>
              <w:t>),</w:t>
            </w:r>
          </w:p>
          <w:p w:rsidR="00831923" w:rsidRPr="00831923" w:rsidRDefault="00831923" w:rsidP="00831923">
            <w:pPr>
              <w:shd w:val="clear" w:color="auto" w:fill="FFFFFF"/>
              <w:spacing w:line="270" w:lineRule="atLeast"/>
              <w:rPr>
                <w:rFonts w:ascii="Consolas" w:eastAsia="Times New Roman" w:hAnsi="Consolas" w:cs="Times New Roman"/>
                <w:color w:val="000000"/>
                <w:sz w:val="18"/>
                <w:szCs w:val="18"/>
              </w:rPr>
            </w:pPr>
            <w:r w:rsidRPr="00831923">
              <w:rPr>
                <w:rFonts w:ascii="Consolas" w:eastAsia="Times New Roman" w:hAnsi="Consolas" w:cs="Times New Roman"/>
                <w:color w:val="000000"/>
                <w:sz w:val="18"/>
                <w:szCs w:val="18"/>
              </w:rPr>
              <w:t xml:space="preserve">    </w:t>
            </w:r>
            <w:r w:rsidRPr="00831923">
              <w:rPr>
                <w:rFonts w:ascii="Consolas" w:eastAsia="Times New Roman" w:hAnsi="Consolas" w:cs="Times New Roman"/>
                <w:color w:val="001080"/>
                <w:sz w:val="18"/>
                <w:szCs w:val="18"/>
              </w:rPr>
              <w:t>'Time'[</w:t>
            </w:r>
            <w:proofErr w:type="spellStart"/>
            <w:r w:rsidRPr="00831923">
              <w:rPr>
                <w:rFonts w:ascii="Consolas" w:eastAsia="Times New Roman" w:hAnsi="Consolas" w:cs="Times New Roman"/>
                <w:color w:val="001080"/>
                <w:sz w:val="18"/>
                <w:szCs w:val="18"/>
              </w:rPr>
              <w:t>date_id</w:t>
            </w:r>
            <w:proofErr w:type="spellEnd"/>
            <w:r w:rsidRPr="00831923">
              <w:rPr>
                <w:rFonts w:ascii="Consolas" w:eastAsia="Times New Roman" w:hAnsi="Consolas" w:cs="Times New Roman"/>
                <w:color w:val="001080"/>
                <w:sz w:val="18"/>
                <w:szCs w:val="18"/>
              </w:rPr>
              <w:t>]</w:t>
            </w:r>
            <w:r w:rsidRPr="00831923">
              <w:rPr>
                <w:rFonts w:ascii="Consolas" w:eastAsia="Times New Roman" w:hAnsi="Consolas" w:cs="Times New Roman"/>
                <w:color w:val="000000"/>
                <w:sz w:val="18"/>
                <w:szCs w:val="18"/>
              </w:rPr>
              <w:t xml:space="preserve"> &gt;= </w:t>
            </w:r>
            <w:r w:rsidRPr="00831923">
              <w:rPr>
                <w:rFonts w:ascii="Consolas" w:eastAsia="Times New Roman" w:hAnsi="Consolas" w:cs="Times New Roman"/>
                <w:color w:val="3165BB"/>
                <w:sz w:val="18"/>
                <w:szCs w:val="18"/>
              </w:rPr>
              <w:t>date</w:t>
            </w:r>
            <w:r w:rsidRPr="00831923">
              <w:rPr>
                <w:rFonts w:ascii="Consolas" w:eastAsia="Times New Roman" w:hAnsi="Consolas" w:cs="Times New Roman"/>
                <w:color w:val="000000"/>
                <w:sz w:val="18"/>
                <w:szCs w:val="18"/>
              </w:rPr>
              <w:t xml:space="preserve"> (</w:t>
            </w:r>
            <w:r w:rsidRPr="00831923">
              <w:rPr>
                <w:rFonts w:ascii="Consolas" w:eastAsia="Times New Roman" w:hAnsi="Consolas" w:cs="Times New Roman"/>
                <w:color w:val="098658"/>
                <w:sz w:val="18"/>
                <w:szCs w:val="18"/>
              </w:rPr>
              <w:t>2021</w:t>
            </w:r>
            <w:r w:rsidRPr="00831923">
              <w:rPr>
                <w:rFonts w:ascii="Consolas" w:eastAsia="Times New Roman" w:hAnsi="Consolas" w:cs="Times New Roman"/>
                <w:color w:val="000000"/>
                <w:sz w:val="18"/>
                <w:szCs w:val="18"/>
              </w:rPr>
              <w:t xml:space="preserve">, </w:t>
            </w:r>
            <w:r w:rsidRPr="00831923">
              <w:rPr>
                <w:rFonts w:ascii="Consolas" w:eastAsia="Times New Roman" w:hAnsi="Consolas" w:cs="Times New Roman"/>
                <w:color w:val="098658"/>
                <w:sz w:val="18"/>
                <w:szCs w:val="18"/>
              </w:rPr>
              <w:t>3</w:t>
            </w:r>
            <w:r w:rsidRPr="00831923">
              <w:rPr>
                <w:rFonts w:ascii="Consolas" w:eastAsia="Times New Roman" w:hAnsi="Consolas" w:cs="Times New Roman"/>
                <w:color w:val="000000"/>
                <w:sz w:val="18"/>
                <w:szCs w:val="18"/>
              </w:rPr>
              <w:t xml:space="preserve">, </w:t>
            </w:r>
            <w:r w:rsidRPr="00831923">
              <w:rPr>
                <w:rFonts w:ascii="Consolas" w:eastAsia="Times New Roman" w:hAnsi="Consolas" w:cs="Times New Roman"/>
                <w:color w:val="098658"/>
                <w:sz w:val="18"/>
                <w:szCs w:val="18"/>
              </w:rPr>
              <w:t>1</w:t>
            </w:r>
            <w:r w:rsidRPr="00831923">
              <w:rPr>
                <w:rFonts w:ascii="Consolas" w:eastAsia="Times New Roman" w:hAnsi="Consolas" w:cs="Times New Roman"/>
                <w:color w:val="000000"/>
                <w:sz w:val="18"/>
                <w:szCs w:val="18"/>
              </w:rPr>
              <w:t>),</w:t>
            </w:r>
          </w:p>
          <w:p w:rsidR="00831923" w:rsidRPr="00831923" w:rsidRDefault="00831923" w:rsidP="00831923">
            <w:pPr>
              <w:shd w:val="clear" w:color="auto" w:fill="FFFFFF"/>
              <w:spacing w:line="270" w:lineRule="atLeast"/>
              <w:rPr>
                <w:rFonts w:ascii="Consolas" w:eastAsia="Times New Roman" w:hAnsi="Consolas" w:cs="Times New Roman"/>
                <w:color w:val="000000"/>
                <w:sz w:val="18"/>
                <w:szCs w:val="18"/>
              </w:rPr>
            </w:pPr>
            <w:r w:rsidRPr="00831923">
              <w:rPr>
                <w:rFonts w:ascii="Consolas" w:eastAsia="Times New Roman" w:hAnsi="Consolas" w:cs="Times New Roman"/>
                <w:color w:val="000000"/>
                <w:sz w:val="18"/>
                <w:szCs w:val="18"/>
              </w:rPr>
              <w:t xml:space="preserve">    </w:t>
            </w:r>
            <w:r w:rsidRPr="00831923">
              <w:rPr>
                <w:rFonts w:ascii="Consolas" w:eastAsia="Times New Roman" w:hAnsi="Consolas" w:cs="Times New Roman"/>
                <w:color w:val="001080"/>
                <w:sz w:val="18"/>
                <w:szCs w:val="18"/>
              </w:rPr>
              <w:t>'Time'[</w:t>
            </w:r>
            <w:proofErr w:type="spellStart"/>
            <w:r w:rsidRPr="00831923">
              <w:rPr>
                <w:rFonts w:ascii="Consolas" w:eastAsia="Times New Roman" w:hAnsi="Consolas" w:cs="Times New Roman"/>
                <w:color w:val="001080"/>
                <w:sz w:val="18"/>
                <w:szCs w:val="18"/>
              </w:rPr>
              <w:t>date_id</w:t>
            </w:r>
            <w:proofErr w:type="spellEnd"/>
            <w:r w:rsidRPr="00831923">
              <w:rPr>
                <w:rFonts w:ascii="Consolas" w:eastAsia="Times New Roman" w:hAnsi="Consolas" w:cs="Times New Roman"/>
                <w:color w:val="001080"/>
                <w:sz w:val="18"/>
                <w:szCs w:val="18"/>
              </w:rPr>
              <w:t>]</w:t>
            </w:r>
            <w:r w:rsidRPr="00831923">
              <w:rPr>
                <w:rFonts w:ascii="Consolas" w:eastAsia="Times New Roman" w:hAnsi="Consolas" w:cs="Times New Roman"/>
                <w:color w:val="000000"/>
                <w:sz w:val="18"/>
                <w:szCs w:val="18"/>
              </w:rPr>
              <w:t xml:space="preserve"> &lt;= </w:t>
            </w:r>
            <w:r w:rsidRPr="00831923">
              <w:rPr>
                <w:rFonts w:ascii="Consolas" w:eastAsia="Times New Roman" w:hAnsi="Consolas" w:cs="Times New Roman"/>
                <w:color w:val="3165BB"/>
                <w:sz w:val="18"/>
                <w:szCs w:val="18"/>
              </w:rPr>
              <w:t>date</w:t>
            </w:r>
            <w:r w:rsidRPr="00831923">
              <w:rPr>
                <w:rFonts w:ascii="Consolas" w:eastAsia="Times New Roman" w:hAnsi="Consolas" w:cs="Times New Roman"/>
                <w:color w:val="000000"/>
                <w:sz w:val="18"/>
                <w:szCs w:val="18"/>
              </w:rPr>
              <w:t xml:space="preserve"> (</w:t>
            </w:r>
            <w:r w:rsidRPr="00831923">
              <w:rPr>
                <w:rFonts w:ascii="Consolas" w:eastAsia="Times New Roman" w:hAnsi="Consolas" w:cs="Times New Roman"/>
                <w:color w:val="098658"/>
                <w:sz w:val="18"/>
                <w:szCs w:val="18"/>
              </w:rPr>
              <w:t>2021</w:t>
            </w:r>
            <w:r w:rsidRPr="00831923">
              <w:rPr>
                <w:rFonts w:ascii="Consolas" w:eastAsia="Times New Roman" w:hAnsi="Consolas" w:cs="Times New Roman"/>
                <w:color w:val="000000"/>
                <w:sz w:val="18"/>
                <w:szCs w:val="18"/>
              </w:rPr>
              <w:t xml:space="preserve">, </w:t>
            </w:r>
            <w:r w:rsidRPr="00831923">
              <w:rPr>
                <w:rFonts w:ascii="Consolas" w:eastAsia="Times New Roman" w:hAnsi="Consolas" w:cs="Times New Roman"/>
                <w:color w:val="098658"/>
                <w:sz w:val="18"/>
                <w:szCs w:val="18"/>
              </w:rPr>
              <w:t>6</w:t>
            </w:r>
            <w:r w:rsidRPr="00831923">
              <w:rPr>
                <w:rFonts w:ascii="Consolas" w:eastAsia="Times New Roman" w:hAnsi="Consolas" w:cs="Times New Roman"/>
                <w:color w:val="000000"/>
                <w:sz w:val="18"/>
                <w:szCs w:val="18"/>
              </w:rPr>
              <w:t xml:space="preserve">, </w:t>
            </w:r>
            <w:r w:rsidRPr="00831923">
              <w:rPr>
                <w:rFonts w:ascii="Consolas" w:eastAsia="Times New Roman" w:hAnsi="Consolas" w:cs="Times New Roman"/>
                <w:color w:val="098658"/>
                <w:sz w:val="18"/>
                <w:szCs w:val="18"/>
              </w:rPr>
              <w:t>30</w:t>
            </w:r>
            <w:r w:rsidRPr="00831923">
              <w:rPr>
                <w:rFonts w:ascii="Consolas" w:eastAsia="Times New Roman" w:hAnsi="Consolas" w:cs="Times New Roman"/>
                <w:color w:val="000000"/>
                <w:sz w:val="18"/>
                <w:szCs w:val="18"/>
              </w:rPr>
              <w:t>)</w:t>
            </w:r>
          </w:p>
          <w:p w:rsidR="00831923" w:rsidRPr="00831923" w:rsidRDefault="00831923" w:rsidP="00831923">
            <w:pPr>
              <w:shd w:val="clear" w:color="auto" w:fill="FFFFFF"/>
              <w:spacing w:line="270" w:lineRule="atLeast"/>
              <w:rPr>
                <w:rFonts w:ascii="Consolas" w:eastAsia="Times New Roman" w:hAnsi="Consolas" w:cs="Times New Roman"/>
                <w:color w:val="000000"/>
                <w:sz w:val="18"/>
                <w:szCs w:val="18"/>
              </w:rPr>
            </w:pPr>
            <w:r w:rsidRPr="00831923">
              <w:rPr>
                <w:rFonts w:ascii="Consolas" w:eastAsia="Times New Roman" w:hAnsi="Consolas" w:cs="Times New Roman"/>
                <w:color w:val="000000"/>
                <w:sz w:val="18"/>
                <w:szCs w:val="18"/>
              </w:rPr>
              <w:t>    )</w:t>
            </w:r>
          </w:p>
          <w:p w:rsidR="001F168E" w:rsidRDefault="001F168E"/>
        </w:tc>
        <w:tc>
          <w:tcPr>
            <w:tcW w:w="3160" w:type="dxa"/>
            <w:tcBorders>
              <w:top w:val="single" w:sz="1" w:space="0" w:color="C5D8E8"/>
              <w:left w:val="single" w:sz="1" w:space="0" w:color="C5D8E8"/>
              <w:bottom w:val="single" w:sz="1" w:space="0" w:color="C5D8E8"/>
              <w:right w:val="single" w:sz="1" w:space="0" w:color="C5D8E8"/>
            </w:tcBorders>
            <w:shd w:val="clear" w:color="auto" w:fill="F2F7FA"/>
            <w:tcMar>
              <w:top w:w="100" w:type="dxa"/>
              <w:left w:w="140" w:type="dxa"/>
              <w:bottom w:w="100" w:type="dxa"/>
              <w:right w:w="140" w:type="dxa"/>
            </w:tcMar>
          </w:tcPr>
          <w:p w:rsidR="001F168E" w:rsidRDefault="001C1D6D">
            <w:r>
              <w:rPr>
                <w:color w:val="333333"/>
                <w:sz w:val="18"/>
                <w:szCs w:val="18"/>
              </w:rPr>
              <w:t>Duration after Suez blockage</w:t>
            </w:r>
            <w:r w:rsidR="00831923">
              <w:rPr>
                <w:color w:val="333333"/>
                <w:sz w:val="18"/>
                <w:szCs w:val="18"/>
              </w:rPr>
              <w:t xml:space="preserve"> (1/3/21 up to 30/6/21)</w:t>
            </w:r>
          </w:p>
        </w:tc>
      </w:tr>
      <w:tr w:rsidR="001F168E">
        <w:tblPrEx>
          <w:tblCellMar>
            <w:top w:w="0" w:type="dxa"/>
            <w:bottom w:w="0" w:type="dxa"/>
          </w:tblCellMar>
        </w:tblPrEx>
        <w:tc>
          <w:tcPr>
            <w:tcW w:w="20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Suez Impact %</w:t>
            </w:r>
          </w:p>
        </w:tc>
        <w:tc>
          <w:tcPr>
            <w:tcW w:w="420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DIVIDE([Post] - [Pre], [Pre])</w:t>
            </w:r>
          </w:p>
        </w:tc>
        <w:tc>
          <w:tcPr>
            <w:tcW w:w="3160" w:type="dxa"/>
            <w:tcBorders>
              <w:top w:val="single" w:sz="1" w:space="0" w:color="C5D8E8"/>
              <w:left w:val="single" w:sz="1" w:space="0" w:color="C5D8E8"/>
              <w:bottom w:val="single" w:sz="1" w:space="0" w:color="C5D8E8"/>
              <w:right w:val="single" w:sz="1" w:space="0" w:color="C5D8E8"/>
            </w:tcBorders>
            <w:shd w:val="clear" w:color="auto" w:fill="FFFFFF"/>
            <w:tcMar>
              <w:top w:w="100" w:type="dxa"/>
              <w:left w:w="140" w:type="dxa"/>
              <w:bottom w:w="100" w:type="dxa"/>
              <w:right w:w="140" w:type="dxa"/>
            </w:tcMar>
          </w:tcPr>
          <w:p w:rsidR="001F168E" w:rsidRDefault="001C1D6D">
            <w:r>
              <w:rPr>
                <w:color w:val="333333"/>
                <w:sz w:val="18"/>
                <w:szCs w:val="18"/>
              </w:rPr>
              <w:t>Percentage change from Suez event</w:t>
            </w:r>
          </w:p>
        </w:tc>
      </w:tr>
    </w:tbl>
    <w:p w:rsidR="001F168E" w:rsidRDefault="001F168E">
      <w:pPr>
        <w:spacing w:before="160"/>
      </w:pPr>
    </w:p>
    <w:p w:rsidR="001F168E" w:rsidRDefault="001C1D6D">
      <w:pPr>
        <w:pStyle w:val="Heading2"/>
      </w:pPr>
      <w:r>
        <w:lastRenderedPageBreak/>
        <w:t>Report Pages</w:t>
      </w:r>
    </w:p>
    <w:p w:rsidR="001F168E" w:rsidRDefault="001C1D6D">
      <w:pPr>
        <w:pStyle w:val="Heading3"/>
      </w:pPr>
      <w:r>
        <w:t>Page 1: Suez Canal Impact</w:t>
      </w:r>
    </w:p>
    <w:p w:rsidR="00831923" w:rsidRDefault="00831923" w:rsidP="00831923">
      <w:pPr>
        <w:pStyle w:val="ListParagraph"/>
        <w:numPr>
          <w:ilvl w:val="0"/>
          <w:numId w:val="2"/>
        </w:numPr>
        <w:spacing w:before="60" w:after="60"/>
      </w:pPr>
      <w:r w:rsidRPr="001A2DA7">
        <w:rPr>
          <w:color w:val="333333"/>
        </w:rPr>
        <w:t>KPI cards:</w:t>
      </w:r>
      <w:r>
        <w:rPr>
          <w:color w:val="333333"/>
        </w:rPr>
        <w:t xml:space="preserve"> </w:t>
      </w:r>
      <w:r w:rsidRPr="001A2DA7">
        <w:rPr>
          <w:color w:val="333333"/>
        </w:rPr>
        <w:t>Total containers, total Movements, Pre-Suez duration, Post-Suez duration, Vessel Categ</w:t>
      </w:r>
      <w:r>
        <w:rPr>
          <w:color w:val="333333"/>
        </w:rPr>
        <w:t>o</w:t>
      </w:r>
      <w:r w:rsidRPr="001A2DA7">
        <w:rPr>
          <w:color w:val="333333"/>
        </w:rPr>
        <w:t>ries</w:t>
      </w:r>
    </w:p>
    <w:p w:rsidR="00831923" w:rsidRPr="00831923" w:rsidRDefault="001C1D6D" w:rsidP="00831923">
      <w:pPr>
        <w:pStyle w:val="ListParagraph"/>
        <w:numPr>
          <w:ilvl w:val="0"/>
          <w:numId w:val="2"/>
        </w:numPr>
        <w:spacing w:before="60" w:after="60"/>
      </w:pPr>
      <w:r>
        <w:rPr>
          <w:color w:val="333333"/>
        </w:rPr>
        <w:t>Line</w:t>
      </w:r>
      <w:r w:rsidR="001A2DA7">
        <w:rPr>
          <w:color w:val="333333"/>
        </w:rPr>
        <w:t xml:space="preserve"> chart: Monthly movements and average</w:t>
      </w:r>
      <w:r>
        <w:rPr>
          <w:color w:val="333333"/>
        </w:rPr>
        <w:t xml:space="preserve"> duration (2021</w:t>
      </w:r>
      <w:r w:rsidR="001A2DA7">
        <w:rPr>
          <w:color w:val="333333"/>
        </w:rPr>
        <w:t>-2024</w:t>
      </w:r>
      <w:r>
        <w:rPr>
          <w:color w:val="333333"/>
        </w:rPr>
        <w:t>) with March reference line</w:t>
      </w:r>
    </w:p>
    <w:p w:rsidR="00831923" w:rsidRPr="00831923" w:rsidRDefault="00831923">
      <w:pPr>
        <w:pStyle w:val="ListParagraph"/>
        <w:numPr>
          <w:ilvl w:val="0"/>
          <w:numId w:val="2"/>
        </w:numPr>
        <w:spacing w:before="60" w:after="60"/>
      </w:pPr>
      <w:r>
        <w:rPr>
          <w:color w:val="333333"/>
        </w:rPr>
        <w:t>Clustered Column chart: Average move duration by regional hub and fiscal year.</w:t>
      </w:r>
    </w:p>
    <w:p w:rsidR="00831923" w:rsidRDefault="00831923">
      <w:pPr>
        <w:pStyle w:val="ListParagraph"/>
        <w:numPr>
          <w:ilvl w:val="0"/>
          <w:numId w:val="2"/>
        </w:numPr>
        <w:spacing w:before="60" w:after="60"/>
      </w:pPr>
      <w:r>
        <w:rPr>
          <w:color w:val="333333"/>
        </w:rPr>
        <w:t xml:space="preserve">Clustered column chart: </w:t>
      </w:r>
    </w:p>
    <w:p w:rsidR="001A2DA7" w:rsidRPr="001A2DA7" w:rsidRDefault="001C1D6D" w:rsidP="001C76BD">
      <w:pPr>
        <w:pStyle w:val="ListParagraph"/>
        <w:numPr>
          <w:ilvl w:val="0"/>
          <w:numId w:val="2"/>
        </w:numPr>
        <w:spacing w:before="60" w:after="60"/>
      </w:pPr>
      <w:r w:rsidRPr="001A2DA7">
        <w:rPr>
          <w:color w:val="333333"/>
        </w:rPr>
        <w:t>Clustered bar</w:t>
      </w:r>
      <w:r w:rsidR="001A2DA7">
        <w:rPr>
          <w:color w:val="333333"/>
        </w:rPr>
        <w:t xml:space="preserve"> chart</w:t>
      </w:r>
      <w:r w:rsidRPr="001A2DA7">
        <w:rPr>
          <w:color w:val="333333"/>
        </w:rPr>
        <w:t>: Av</w:t>
      </w:r>
      <w:r w:rsidR="001A2DA7">
        <w:rPr>
          <w:color w:val="333333"/>
        </w:rPr>
        <w:t>erage</w:t>
      </w:r>
      <w:r w:rsidRPr="001A2DA7">
        <w:rPr>
          <w:color w:val="333333"/>
        </w:rPr>
        <w:t xml:space="preserve"> move duration by </w:t>
      </w:r>
      <w:r w:rsidR="001A2DA7" w:rsidRPr="001A2DA7">
        <w:rPr>
          <w:color w:val="333333"/>
        </w:rPr>
        <w:t>Vessel Category</w:t>
      </w:r>
      <w:r w:rsidR="001A2DA7">
        <w:rPr>
          <w:color w:val="333333"/>
        </w:rPr>
        <w:t>.</w:t>
      </w:r>
    </w:p>
    <w:p w:rsidR="001A2DA7" w:rsidRPr="001A2DA7" w:rsidRDefault="001A2DA7" w:rsidP="001C76BD">
      <w:pPr>
        <w:pStyle w:val="ListParagraph"/>
        <w:numPr>
          <w:ilvl w:val="0"/>
          <w:numId w:val="2"/>
        </w:numPr>
        <w:spacing w:before="60" w:after="60"/>
      </w:pPr>
      <w:r>
        <w:rPr>
          <w:color w:val="333333"/>
        </w:rPr>
        <w:t>Clustered bar chart: Top 10 terminals with the highest movements (Movements by Terminal name)</w:t>
      </w:r>
    </w:p>
    <w:p w:rsidR="001F168E" w:rsidRPr="00831923" w:rsidRDefault="001C1D6D" w:rsidP="001A2DA7">
      <w:pPr>
        <w:pStyle w:val="ListParagraph"/>
        <w:numPr>
          <w:ilvl w:val="0"/>
          <w:numId w:val="2"/>
        </w:numPr>
        <w:spacing w:before="60" w:after="60"/>
      </w:pPr>
      <w:r>
        <w:rPr>
          <w:color w:val="333333"/>
        </w:rPr>
        <w:t>S</w:t>
      </w:r>
      <w:r>
        <w:rPr>
          <w:color w:val="333333"/>
        </w:rPr>
        <w:t xml:space="preserve">licer: Filter by </w:t>
      </w:r>
      <w:r w:rsidR="001A2DA7">
        <w:rPr>
          <w:color w:val="333333"/>
        </w:rPr>
        <w:t>Fiscal Year</w:t>
      </w:r>
    </w:p>
    <w:p w:rsidR="00831923" w:rsidRPr="00831923" w:rsidRDefault="00831923" w:rsidP="00831923">
      <w:pPr>
        <w:pStyle w:val="ListParagraph"/>
        <w:numPr>
          <w:ilvl w:val="0"/>
          <w:numId w:val="2"/>
        </w:numPr>
        <w:spacing w:before="60" w:after="60"/>
      </w:pPr>
      <w:r>
        <w:rPr>
          <w:color w:val="333333"/>
        </w:rPr>
        <w:t>Decomposition tree</w:t>
      </w:r>
    </w:p>
    <w:p w:rsidR="00831923" w:rsidRDefault="00831923" w:rsidP="00831923">
      <w:pPr>
        <w:pStyle w:val="ListParagraph"/>
        <w:numPr>
          <w:ilvl w:val="0"/>
          <w:numId w:val="2"/>
        </w:numPr>
        <w:spacing w:before="60" w:after="60"/>
      </w:pPr>
      <w:r>
        <w:t>Pie chart: Container movement by regional hub</w:t>
      </w:r>
    </w:p>
    <w:p w:rsidR="00831923" w:rsidRDefault="00831923" w:rsidP="00831923">
      <w:pPr>
        <w:pStyle w:val="ListParagraph"/>
        <w:numPr>
          <w:ilvl w:val="0"/>
          <w:numId w:val="2"/>
        </w:numPr>
        <w:spacing w:before="60" w:after="60"/>
      </w:pPr>
      <w:r>
        <w:t>Donut chart: Movements by fiscal year</w:t>
      </w:r>
    </w:p>
    <w:p w:rsidR="00831923" w:rsidRDefault="00831923" w:rsidP="00831923">
      <w:pPr>
        <w:pStyle w:val="ListParagraph"/>
        <w:numPr>
          <w:ilvl w:val="0"/>
          <w:numId w:val="2"/>
        </w:numPr>
        <w:spacing w:before="60" w:after="60"/>
      </w:pPr>
      <w:r>
        <w:t>Donut chart: Average duration by shift</w:t>
      </w:r>
    </w:p>
    <w:p w:rsidR="00831923" w:rsidRPr="00831923" w:rsidRDefault="00831923" w:rsidP="00831923">
      <w:pPr>
        <w:pStyle w:val="ListParagraph"/>
        <w:numPr>
          <w:ilvl w:val="0"/>
          <w:numId w:val="2"/>
        </w:numPr>
        <w:spacing w:before="60" w:after="60"/>
      </w:pPr>
      <w:r>
        <w:t>Gauge: Average move duration in days</w:t>
      </w:r>
    </w:p>
    <w:p w:rsidR="001A2DA7" w:rsidRDefault="001A2DA7" w:rsidP="001A2DA7">
      <w:pPr>
        <w:spacing w:before="60" w:after="60"/>
        <w:ind w:left="360"/>
      </w:pPr>
    </w:p>
    <w:p w:rsidR="001F168E" w:rsidRDefault="001C1D6D">
      <w:pPr>
        <w:pStyle w:val="Heading2"/>
      </w:pPr>
      <w:r>
        <w:t>Decompo</w:t>
      </w:r>
      <w:r>
        <w:t>sition Tree Placement</w:t>
      </w:r>
    </w:p>
    <w:p w:rsidR="001F168E" w:rsidRDefault="001C1D6D">
      <w:pPr>
        <w:spacing w:before="80" w:after="100"/>
      </w:pPr>
      <w:r>
        <w:rPr>
          <w:color w:val="333333"/>
        </w:rPr>
        <w:t xml:space="preserve">The Decomposition Tree visual </w:t>
      </w:r>
      <w:proofErr w:type="gramStart"/>
      <w:r>
        <w:rPr>
          <w:color w:val="333333"/>
        </w:rPr>
        <w:t>is best placed</w:t>
      </w:r>
      <w:proofErr w:type="gramEnd"/>
      <w:r>
        <w:rPr>
          <w:color w:val="333333"/>
        </w:rPr>
        <w:t xml:space="preserve"> on Page </w:t>
      </w:r>
      <w:r w:rsidR="001A2DA7">
        <w:rPr>
          <w:color w:val="333333"/>
        </w:rPr>
        <w:t>1</w:t>
      </w:r>
      <w:r>
        <w:rPr>
          <w:color w:val="333333"/>
        </w:rPr>
        <w:t xml:space="preserve"> (Terminal Bottlenecks) with Total Movements or </w:t>
      </w:r>
      <w:proofErr w:type="spellStart"/>
      <w:r>
        <w:rPr>
          <w:color w:val="333333"/>
        </w:rPr>
        <w:t>Avg</w:t>
      </w:r>
      <w:proofErr w:type="spellEnd"/>
      <w:r>
        <w:rPr>
          <w:color w:val="333333"/>
        </w:rPr>
        <w:t xml:space="preserve"> Move Duration as the primary metric. Recommended drill-down path:</w:t>
      </w:r>
    </w:p>
    <w:p w:rsidR="001F168E" w:rsidRDefault="001C1D6D">
      <w:pPr>
        <w:pStyle w:val="ListParagraph"/>
        <w:numPr>
          <w:ilvl w:val="0"/>
          <w:numId w:val="2"/>
        </w:numPr>
        <w:spacing w:before="60" w:after="60"/>
      </w:pPr>
      <w:r>
        <w:rPr>
          <w:color w:val="333333"/>
        </w:rPr>
        <w:t xml:space="preserve">Level 1: </w:t>
      </w:r>
      <w:r w:rsidR="001A2DA7">
        <w:rPr>
          <w:color w:val="333333"/>
        </w:rPr>
        <w:t>Total movements</w:t>
      </w:r>
    </w:p>
    <w:p w:rsidR="001F168E" w:rsidRDefault="001C1D6D">
      <w:pPr>
        <w:pStyle w:val="ListParagraph"/>
        <w:numPr>
          <w:ilvl w:val="0"/>
          <w:numId w:val="2"/>
        </w:numPr>
        <w:spacing w:before="60" w:after="60"/>
      </w:pPr>
      <w:r>
        <w:rPr>
          <w:color w:val="333333"/>
        </w:rPr>
        <w:t xml:space="preserve">Level 2: </w:t>
      </w:r>
      <w:r w:rsidR="001A2DA7">
        <w:rPr>
          <w:color w:val="333333"/>
        </w:rPr>
        <w:t>Shift (Day / Night)</w:t>
      </w:r>
    </w:p>
    <w:p w:rsidR="001F168E" w:rsidRDefault="001C1D6D">
      <w:pPr>
        <w:pStyle w:val="ListParagraph"/>
        <w:numPr>
          <w:ilvl w:val="0"/>
          <w:numId w:val="2"/>
        </w:numPr>
        <w:spacing w:before="60" w:after="60"/>
      </w:pPr>
      <w:r>
        <w:rPr>
          <w:color w:val="333333"/>
        </w:rPr>
        <w:t xml:space="preserve">Level 3: </w:t>
      </w:r>
      <w:r w:rsidR="001A2DA7">
        <w:rPr>
          <w:color w:val="333333"/>
        </w:rPr>
        <w:t>Regional Hub</w:t>
      </w:r>
    </w:p>
    <w:p w:rsidR="001A2DA7" w:rsidRPr="001A2DA7" w:rsidRDefault="001C1D6D" w:rsidP="001A2DA7">
      <w:pPr>
        <w:pStyle w:val="ListParagraph"/>
        <w:numPr>
          <w:ilvl w:val="0"/>
          <w:numId w:val="2"/>
        </w:numPr>
        <w:spacing w:before="60" w:after="60"/>
      </w:pPr>
      <w:r>
        <w:rPr>
          <w:color w:val="333333"/>
        </w:rPr>
        <w:t xml:space="preserve">Level 4: </w:t>
      </w:r>
      <w:r w:rsidR="001A2DA7">
        <w:rPr>
          <w:color w:val="333333"/>
        </w:rPr>
        <w:t>Vessel Category</w:t>
      </w:r>
    </w:p>
    <w:p w:rsidR="001A2DA7" w:rsidRDefault="001A2DA7" w:rsidP="001A2DA7">
      <w:pPr>
        <w:spacing w:before="60" w:after="60"/>
        <w:rPr>
          <w:b/>
          <w:bCs/>
          <w:color w:val="0B1C35"/>
          <w:sz w:val="32"/>
          <w:szCs w:val="32"/>
        </w:rPr>
      </w:pPr>
    </w:p>
    <w:p w:rsidR="00B90765" w:rsidRDefault="001C1D6D" w:rsidP="00B90765">
      <w:pPr>
        <w:spacing w:before="60" w:after="60"/>
        <w:rPr>
          <w:b/>
          <w:bCs/>
          <w:color w:val="0B1C35"/>
          <w:sz w:val="32"/>
          <w:szCs w:val="32"/>
        </w:rPr>
      </w:pPr>
      <w:r w:rsidRPr="001A2DA7">
        <w:rPr>
          <w:b/>
          <w:bCs/>
          <w:color w:val="0B1C35"/>
          <w:sz w:val="32"/>
          <w:szCs w:val="32"/>
        </w:rPr>
        <w:t>Recommendations</w:t>
      </w:r>
    </w:p>
    <w:p w:rsidR="001F168E" w:rsidRDefault="001C1D6D" w:rsidP="00B90765">
      <w:pPr>
        <w:spacing w:before="60" w:after="60"/>
      </w:pPr>
      <w:r>
        <w:rPr>
          <w:b/>
          <w:bCs/>
          <w:color w:val="007A6E"/>
          <w:sz w:val="26"/>
          <w:szCs w:val="26"/>
        </w:rPr>
        <w:t>Immediate Actions (0–3 months)</w:t>
      </w:r>
    </w:p>
    <w:p w:rsidR="001F168E" w:rsidRDefault="001C1D6D">
      <w:pPr>
        <w:pStyle w:val="ListParagraph"/>
        <w:numPr>
          <w:ilvl w:val="0"/>
          <w:numId w:val="2"/>
        </w:numPr>
        <w:spacing w:before="60" w:after="60"/>
      </w:pPr>
      <w:r>
        <w:rPr>
          <w:color w:val="333333"/>
        </w:rPr>
        <w:t>P</w:t>
      </w:r>
      <w:r>
        <w:rPr>
          <w:color w:val="333333"/>
        </w:rPr>
        <w:t>rioritize capacity review at T-672 (Deborah Perez, AMER) — highest duration + high volume</w:t>
      </w:r>
    </w:p>
    <w:p w:rsidR="001F168E" w:rsidRDefault="001C1D6D">
      <w:pPr>
        <w:pStyle w:val="ListParagraph"/>
        <w:numPr>
          <w:ilvl w:val="0"/>
          <w:numId w:val="2"/>
        </w:numPr>
        <w:spacing w:before="60" w:after="60"/>
      </w:pPr>
      <w:r>
        <w:rPr>
          <w:color w:val="333333"/>
        </w:rPr>
        <w:t>Audit berth scheduling at T-395 (Shawn Martinez, APAC) and T-99 (Kayla Mitchell, APAC)</w:t>
      </w:r>
    </w:p>
    <w:p w:rsidR="001F168E" w:rsidRDefault="001C1D6D">
      <w:pPr>
        <w:pStyle w:val="ListParagraph"/>
        <w:numPr>
          <w:ilvl w:val="0"/>
          <w:numId w:val="2"/>
        </w:numPr>
        <w:spacing w:before="60" w:after="60"/>
      </w:pPr>
      <w:r>
        <w:rPr>
          <w:color w:val="333333"/>
        </w:rPr>
        <w:t>Investi</w:t>
      </w:r>
      <w:r>
        <w:rPr>
          <w:color w:val="333333"/>
        </w:rPr>
        <w:t xml:space="preserve">gate daytime congestion — Day shifts are consistently 8.9 </w:t>
      </w:r>
      <w:proofErr w:type="spellStart"/>
      <w:r>
        <w:rPr>
          <w:color w:val="333333"/>
        </w:rPr>
        <w:t>hrs</w:t>
      </w:r>
      <w:proofErr w:type="spellEnd"/>
      <w:r>
        <w:rPr>
          <w:color w:val="333333"/>
        </w:rPr>
        <w:t xml:space="preserve"> slower than Night shifts</w:t>
      </w:r>
    </w:p>
    <w:p w:rsidR="001F168E" w:rsidRDefault="001F168E">
      <w:pPr>
        <w:spacing w:before="80"/>
      </w:pPr>
    </w:p>
    <w:p w:rsidR="001F168E" w:rsidRDefault="001C1D6D">
      <w:pPr>
        <w:pStyle w:val="Heading2"/>
      </w:pPr>
      <w:r>
        <w:t>Medium-Term Actions (3–6 months)</w:t>
      </w:r>
    </w:p>
    <w:p w:rsidR="001F168E" w:rsidRDefault="001C1D6D">
      <w:pPr>
        <w:pStyle w:val="ListParagraph"/>
        <w:numPr>
          <w:ilvl w:val="0"/>
          <w:numId w:val="2"/>
        </w:numPr>
        <w:spacing w:before="60" w:after="60"/>
      </w:pPr>
      <w:r>
        <w:rPr>
          <w:color w:val="333333"/>
        </w:rPr>
        <w:t>Implement Passenger vessel priority lanes at high-traffic terminals to close the 15.8-hr gap vs Container vessels</w:t>
      </w:r>
    </w:p>
    <w:p w:rsidR="001F168E" w:rsidRDefault="001C1D6D">
      <w:pPr>
        <w:pStyle w:val="ListParagraph"/>
        <w:numPr>
          <w:ilvl w:val="0"/>
          <w:numId w:val="2"/>
        </w:numPr>
        <w:spacing w:before="60" w:after="60"/>
      </w:pPr>
      <w:r>
        <w:rPr>
          <w:color w:val="333333"/>
        </w:rPr>
        <w:t>Redistribute movements from over-utilized APAC terminals to underutilized EMEA terminals where possible</w:t>
      </w:r>
    </w:p>
    <w:p w:rsidR="001F168E" w:rsidRDefault="001C1D6D">
      <w:pPr>
        <w:pStyle w:val="ListParagraph"/>
        <w:numPr>
          <w:ilvl w:val="0"/>
          <w:numId w:val="2"/>
        </w:numPr>
        <w:spacing w:before="60" w:after="60"/>
      </w:pPr>
      <w:r>
        <w:rPr>
          <w:color w:val="333333"/>
        </w:rPr>
        <w:t xml:space="preserve">Monitor LATAM hub — 2024 data shows an upward trend (512 </w:t>
      </w:r>
      <w:proofErr w:type="spellStart"/>
      <w:r>
        <w:rPr>
          <w:color w:val="333333"/>
        </w:rPr>
        <w:t>hrs</w:t>
      </w:r>
      <w:proofErr w:type="spellEnd"/>
      <w:r>
        <w:rPr>
          <w:color w:val="333333"/>
        </w:rPr>
        <w:t>) that could indicate emerging congestion</w:t>
      </w:r>
    </w:p>
    <w:p w:rsidR="001F168E" w:rsidRDefault="001F168E">
      <w:pPr>
        <w:spacing w:before="80"/>
      </w:pPr>
    </w:p>
    <w:p w:rsidR="001F168E" w:rsidRDefault="001C1D6D">
      <w:pPr>
        <w:pStyle w:val="Heading2"/>
      </w:pPr>
      <w:r>
        <w:t>Strategic Recommendations (6–12 months)</w:t>
      </w:r>
    </w:p>
    <w:p w:rsidR="001F168E" w:rsidRDefault="001C1D6D">
      <w:pPr>
        <w:pStyle w:val="ListParagraph"/>
        <w:numPr>
          <w:ilvl w:val="0"/>
          <w:numId w:val="2"/>
        </w:numPr>
        <w:spacing w:before="60" w:after="60"/>
      </w:pPr>
      <w:r>
        <w:rPr>
          <w:color w:val="333333"/>
        </w:rPr>
        <w:t>Expan</w:t>
      </w:r>
      <w:r>
        <w:rPr>
          <w:color w:val="333333"/>
        </w:rPr>
        <w:t>d capacity at T-672 and T-395 as top bottleneck candidates</w:t>
      </w:r>
    </w:p>
    <w:p w:rsidR="001F168E" w:rsidRDefault="001C1D6D">
      <w:pPr>
        <w:pStyle w:val="ListParagraph"/>
        <w:numPr>
          <w:ilvl w:val="0"/>
          <w:numId w:val="2"/>
        </w:numPr>
        <w:spacing w:before="60" w:after="60"/>
      </w:pPr>
      <w:r>
        <w:rPr>
          <w:color w:val="333333"/>
        </w:rPr>
        <w:t>Establish a terminal utilization dashboard for continuous monitoring using the Power BI report</w:t>
      </w:r>
    </w:p>
    <w:p w:rsidR="001F168E" w:rsidRDefault="001C1D6D">
      <w:pPr>
        <w:pStyle w:val="ListParagraph"/>
        <w:numPr>
          <w:ilvl w:val="0"/>
          <w:numId w:val="2"/>
        </w:numPr>
        <w:spacing w:before="60" w:after="60"/>
      </w:pPr>
      <w:r>
        <w:rPr>
          <w:color w:val="333333"/>
        </w:rPr>
        <w:t>Decommission or reallocate vessel age-based operational policies — data confirms age has no impact (r = -0.006)</w:t>
      </w:r>
    </w:p>
    <w:p w:rsidR="001F168E" w:rsidRDefault="001C1D6D" w:rsidP="00B84FE0">
      <w:pPr>
        <w:pStyle w:val="ListParagraph"/>
        <w:numPr>
          <w:ilvl w:val="0"/>
          <w:numId w:val="2"/>
        </w:numPr>
        <w:spacing w:before="60" w:after="60"/>
      </w:pPr>
      <w:r w:rsidRPr="001A2DA7">
        <w:rPr>
          <w:color w:val="333333"/>
        </w:rPr>
        <w:t xml:space="preserve">Target 15% reduction in </w:t>
      </w:r>
      <w:proofErr w:type="spellStart"/>
      <w:r w:rsidRPr="001A2DA7">
        <w:rPr>
          <w:color w:val="333333"/>
        </w:rPr>
        <w:t>avg</w:t>
      </w:r>
      <w:proofErr w:type="spellEnd"/>
      <w:r w:rsidRPr="001A2DA7">
        <w:rPr>
          <w:color w:val="333333"/>
        </w:rPr>
        <w:t xml:space="preserve"> move duration from 501 </w:t>
      </w:r>
      <w:proofErr w:type="spellStart"/>
      <w:r w:rsidRPr="001A2DA7">
        <w:rPr>
          <w:color w:val="333333"/>
        </w:rPr>
        <w:t>hrs</w:t>
      </w:r>
      <w:proofErr w:type="spellEnd"/>
      <w:r w:rsidRPr="001A2DA7">
        <w:rPr>
          <w:color w:val="333333"/>
        </w:rPr>
        <w:t xml:space="preserve"> to ~426 </w:t>
      </w:r>
      <w:proofErr w:type="spellStart"/>
      <w:r w:rsidRPr="001A2DA7">
        <w:rPr>
          <w:color w:val="333333"/>
        </w:rPr>
        <w:t>hrs</w:t>
      </w:r>
      <w:proofErr w:type="spellEnd"/>
      <w:r w:rsidRPr="001A2DA7">
        <w:rPr>
          <w:color w:val="333333"/>
        </w:rPr>
        <w:t xml:space="preserve"> through terminal load balancing and vessel routing optimization</w:t>
      </w:r>
    </w:p>
    <w:sectPr w:rsidR="001F168E">
      <w:headerReference w:type="default" r:id="rId8"/>
      <w:footerReference w:type="default" r:id="rId9"/>
      <w:pgSz w:w="12240" w:h="15840"/>
      <w:pgMar w:top="144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1D6D" w:rsidRDefault="001C1D6D">
      <w:r>
        <w:separator/>
      </w:r>
    </w:p>
  </w:endnote>
  <w:endnote w:type="continuationSeparator" w:id="0">
    <w:p w:rsidR="001C1D6D" w:rsidRDefault="001C1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168E" w:rsidRDefault="001F168E">
    <w:pPr>
      <w:pBdr>
        <w:top w:val="single" w:sz="4" w:space="4" w:color="C5D8E8"/>
      </w:pBdr>
      <w:tabs>
        <w:tab w:val="right" w:pos="9026"/>
      </w:tabs>
      <w:spacing w:before="10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1D6D" w:rsidRDefault="001C1D6D">
      <w:r>
        <w:separator/>
      </w:r>
    </w:p>
  </w:footnote>
  <w:footnote w:type="continuationSeparator" w:id="0">
    <w:p w:rsidR="001C1D6D" w:rsidRDefault="001C1D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168E" w:rsidRDefault="001F168E">
    <w:pPr>
      <w:pBdr>
        <w:bottom w:val="single" w:sz="6" w:space="4" w:color="007A6E"/>
      </w:pBdr>
      <w:tabs>
        <w:tab w:val="right" w:pos="9026"/>
      </w:tabs>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3C4E60"/>
    <w:multiLevelType w:val="hybridMultilevel"/>
    <w:tmpl w:val="DE7AA4DC"/>
    <w:lvl w:ilvl="0" w:tplc="32D8D874">
      <w:start w:val="1"/>
      <w:numFmt w:val="bullet"/>
      <w:lvlText w:val="●"/>
      <w:lvlJc w:val="left"/>
      <w:pPr>
        <w:ind w:left="720" w:hanging="360"/>
      </w:pPr>
    </w:lvl>
    <w:lvl w:ilvl="1" w:tplc="7E1C7E58">
      <w:start w:val="1"/>
      <w:numFmt w:val="bullet"/>
      <w:lvlText w:val="○"/>
      <w:lvlJc w:val="left"/>
      <w:pPr>
        <w:ind w:left="1440" w:hanging="360"/>
      </w:pPr>
    </w:lvl>
    <w:lvl w:ilvl="2" w:tplc="96AE2654">
      <w:start w:val="1"/>
      <w:numFmt w:val="bullet"/>
      <w:lvlText w:val="■"/>
      <w:lvlJc w:val="left"/>
      <w:pPr>
        <w:ind w:left="2160" w:hanging="360"/>
      </w:pPr>
    </w:lvl>
    <w:lvl w:ilvl="3" w:tplc="E110A390">
      <w:start w:val="1"/>
      <w:numFmt w:val="bullet"/>
      <w:lvlText w:val="●"/>
      <w:lvlJc w:val="left"/>
      <w:pPr>
        <w:ind w:left="2880" w:hanging="360"/>
      </w:pPr>
    </w:lvl>
    <w:lvl w:ilvl="4" w:tplc="3BA0D27E">
      <w:start w:val="1"/>
      <w:numFmt w:val="bullet"/>
      <w:lvlText w:val="○"/>
      <w:lvlJc w:val="left"/>
      <w:pPr>
        <w:ind w:left="3600" w:hanging="360"/>
      </w:pPr>
    </w:lvl>
    <w:lvl w:ilvl="5" w:tplc="ED5EF498">
      <w:start w:val="1"/>
      <w:numFmt w:val="bullet"/>
      <w:lvlText w:val="■"/>
      <w:lvlJc w:val="left"/>
      <w:pPr>
        <w:ind w:left="4320" w:hanging="360"/>
      </w:pPr>
    </w:lvl>
    <w:lvl w:ilvl="6" w:tplc="0098FFDC">
      <w:start w:val="1"/>
      <w:numFmt w:val="bullet"/>
      <w:lvlText w:val="●"/>
      <w:lvlJc w:val="left"/>
      <w:pPr>
        <w:ind w:left="5040" w:hanging="360"/>
      </w:pPr>
    </w:lvl>
    <w:lvl w:ilvl="7" w:tplc="210C1B66">
      <w:start w:val="1"/>
      <w:numFmt w:val="bullet"/>
      <w:lvlText w:val="●"/>
      <w:lvlJc w:val="left"/>
      <w:pPr>
        <w:ind w:left="5760" w:hanging="360"/>
      </w:pPr>
    </w:lvl>
    <w:lvl w:ilvl="8" w:tplc="8B2EFFE6">
      <w:start w:val="1"/>
      <w:numFmt w:val="bullet"/>
      <w:lvlText w:val="●"/>
      <w:lvlJc w:val="left"/>
      <w:pPr>
        <w:ind w:left="6480" w:hanging="360"/>
      </w:pPr>
    </w:lvl>
  </w:abstractNum>
  <w:abstractNum w:abstractNumId="1" w15:restartNumberingAfterBreak="0">
    <w:nsid w:val="34A72EBC"/>
    <w:multiLevelType w:val="hybridMultilevel"/>
    <w:tmpl w:val="73503C42"/>
    <w:lvl w:ilvl="0" w:tplc="A8BE07E0">
      <w:start w:val="5"/>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DA0147"/>
    <w:multiLevelType w:val="hybridMultilevel"/>
    <w:tmpl w:val="3F4E0D4E"/>
    <w:lvl w:ilvl="0" w:tplc="CEAAEF44">
      <w:start w:val="1"/>
      <w:numFmt w:val="decimal"/>
      <w:lvlText w:val="%1."/>
      <w:lvlJc w:val="left"/>
      <w:pPr>
        <w:ind w:left="720" w:hanging="360"/>
      </w:pPr>
    </w:lvl>
    <w:lvl w:ilvl="1" w:tplc="896444A2">
      <w:numFmt w:val="decimal"/>
      <w:lvlText w:val=""/>
      <w:lvlJc w:val="left"/>
    </w:lvl>
    <w:lvl w:ilvl="2" w:tplc="470040DC">
      <w:numFmt w:val="decimal"/>
      <w:lvlText w:val=""/>
      <w:lvlJc w:val="left"/>
    </w:lvl>
    <w:lvl w:ilvl="3" w:tplc="BE2A0AB6">
      <w:numFmt w:val="decimal"/>
      <w:lvlText w:val=""/>
      <w:lvlJc w:val="left"/>
    </w:lvl>
    <w:lvl w:ilvl="4" w:tplc="5986CF4C">
      <w:numFmt w:val="decimal"/>
      <w:lvlText w:val=""/>
      <w:lvlJc w:val="left"/>
    </w:lvl>
    <w:lvl w:ilvl="5" w:tplc="4A68D6AC">
      <w:numFmt w:val="decimal"/>
      <w:lvlText w:val=""/>
      <w:lvlJc w:val="left"/>
    </w:lvl>
    <w:lvl w:ilvl="6" w:tplc="09BA7A32">
      <w:numFmt w:val="decimal"/>
      <w:lvlText w:val=""/>
      <w:lvlJc w:val="left"/>
    </w:lvl>
    <w:lvl w:ilvl="7" w:tplc="6212B500">
      <w:numFmt w:val="decimal"/>
      <w:lvlText w:val=""/>
      <w:lvlJc w:val="left"/>
    </w:lvl>
    <w:lvl w:ilvl="8" w:tplc="651C4904">
      <w:numFmt w:val="decimal"/>
      <w:lvlText w:val=""/>
      <w:lvlJc w:val="left"/>
    </w:lvl>
  </w:abstractNum>
  <w:abstractNum w:abstractNumId="3" w15:restartNumberingAfterBreak="0">
    <w:nsid w:val="5FA2201E"/>
    <w:multiLevelType w:val="hybridMultilevel"/>
    <w:tmpl w:val="C52814B4"/>
    <w:lvl w:ilvl="0" w:tplc="50F8BD86">
      <w:start w:val="1"/>
      <w:numFmt w:val="bullet"/>
      <w:lvlText w:val="•"/>
      <w:lvlJc w:val="left"/>
      <w:pPr>
        <w:ind w:left="720" w:hanging="360"/>
      </w:pPr>
    </w:lvl>
    <w:lvl w:ilvl="1" w:tplc="542C7BBA">
      <w:numFmt w:val="decimal"/>
      <w:lvlText w:val=""/>
      <w:lvlJc w:val="left"/>
    </w:lvl>
    <w:lvl w:ilvl="2" w:tplc="0F28B1C6">
      <w:numFmt w:val="decimal"/>
      <w:lvlText w:val=""/>
      <w:lvlJc w:val="left"/>
    </w:lvl>
    <w:lvl w:ilvl="3" w:tplc="84FAE12A">
      <w:numFmt w:val="decimal"/>
      <w:lvlText w:val=""/>
      <w:lvlJc w:val="left"/>
    </w:lvl>
    <w:lvl w:ilvl="4" w:tplc="BA7E06C6">
      <w:numFmt w:val="decimal"/>
      <w:lvlText w:val=""/>
      <w:lvlJc w:val="left"/>
    </w:lvl>
    <w:lvl w:ilvl="5" w:tplc="148477E0">
      <w:numFmt w:val="decimal"/>
      <w:lvlText w:val=""/>
      <w:lvlJc w:val="left"/>
    </w:lvl>
    <w:lvl w:ilvl="6" w:tplc="66A65C3A">
      <w:numFmt w:val="decimal"/>
      <w:lvlText w:val=""/>
      <w:lvlJc w:val="left"/>
    </w:lvl>
    <w:lvl w:ilvl="7" w:tplc="A16E84A8">
      <w:numFmt w:val="decimal"/>
      <w:lvlText w:val=""/>
      <w:lvlJc w:val="left"/>
    </w:lvl>
    <w:lvl w:ilvl="8" w:tplc="CB8668E6">
      <w:numFmt w:val="decimal"/>
      <w:lvlText w:val=""/>
      <w:lvlJc w:val="left"/>
    </w:lvl>
  </w:abstractNum>
  <w:num w:numId="1">
    <w:abstractNumId w:val="0"/>
    <w:lvlOverride w:ilvl="0">
      <w:startOverride w:val="1"/>
    </w:lvlOverride>
  </w:num>
  <w:num w:numId="2">
    <w:abstractNumId w:val="3"/>
  </w:num>
  <w:num w:numId="3">
    <w:abstractNumId w:val="2"/>
    <w:lvlOverride w:ilvl="0">
      <w:startOverride w:val="1"/>
    </w:lvlOverride>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68E"/>
    <w:rsid w:val="001A2DA7"/>
    <w:rsid w:val="001C1D6D"/>
    <w:rsid w:val="001F168E"/>
    <w:rsid w:val="00831923"/>
    <w:rsid w:val="00A82011"/>
    <w:rsid w:val="00B907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D6386"/>
  <w15:docId w15:val="{5376DC6A-8E36-4E88-AA6D-4B0F98115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0B1C35"/>
      <w:sz w:val="32"/>
      <w:szCs w:val="32"/>
    </w:rPr>
  </w:style>
  <w:style w:type="paragraph" w:styleId="Heading2">
    <w:name w:val="heading 2"/>
    <w:qFormat/>
    <w:pPr>
      <w:spacing w:before="260" w:after="120"/>
      <w:outlineLvl w:val="1"/>
    </w:pPr>
    <w:rPr>
      <w:b/>
      <w:bCs/>
      <w:color w:val="007A6E"/>
      <w:sz w:val="26"/>
      <w:szCs w:val="26"/>
    </w:rPr>
  </w:style>
  <w:style w:type="paragraph" w:styleId="Heading3">
    <w:name w:val="heading 3"/>
    <w:qFormat/>
    <w:pPr>
      <w:spacing w:before="200" w:after="80"/>
      <w:outlineLvl w:val="2"/>
    </w:pPr>
    <w:rPr>
      <w:b/>
      <w:bCs/>
      <w:color w:val="0B1C35"/>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A2DA7"/>
    <w:pPr>
      <w:tabs>
        <w:tab w:val="center" w:pos="4680"/>
        <w:tab w:val="right" w:pos="9360"/>
      </w:tabs>
    </w:pPr>
  </w:style>
  <w:style w:type="character" w:customStyle="1" w:styleId="HeaderChar">
    <w:name w:val="Header Char"/>
    <w:basedOn w:val="DefaultParagraphFont"/>
    <w:link w:val="Header"/>
    <w:uiPriority w:val="99"/>
    <w:rsid w:val="001A2DA7"/>
  </w:style>
  <w:style w:type="paragraph" w:styleId="Footer">
    <w:name w:val="footer"/>
    <w:basedOn w:val="Normal"/>
    <w:link w:val="FooterChar"/>
    <w:uiPriority w:val="99"/>
    <w:unhideWhenUsed/>
    <w:rsid w:val="001A2DA7"/>
    <w:pPr>
      <w:tabs>
        <w:tab w:val="center" w:pos="4680"/>
        <w:tab w:val="right" w:pos="9360"/>
      </w:tabs>
    </w:pPr>
  </w:style>
  <w:style w:type="character" w:customStyle="1" w:styleId="FooterChar">
    <w:name w:val="Footer Char"/>
    <w:basedOn w:val="DefaultParagraphFont"/>
    <w:link w:val="Footer"/>
    <w:uiPriority w:val="99"/>
    <w:rsid w:val="001A2D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9281535">
      <w:bodyDiv w:val="1"/>
      <w:marLeft w:val="0"/>
      <w:marRight w:val="0"/>
      <w:marTop w:val="0"/>
      <w:marBottom w:val="0"/>
      <w:divBdr>
        <w:top w:val="none" w:sz="0" w:space="0" w:color="auto"/>
        <w:left w:val="none" w:sz="0" w:space="0" w:color="auto"/>
        <w:bottom w:val="none" w:sz="0" w:space="0" w:color="auto"/>
        <w:right w:val="none" w:sz="0" w:space="0" w:color="auto"/>
      </w:divBdr>
      <w:divsChild>
        <w:div w:id="1340349446">
          <w:marLeft w:val="0"/>
          <w:marRight w:val="0"/>
          <w:marTop w:val="0"/>
          <w:marBottom w:val="0"/>
          <w:divBdr>
            <w:top w:val="none" w:sz="0" w:space="0" w:color="auto"/>
            <w:left w:val="none" w:sz="0" w:space="0" w:color="auto"/>
            <w:bottom w:val="none" w:sz="0" w:space="0" w:color="auto"/>
            <w:right w:val="none" w:sz="0" w:space="0" w:color="auto"/>
          </w:divBdr>
          <w:divsChild>
            <w:div w:id="60712928">
              <w:marLeft w:val="0"/>
              <w:marRight w:val="0"/>
              <w:marTop w:val="0"/>
              <w:marBottom w:val="0"/>
              <w:divBdr>
                <w:top w:val="none" w:sz="0" w:space="0" w:color="auto"/>
                <w:left w:val="none" w:sz="0" w:space="0" w:color="auto"/>
                <w:bottom w:val="none" w:sz="0" w:space="0" w:color="auto"/>
                <w:right w:val="none" w:sz="0" w:space="0" w:color="auto"/>
              </w:divBdr>
            </w:div>
            <w:div w:id="369189899">
              <w:marLeft w:val="0"/>
              <w:marRight w:val="0"/>
              <w:marTop w:val="0"/>
              <w:marBottom w:val="0"/>
              <w:divBdr>
                <w:top w:val="none" w:sz="0" w:space="0" w:color="auto"/>
                <w:left w:val="none" w:sz="0" w:space="0" w:color="auto"/>
                <w:bottom w:val="none" w:sz="0" w:space="0" w:color="auto"/>
                <w:right w:val="none" w:sz="0" w:space="0" w:color="auto"/>
              </w:divBdr>
            </w:div>
            <w:div w:id="418870436">
              <w:marLeft w:val="0"/>
              <w:marRight w:val="0"/>
              <w:marTop w:val="0"/>
              <w:marBottom w:val="0"/>
              <w:divBdr>
                <w:top w:val="none" w:sz="0" w:space="0" w:color="auto"/>
                <w:left w:val="none" w:sz="0" w:space="0" w:color="auto"/>
                <w:bottom w:val="none" w:sz="0" w:space="0" w:color="auto"/>
                <w:right w:val="none" w:sz="0" w:space="0" w:color="auto"/>
              </w:divBdr>
            </w:div>
            <w:div w:id="1850294103">
              <w:marLeft w:val="0"/>
              <w:marRight w:val="0"/>
              <w:marTop w:val="0"/>
              <w:marBottom w:val="0"/>
              <w:divBdr>
                <w:top w:val="none" w:sz="0" w:space="0" w:color="auto"/>
                <w:left w:val="none" w:sz="0" w:space="0" w:color="auto"/>
                <w:bottom w:val="none" w:sz="0" w:space="0" w:color="auto"/>
                <w:right w:val="none" w:sz="0" w:space="0" w:color="auto"/>
              </w:divBdr>
            </w:div>
            <w:div w:id="232665700">
              <w:marLeft w:val="0"/>
              <w:marRight w:val="0"/>
              <w:marTop w:val="0"/>
              <w:marBottom w:val="0"/>
              <w:divBdr>
                <w:top w:val="none" w:sz="0" w:space="0" w:color="auto"/>
                <w:left w:val="none" w:sz="0" w:space="0" w:color="auto"/>
                <w:bottom w:val="none" w:sz="0" w:space="0" w:color="auto"/>
                <w:right w:val="none" w:sz="0" w:space="0" w:color="auto"/>
              </w:divBdr>
            </w:div>
            <w:div w:id="117692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30687">
      <w:bodyDiv w:val="1"/>
      <w:marLeft w:val="0"/>
      <w:marRight w:val="0"/>
      <w:marTop w:val="0"/>
      <w:marBottom w:val="0"/>
      <w:divBdr>
        <w:top w:val="none" w:sz="0" w:space="0" w:color="auto"/>
        <w:left w:val="none" w:sz="0" w:space="0" w:color="auto"/>
        <w:bottom w:val="none" w:sz="0" w:space="0" w:color="auto"/>
        <w:right w:val="none" w:sz="0" w:space="0" w:color="auto"/>
      </w:divBdr>
      <w:divsChild>
        <w:div w:id="244194545">
          <w:marLeft w:val="0"/>
          <w:marRight w:val="0"/>
          <w:marTop w:val="0"/>
          <w:marBottom w:val="0"/>
          <w:divBdr>
            <w:top w:val="none" w:sz="0" w:space="0" w:color="auto"/>
            <w:left w:val="none" w:sz="0" w:space="0" w:color="auto"/>
            <w:bottom w:val="none" w:sz="0" w:space="0" w:color="auto"/>
            <w:right w:val="none" w:sz="0" w:space="0" w:color="auto"/>
          </w:divBdr>
          <w:divsChild>
            <w:div w:id="1662081290">
              <w:marLeft w:val="0"/>
              <w:marRight w:val="0"/>
              <w:marTop w:val="0"/>
              <w:marBottom w:val="0"/>
              <w:divBdr>
                <w:top w:val="none" w:sz="0" w:space="0" w:color="auto"/>
                <w:left w:val="none" w:sz="0" w:space="0" w:color="auto"/>
                <w:bottom w:val="none" w:sz="0" w:space="0" w:color="auto"/>
                <w:right w:val="none" w:sz="0" w:space="0" w:color="auto"/>
              </w:divBdr>
            </w:div>
            <w:div w:id="1689598661">
              <w:marLeft w:val="0"/>
              <w:marRight w:val="0"/>
              <w:marTop w:val="0"/>
              <w:marBottom w:val="0"/>
              <w:divBdr>
                <w:top w:val="none" w:sz="0" w:space="0" w:color="auto"/>
                <w:left w:val="none" w:sz="0" w:space="0" w:color="auto"/>
                <w:bottom w:val="none" w:sz="0" w:space="0" w:color="auto"/>
                <w:right w:val="none" w:sz="0" w:space="0" w:color="auto"/>
              </w:divBdr>
            </w:div>
            <w:div w:id="1126971072">
              <w:marLeft w:val="0"/>
              <w:marRight w:val="0"/>
              <w:marTop w:val="0"/>
              <w:marBottom w:val="0"/>
              <w:divBdr>
                <w:top w:val="none" w:sz="0" w:space="0" w:color="auto"/>
                <w:left w:val="none" w:sz="0" w:space="0" w:color="auto"/>
                <w:bottom w:val="none" w:sz="0" w:space="0" w:color="auto"/>
                <w:right w:val="none" w:sz="0" w:space="0" w:color="auto"/>
              </w:divBdr>
            </w:div>
            <w:div w:id="194123200">
              <w:marLeft w:val="0"/>
              <w:marRight w:val="0"/>
              <w:marTop w:val="0"/>
              <w:marBottom w:val="0"/>
              <w:divBdr>
                <w:top w:val="none" w:sz="0" w:space="0" w:color="auto"/>
                <w:left w:val="none" w:sz="0" w:space="0" w:color="auto"/>
                <w:bottom w:val="none" w:sz="0" w:space="0" w:color="auto"/>
                <w:right w:val="none" w:sz="0" w:space="0" w:color="auto"/>
              </w:divBdr>
            </w:div>
            <w:div w:id="1781684687">
              <w:marLeft w:val="0"/>
              <w:marRight w:val="0"/>
              <w:marTop w:val="0"/>
              <w:marBottom w:val="0"/>
              <w:divBdr>
                <w:top w:val="none" w:sz="0" w:space="0" w:color="auto"/>
                <w:left w:val="none" w:sz="0" w:space="0" w:color="auto"/>
                <w:bottom w:val="none" w:sz="0" w:space="0" w:color="auto"/>
                <w:right w:val="none" w:sz="0" w:space="0" w:color="auto"/>
              </w:divBdr>
            </w:div>
            <w:div w:id="195836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90B96-D6DE-44EC-9DBE-4C8991CCBE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8</Pages>
  <Words>1389</Words>
  <Characters>7921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4</cp:revision>
  <dcterms:created xsi:type="dcterms:W3CDTF">2026-04-02T03:09:00Z</dcterms:created>
  <dcterms:modified xsi:type="dcterms:W3CDTF">2026-04-02T03:29:00Z</dcterms:modified>
</cp:coreProperties>
</file>