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8ECDD" w14:textId="539CC925" w:rsidR="008802BE" w:rsidRDefault="00396579">
      <w:pPr>
        <w:rPr>
          <w:b/>
          <w:bCs/>
        </w:rPr>
      </w:pPr>
      <w:r w:rsidRPr="00396579">
        <w:rPr>
          <w:b/>
          <w:bCs/>
        </w:rPr>
        <w:t xml:space="preserve">Final presentation references </w:t>
      </w:r>
    </w:p>
    <w:p w14:paraId="07FB6C93" w14:textId="331F5197" w:rsidR="00396579" w:rsidRDefault="00396579">
      <w:pPr>
        <w:rPr>
          <w:b/>
          <w:bCs/>
        </w:rPr>
      </w:pPr>
    </w:p>
    <w:p w14:paraId="223F8E40" w14:textId="6C0E27D1" w:rsidR="00E233E8" w:rsidRPr="00E233E8" w:rsidRDefault="00396579" w:rsidP="00E233E8">
      <w:pPr>
        <w:rPr>
          <w:b/>
          <w:bCs/>
        </w:rPr>
      </w:pPr>
      <w:r w:rsidRPr="00396579">
        <w:rPr>
          <w:b/>
          <w:bCs/>
        </w:rPr>
        <w:t xml:space="preserve">Rationale </w:t>
      </w:r>
    </w:p>
    <w:p w14:paraId="46688F35" w14:textId="58DA090F" w:rsidR="007E7A12" w:rsidRPr="007E7A12" w:rsidRDefault="00E233E8" w:rsidP="007E7A12">
      <w:r w:rsidRPr="00E233E8">
        <w:t xml:space="preserve">Time-to-event or survival Analysis is the </w:t>
      </w:r>
      <w:r w:rsidR="00E4435B">
        <w:t>analysis of</w:t>
      </w:r>
      <w:r w:rsidRPr="00E233E8">
        <w:t xml:space="preserve"> data in the form of times from a </w:t>
      </w:r>
      <w:r w:rsidR="00E4435B">
        <w:t>well-defined time</w:t>
      </w:r>
      <w:r w:rsidRPr="00E233E8">
        <w:t xml:space="preserve"> origin until the occurrence of some </w:t>
      </w:r>
      <w:r w:rsidR="00E4435B">
        <w:t>particular event</w:t>
      </w:r>
      <w:r w:rsidRPr="00E233E8">
        <w:t xml:space="preserve"> or end point</w:t>
      </w:r>
      <w:r>
        <w:rPr>
          <w:color w:val="E6007D"/>
        </w:rPr>
        <w:t xml:space="preserve"> </w:t>
      </w:r>
      <w:r>
        <w:rPr>
          <w:color w:val="E6007D"/>
        </w:rPr>
        <w:fldChar w:fldCharType="begin"/>
      </w:r>
      <w:r>
        <w:rPr>
          <w:color w:val="E6007D"/>
        </w:rPr>
        <w:instrText xml:space="preserve"> ADDIN ZOTERO_ITEM CSL_CITATION {"citationID":"UwItta6V","properties":{"formattedCitation":"(Collett, 2023)","plainCitation":"(Collett, 2023)","noteIndex":0},"citationItems":[{"id":215,"uris":["http://zotero.org/users/6754352/items/B4THYDCZ"],"itemData":{"id":215,"type":"book","collection-title":"Chapman &amp; Hall/CRC texts in statistical science","ISBN":"978-1-032-25285-8","publisher":"Taylor &amp; Francis","title":"Modelling Survival Data in Medical Research","URL":"https://books.google.ie/books?id=rIp0zwEACAAJ","author":[{"family":"Collett","given":"D."}],"issued":{"date-parts":[["2023"]]},"citation-key":"collettModellingSurvivalData2023"}}],"schema":"https://github.com/citation-style-language/schema/raw/master/csl-citation.json"} </w:instrText>
      </w:r>
      <w:r>
        <w:rPr>
          <w:color w:val="E6007D"/>
        </w:rPr>
        <w:fldChar w:fldCharType="separate"/>
      </w:r>
      <w:r w:rsidRPr="00E233E8">
        <w:rPr>
          <w:rFonts w:ascii="Calibri" w:hAnsi="Calibri" w:cs="Calibri"/>
        </w:rPr>
        <w:t>(Collett, 2023)</w:t>
      </w:r>
      <w:r>
        <w:rPr>
          <w:color w:val="E6007D"/>
        </w:rPr>
        <w:fldChar w:fldCharType="end"/>
      </w:r>
      <w:r w:rsidRPr="00E233E8">
        <w:t xml:space="preserve"> </w:t>
      </w:r>
    </w:p>
    <w:p w14:paraId="344AABE3" w14:textId="7CC7745A" w:rsidR="007E7A12" w:rsidRPr="007E7A12" w:rsidRDefault="007E7A12" w:rsidP="007E7A12">
      <w:pPr>
        <w:rPr>
          <w:lang w:val="en-US"/>
        </w:rPr>
      </w:pPr>
      <w:r w:rsidRPr="007E7A12">
        <w:rPr>
          <w:lang w:val="en-US"/>
        </w:rPr>
        <w:t xml:space="preserve">Survival data are </w:t>
      </w:r>
      <w:r w:rsidR="007846AD">
        <w:rPr>
          <w:lang w:val="en-US"/>
        </w:rPr>
        <w:t>generally asymmetric</w:t>
      </w:r>
      <w:r w:rsidRPr="007E7A12">
        <w:rPr>
          <w:lang w:val="en-US"/>
        </w:rPr>
        <w:t xml:space="preserve"> and censored, which requires the </w:t>
      </w:r>
      <w:r w:rsidR="007846AD">
        <w:rPr>
          <w:lang w:val="en-US"/>
        </w:rPr>
        <w:t>use of</w:t>
      </w:r>
      <w:r w:rsidRPr="007E7A12">
        <w:rPr>
          <w:lang w:val="en-US"/>
        </w:rPr>
        <w:t xml:space="preserve"> specific approaches for analysis and</w:t>
      </w:r>
      <w:r w:rsidR="007846AD">
        <w:rPr>
          <w:lang w:val="en-US"/>
        </w:rPr>
        <w:t xml:space="preserve"> </w:t>
      </w:r>
      <w:proofErr w:type="spellStart"/>
      <w:r w:rsidRPr="007E7A12">
        <w:rPr>
          <w:lang w:val="en-US"/>
        </w:rPr>
        <w:t>visualisations</w:t>
      </w:r>
      <w:proofErr w:type="spellEnd"/>
      <w:r w:rsidRPr="007E7A12">
        <w:rPr>
          <w:lang w:val="en-US"/>
        </w:rPr>
        <w:t>, such as this survival function,</w:t>
      </w:r>
      <w:r w:rsidR="007846AD">
        <w:rPr>
          <w:lang w:val="en-US"/>
        </w:rPr>
        <w:t xml:space="preserve"> </w:t>
      </w:r>
      <w:r w:rsidRPr="007E7A12">
        <w:rPr>
          <w:lang w:val="en-US"/>
        </w:rPr>
        <w:t xml:space="preserve">Kaplan </w:t>
      </w:r>
      <w:proofErr w:type="gramStart"/>
      <w:r w:rsidRPr="007E7A12">
        <w:rPr>
          <w:lang w:val="en-US"/>
        </w:rPr>
        <w:t>Meier(</w:t>
      </w:r>
      <w:proofErr w:type="gramEnd"/>
      <w:r w:rsidRPr="007E7A12">
        <w:rPr>
          <w:lang w:val="en-US"/>
        </w:rPr>
        <w:t>KM) estimator</w:t>
      </w:r>
      <w:r w:rsidR="007846AD">
        <w:rPr>
          <w:lang w:val="en-US"/>
        </w:rPr>
        <w:t>,</w:t>
      </w:r>
      <w:r w:rsidRPr="007E7A12">
        <w:rPr>
          <w:lang w:val="en-US"/>
        </w:rPr>
        <w:t xml:space="preserve"> and plot.</w:t>
      </w:r>
    </w:p>
    <w:p w14:paraId="072D38E1" w14:textId="138BE18B" w:rsidR="00E4435B" w:rsidRDefault="007E7A12" w:rsidP="007E7A12">
      <w:r w:rsidRPr="007E7A12">
        <w:rPr>
          <w:lang w:val="en-US"/>
        </w:rPr>
        <w:t xml:space="preserve">The survival function is the probability </w:t>
      </w:r>
      <w:r w:rsidR="007846AD">
        <w:rPr>
          <w:lang w:val="en-US"/>
        </w:rPr>
        <w:t>that the</w:t>
      </w:r>
      <w:r w:rsidRPr="007E7A12">
        <w:rPr>
          <w:lang w:val="en-US"/>
        </w:rPr>
        <w:t xml:space="preserve"> survival time is greater than or equal to time which is the observed value of </w:t>
      </w:r>
      <w:r w:rsidR="007846AD">
        <w:rPr>
          <w:lang w:val="en-US"/>
        </w:rPr>
        <w:t xml:space="preserve">a </w:t>
      </w:r>
      <w:r w:rsidRPr="007E7A12">
        <w:rPr>
          <w:lang w:val="en-US"/>
        </w:rPr>
        <w:t xml:space="preserve">random </w:t>
      </w:r>
      <w:r w:rsidR="004D5B6A">
        <w:rPr>
          <w:lang w:val="en-US"/>
        </w:rPr>
        <w:fldChar w:fldCharType="begin"/>
      </w:r>
      <w:r w:rsidR="004D5B6A">
        <w:rPr>
          <w:lang w:val="en-US"/>
        </w:rPr>
        <w:instrText xml:space="preserve"> ADDIN ZOTERO_ITEM CSL_CITATION {"citationID":"oSW2U5QY","properties":{"formattedCitation":"(Peace, 2009)","plainCitation":"(Peace, 2009)","noteIndex":0},"citationItems":[{"id":216,"uris":["http://zotero.org/users/6754352/items/HWMEKL9T"],"itemData":{"id":216,"type":"book","collection-title":"Chapman &amp; Hall/CRC Biostatistics Series","ISBN":"978-1-4200-6640-1","publisher":"CRC Press","title":"Design and Analysis of Clinical Trials with Time-to-Event Endpoints","URL":"https://books.google.ie/books?id=3f_LBQAAQBAJ","author":[{"family":"Peace","given":"K.E."}],"issued":{"date-parts":[["2009"]]},"citation-key":"peaceDesignAnalysisClinical2009"}}],"schema":"https://github.com/citation-style-language/schema/raw/master/csl-citation.json"} </w:instrText>
      </w:r>
      <w:r w:rsidR="004D5B6A">
        <w:rPr>
          <w:lang w:val="en-US"/>
        </w:rPr>
        <w:fldChar w:fldCharType="separate"/>
      </w:r>
      <w:r w:rsidR="004D5B6A" w:rsidRPr="004D5B6A">
        <w:rPr>
          <w:rFonts w:ascii="Calibri" w:hAnsi="Calibri" w:cs="Calibri"/>
        </w:rPr>
        <w:t>(Peace, 2009)</w:t>
      </w:r>
      <w:r w:rsidR="004D5B6A">
        <w:rPr>
          <w:lang w:val="en-US"/>
        </w:rPr>
        <w:fldChar w:fldCharType="end"/>
      </w:r>
    </w:p>
    <w:p w14:paraId="112B8659" w14:textId="27146EAD" w:rsidR="00E233E8" w:rsidRDefault="00626B0E" w:rsidP="00E233E8">
      <w:r w:rsidRPr="00626B0E">
        <w:t>The mean residual life function provides a clear and simple summary of the effect of a treatment or a risk factor in units of time, avoiding hazard ratios or probability scales, which require careful interpretation. </w:t>
      </w:r>
      <w:r>
        <w:fldChar w:fldCharType="begin"/>
      </w:r>
      <w:r>
        <w:instrText xml:space="preserve"> ADDIN ZOTERO_ITEM CSL_CITATION {"citationID":"fLa1r5H1","properties":{"formattedCitation":"(Alvarez-Iglesias et al., 2015)","plainCitation":"(Alvarez-Iglesias et al., 2015)","noteIndex":0},"citationItems":[{"id":275,"uris":["http://zotero.org/users/6754352/items/TICIHZHB"],"itemData":{"id":275,"type":"article-journal","abstract":"The mean residual life function provides a clear and simple summary of the effect of a treatment or a risk factor in units of time, avoiding hazard ratios or probability scales, which require careful interpretation. Estimation of the mean residual life is complicated by the upper tail of the survival distribution not being observed as, for example, patients may still be alive at the end of the follow-up period. Various approaches have been developed to estimate the mean residual life in the presence of such right censoring. In this work, a novel semi-parametric method that combines existing non-parametric methods and an extreme value tail model is presented, where the limited sample information in the tail (prior to study termination) is used to estimate the upper tail behaviour. This approach will be demonstrated with simulated and real-life examples.","container-title":"Statistics in Medicine","DOI":"10.1002/sim.6431","ISSN":"1097-0258","issue":"11","journalAbbreviation":"Stat Med","language":"eng","note":"PMID: 25628067","page":"1965-1976","source":"PubMed","title":"Summarising censored survival data using the mean residual life function","volume":"34","author":[{"family":"Alvarez-Iglesias","given":"Alberto"},{"family":"Newell","given":"John"},{"family":"Scarrott","given":"Carl"},{"family":"Hinde","given":"John"}],"issued":{"date-parts":[["2015",5,20]]},"citation-key":"alvarez-iglesiasSummarisingCensoredSurvival2015"}}],"schema":"https://github.com/citation-style-language/schema/raw/master/csl-citation.json"} </w:instrText>
      </w:r>
      <w:r>
        <w:fldChar w:fldCharType="separate"/>
      </w:r>
      <w:r w:rsidRPr="00626B0E">
        <w:rPr>
          <w:rFonts w:ascii="Calibri" w:hAnsi="Calibri" w:cs="Calibri"/>
        </w:rPr>
        <w:t>(Alvarez-Iglesias et al., 2015)</w:t>
      </w:r>
      <w:r>
        <w:fldChar w:fldCharType="end"/>
      </w:r>
    </w:p>
    <w:p w14:paraId="5C463FA7" w14:textId="1692747D" w:rsidR="004B1CD7" w:rsidRDefault="004B1CD7" w:rsidP="00E233E8">
      <w:r>
        <w:t xml:space="preserve">Dataset </w:t>
      </w:r>
      <w:r>
        <w:fldChar w:fldCharType="begin"/>
      </w:r>
      <w:r>
        <w:instrText xml:space="preserve"> ADDIN ZOTERO_ITEM CSL_CITATION {"citationID":"E9AvE5J9","properties":{"formattedCitation":"({\\i{}Portal.Gdc.Cancer.Gov/Projects/TCGA-BRCA}, n.d.)","plainCitation":"(Portal.Gdc.Cancer.Gov/Projects/TCGA-BRCA, n.d.)","noteIndex":0},"citationItems":[{"id":277,"uris":["http://zotero.org/users/6754352/items/J2J99Q6U"],"itemData":{"id":277,"type":"webpage","title":"portal.gdc.cancer.gov/projects/TCGA-BRCA","URL":"https://portal.gdc.cancer.gov/projects/TCGA-BRCA","accessed":{"date-parts":[["2025",5,26]]},"citation-key":"PortalgdccancergovProjectsTCGABRCA"}}],"schema":"https://github.com/citation-style-language/schema/raw/master/csl-citation.json"} </w:instrText>
      </w:r>
      <w:r>
        <w:fldChar w:fldCharType="separate"/>
      </w:r>
      <w:r w:rsidRPr="004B1CD7">
        <w:rPr>
          <w:rFonts w:ascii="Calibri" w:hAnsi="Calibri" w:cs="Calibri"/>
          <w:kern w:val="0"/>
        </w:rPr>
        <w:t>(</w:t>
      </w:r>
      <w:r w:rsidRPr="004B1CD7">
        <w:rPr>
          <w:rFonts w:ascii="Calibri" w:hAnsi="Calibri" w:cs="Calibri"/>
          <w:i/>
          <w:iCs/>
          <w:kern w:val="0"/>
        </w:rPr>
        <w:t>Portal.Gdc.Cancer.Gov/Projects/TCGA-BRCA</w:t>
      </w:r>
      <w:r w:rsidRPr="004B1CD7">
        <w:rPr>
          <w:rFonts w:ascii="Calibri" w:hAnsi="Calibri" w:cs="Calibri"/>
          <w:kern w:val="0"/>
        </w:rPr>
        <w:t>, n.d.)</w:t>
      </w:r>
      <w:r>
        <w:fldChar w:fldCharType="end"/>
      </w:r>
    </w:p>
    <w:p w14:paraId="23D8573F" w14:textId="61643055" w:rsidR="008767AA" w:rsidRDefault="008767AA" w:rsidP="00E233E8">
      <w:r>
        <w:t xml:space="preserve">Survival ratio </w:t>
      </w:r>
      <w:r>
        <w:fldChar w:fldCharType="begin"/>
      </w:r>
      <w:r>
        <w:instrText xml:space="preserve"> ADDIN ZOTERO_ITEM CSL_CITATION {"citationID":"IkrEamC3","properties":{"formattedCitation":"(Newell et al., 2006)","plainCitation":"(Newell et al., 2006)","noteIndex":0},"citationItems":[{"id":279,"uris":["http://zotero.org/users/6754352/items/LKVCP226"],"itemData":{"id":279,"type":"article-journal","abstract":"A new method is proposed, based on a simple ratio plot, which is useful for identifying time intervals or regions in which survival prospects differ between two distinct populations or treatments. In order to investigate whether any observed difference or trend is due to sampling variation or is due to a possible real effect, resampling techniques are used to generate permutation envelopes as reference bands. The method is applicable to the comparison of survival in two populations for both independent and paired survival problems and also to the assessment of the symmetry of a bivariate survival function.","container-title":"Computers in Biology and Medicine","DOI":"10.1016/j.compbiomed.2005.03.005","ISSN":"0010-4825","issue":"5","journalAbbreviation":"Computers in Biology and Medicine","page":"526-541","source":"ScienceDirect","title":"Survival ratio plots with permutation envelopes in survival data problems","volume":"36","author":[{"family":"Newell","given":"J."},{"family":"Kay","given":"J. W."},{"family":"Aitchison","given":"T. C."}],"issued":{"date-parts":[["2006",5,1]]},"citation-key":"newellSurvivalRatioPlots2006b"}}],"schema":"https://github.com/citation-style-language/schema/raw/master/csl-citation.json"} </w:instrText>
      </w:r>
      <w:r>
        <w:fldChar w:fldCharType="separate"/>
      </w:r>
      <w:r w:rsidRPr="008767AA">
        <w:rPr>
          <w:rFonts w:ascii="Calibri" w:hAnsi="Calibri" w:cs="Calibri"/>
        </w:rPr>
        <w:t>(Newell et al., 2006)</w:t>
      </w:r>
      <w:r>
        <w:fldChar w:fldCharType="end"/>
      </w:r>
    </w:p>
    <w:p w14:paraId="69EB9C88" w14:textId="7F306E3F" w:rsidR="00E233E8" w:rsidRDefault="008767AA" w:rsidP="00E233E8">
      <w:r>
        <w:t>f</w:t>
      </w:r>
    </w:p>
    <w:p w14:paraId="66983C19" w14:textId="45C18AB0" w:rsidR="00E233E8" w:rsidRPr="00E233E8" w:rsidRDefault="00E233E8" w:rsidP="00E233E8">
      <w:pPr>
        <w:rPr>
          <w:b/>
          <w:bCs/>
        </w:rPr>
      </w:pPr>
      <w:r w:rsidRPr="00E233E8">
        <w:rPr>
          <w:b/>
          <w:bCs/>
        </w:rPr>
        <w:t xml:space="preserve">References </w:t>
      </w:r>
    </w:p>
    <w:p w14:paraId="24724B35" w14:textId="77777777" w:rsidR="008767AA" w:rsidRPr="008767AA" w:rsidRDefault="00E233E8" w:rsidP="008767AA">
      <w:pPr>
        <w:pStyle w:val="Bibliography"/>
        <w:rPr>
          <w:rFonts w:ascii="Calibri" w:hAnsi="Calibri" w:cs="Calibri"/>
        </w:rPr>
      </w:pPr>
      <w:r>
        <w:fldChar w:fldCharType="begin"/>
      </w:r>
      <w:r>
        <w:instrText xml:space="preserve"> ADDIN ZOTERO_BIBL {"uncited":[],"omitted":[],"custom":[]} CSL_BIBLIOGRAPHY </w:instrText>
      </w:r>
      <w:r>
        <w:fldChar w:fldCharType="separate"/>
      </w:r>
      <w:r w:rsidR="008767AA" w:rsidRPr="008767AA">
        <w:rPr>
          <w:rFonts w:ascii="Calibri" w:hAnsi="Calibri" w:cs="Calibri"/>
        </w:rPr>
        <w:t xml:space="preserve">Alvarez-Iglesias, A., Newell, J., Scarrott, C., &amp; Hinde, J. (2015). Summarising censored survival data using the mean residual life function. </w:t>
      </w:r>
      <w:r w:rsidR="008767AA" w:rsidRPr="008767AA">
        <w:rPr>
          <w:rFonts w:ascii="Calibri" w:hAnsi="Calibri" w:cs="Calibri"/>
          <w:i/>
          <w:iCs/>
        </w:rPr>
        <w:t>Statistics in Medicine</w:t>
      </w:r>
      <w:r w:rsidR="008767AA" w:rsidRPr="008767AA">
        <w:rPr>
          <w:rFonts w:ascii="Calibri" w:hAnsi="Calibri" w:cs="Calibri"/>
        </w:rPr>
        <w:t xml:space="preserve">, </w:t>
      </w:r>
      <w:r w:rsidR="008767AA" w:rsidRPr="008767AA">
        <w:rPr>
          <w:rFonts w:ascii="Calibri" w:hAnsi="Calibri" w:cs="Calibri"/>
          <w:i/>
          <w:iCs/>
        </w:rPr>
        <w:t>34</w:t>
      </w:r>
      <w:r w:rsidR="008767AA" w:rsidRPr="008767AA">
        <w:rPr>
          <w:rFonts w:ascii="Calibri" w:hAnsi="Calibri" w:cs="Calibri"/>
        </w:rPr>
        <w:t>(11), 1965–1976. https://doi.org/10.1002/sim.6431</w:t>
      </w:r>
    </w:p>
    <w:p w14:paraId="4FBBE620" w14:textId="77777777" w:rsidR="008767AA" w:rsidRPr="008767AA" w:rsidRDefault="008767AA" w:rsidP="008767AA">
      <w:pPr>
        <w:pStyle w:val="Bibliography"/>
        <w:rPr>
          <w:rFonts w:ascii="Calibri" w:hAnsi="Calibri" w:cs="Calibri"/>
        </w:rPr>
      </w:pPr>
      <w:r w:rsidRPr="008767AA">
        <w:rPr>
          <w:rFonts w:ascii="Calibri" w:hAnsi="Calibri" w:cs="Calibri"/>
        </w:rPr>
        <w:t xml:space="preserve">Collett, D. (2023). </w:t>
      </w:r>
      <w:r w:rsidRPr="008767AA">
        <w:rPr>
          <w:rFonts w:ascii="Calibri" w:hAnsi="Calibri" w:cs="Calibri"/>
          <w:i/>
          <w:iCs/>
        </w:rPr>
        <w:t>Modelling Survival Data in Medical Research</w:t>
      </w:r>
      <w:r w:rsidRPr="008767AA">
        <w:rPr>
          <w:rFonts w:ascii="Calibri" w:hAnsi="Calibri" w:cs="Calibri"/>
        </w:rPr>
        <w:t>. Taylor &amp; Francis. https://books.google.ie/books?id=rIp0zwEACAAJ</w:t>
      </w:r>
    </w:p>
    <w:p w14:paraId="76784A77" w14:textId="77777777" w:rsidR="008767AA" w:rsidRPr="008767AA" w:rsidRDefault="008767AA" w:rsidP="008767AA">
      <w:pPr>
        <w:pStyle w:val="Bibliography"/>
        <w:rPr>
          <w:rFonts w:ascii="Calibri" w:hAnsi="Calibri" w:cs="Calibri"/>
        </w:rPr>
      </w:pPr>
      <w:r w:rsidRPr="008767AA">
        <w:rPr>
          <w:rFonts w:ascii="Calibri" w:hAnsi="Calibri" w:cs="Calibri"/>
        </w:rPr>
        <w:t xml:space="preserve">Newell, J., Kay, J. W., &amp; Aitchison, T. C. (2006). Survival ratio plots with permutation envelopes in survival data problems. </w:t>
      </w:r>
      <w:r w:rsidRPr="008767AA">
        <w:rPr>
          <w:rFonts w:ascii="Calibri" w:hAnsi="Calibri" w:cs="Calibri"/>
          <w:i/>
          <w:iCs/>
        </w:rPr>
        <w:t>Computers in Biology and Medicine</w:t>
      </w:r>
      <w:r w:rsidRPr="008767AA">
        <w:rPr>
          <w:rFonts w:ascii="Calibri" w:hAnsi="Calibri" w:cs="Calibri"/>
        </w:rPr>
        <w:t xml:space="preserve">, </w:t>
      </w:r>
      <w:r w:rsidRPr="008767AA">
        <w:rPr>
          <w:rFonts w:ascii="Calibri" w:hAnsi="Calibri" w:cs="Calibri"/>
          <w:i/>
          <w:iCs/>
        </w:rPr>
        <w:t>36</w:t>
      </w:r>
      <w:r w:rsidRPr="008767AA">
        <w:rPr>
          <w:rFonts w:ascii="Calibri" w:hAnsi="Calibri" w:cs="Calibri"/>
        </w:rPr>
        <w:t>(5), 526–541. https://doi.org/10.1016/j.compbiomed.2005.03.005</w:t>
      </w:r>
    </w:p>
    <w:p w14:paraId="7FCDA632" w14:textId="77777777" w:rsidR="008767AA" w:rsidRPr="008767AA" w:rsidRDefault="008767AA" w:rsidP="008767AA">
      <w:pPr>
        <w:pStyle w:val="Bibliography"/>
        <w:rPr>
          <w:rFonts w:ascii="Calibri" w:hAnsi="Calibri" w:cs="Calibri"/>
        </w:rPr>
      </w:pPr>
      <w:r w:rsidRPr="008767AA">
        <w:rPr>
          <w:rFonts w:ascii="Calibri" w:hAnsi="Calibri" w:cs="Calibri"/>
        </w:rPr>
        <w:t xml:space="preserve">Peace, K. E. (2009). </w:t>
      </w:r>
      <w:r w:rsidRPr="008767AA">
        <w:rPr>
          <w:rFonts w:ascii="Calibri" w:hAnsi="Calibri" w:cs="Calibri"/>
          <w:i/>
          <w:iCs/>
        </w:rPr>
        <w:t>Design and Analysis of Clinical Trials with Time-to-Event Endpoints</w:t>
      </w:r>
      <w:r w:rsidRPr="008767AA">
        <w:rPr>
          <w:rFonts w:ascii="Calibri" w:hAnsi="Calibri" w:cs="Calibri"/>
        </w:rPr>
        <w:t>. CRC Press. https://books.google.ie/books?id=3f_LBQAAQBAJ</w:t>
      </w:r>
    </w:p>
    <w:p w14:paraId="0F6DCCD2" w14:textId="77777777" w:rsidR="008767AA" w:rsidRPr="008767AA" w:rsidRDefault="008767AA" w:rsidP="008767AA">
      <w:pPr>
        <w:pStyle w:val="Bibliography"/>
        <w:rPr>
          <w:rFonts w:ascii="Calibri" w:hAnsi="Calibri" w:cs="Calibri"/>
        </w:rPr>
      </w:pPr>
      <w:r w:rsidRPr="008767AA">
        <w:rPr>
          <w:rFonts w:ascii="Calibri" w:hAnsi="Calibri" w:cs="Calibri"/>
          <w:i/>
          <w:iCs/>
        </w:rPr>
        <w:t>Portal.gdc.cancer.gov/projects/TCGA-BRCA</w:t>
      </w:r>
      <w:r w:rsidRPr="008767AA">
        <w:rPr>
          <w:rFonts w:ascii="Calibri" w:hAnsi="Calibri" w:cs="Calibri"/>
        </w:rPr>
        <w:t>. (n.d.). Retrieved May 26, 2025, from https://portal.gdc.cancer.gov/projects/TCGA-BRCA</w:t>
      </w:r>
    </w:p>
    <w:p w14:paraId="174AF08D" w14:textId="4685F48C" w:rsidR="00396579" w:rsidRPr="00396579" w:rsidRDefault="00E233E8">
      <w:r>
        <w:lastRenderedPageBreak/>
        <w:fldChar w:fldCharType="end"/>
      </w:r>
    </w:p>
    <w:sectPr w:rsidR="00396579" w:rsidRPr="00396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579"/>
    <w:rsid w:val="00396579"/>
    <w:rsid w:val="004B1CD7"/>
    <w:rsid w:val="004D5B6A"/>
    <w:rsid w:val="00610039"/>
    <w:rsid w:val="00626B0E"/>
    <w:rsid w:val="007846AD"/>
    <w:rsid w:val="007E79D7"/>
    <w:rsid w:val="007E7A12"/>
    <w:rsid w:val="008767AA"/>
    <w:rsid w:val="008802BE"/>
    <w:rsid w:val="008E13C1"/>
    <w:rsid w:val="00B27D0E"/>
    <w:rsid w:val="00CE7108"/>
    <w:rsid w:val="00E233E8"/>
    <w:rsid w:val="00E43D40"/>
    <w:rsid w:val="00E4435B"/>
    <w:rsid w:val="00E96C2D"/>
    <w:rsid w:val="00F6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AFE24"/>
  <w15:chartTrackingRefBased/>
  <w15:docId w15:val="{B4D5FA05-A10F-4452-A898-DCE6EB04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E"/>
    </w:rPr>
  </w:style>
  <w:style w:type="paragraph" w:styleId="Heading1">
    <w:name w:val="heading 1"/>
    <w:basedOn w:val="Normal"/>
    <w:next w:val="Normal"/>
    <w:link w:val="Heading1Char"/>
    <w:uiPriority w:val="9"/>
    <w:qFormat/>
    <w:rsid w:val="00396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579"/>
    <w:rPr>
      <w:rFonts w:asciiTheme="majorHAnsi" w:eastAsiaTheme="majorEastAsia" w:hAnsiTheme="majorHAnsi" w:cstheme="majorBidi"/>
      <w:color w:val="2F5496" w:themeColor="accent1" w:themeShade="BF"/>
      <w:sz w:val="40"/>
      <w:szCs w:val="40"/>
      <w:lang w:val="en-IE"/>
    </w:rPr>
  </w:style>
  <w:style w:type="character" w:customStyle="1" w:styleId="Heading2Char">
    <w:name w:val="Heading 2 Char"/>
    <w:basedOn w:val="DefaultParagraphFont"/>
    <w:link w:val="Heading2"/>
    <w:uiPriority w:val="9"/>
    <w:semiHidden/>
    <w:rsid w:val="00396579"/>
    <w:rPr>
      <w:rFonts w:asciiTheme="majorHAnsi" w:eastAsiaTheme="majorEastAsia" w:hAnsiTheme="majorHAnsi" w:cstheme="majorBidi"/>
      <w:color w:val="2F5496" w:themeColor="accent1" w:themeShade="BF"/>
      <w:sz w:val="32"/>
      <w:szCs w:val="32"/>
      <w:lang w:val="en-IE"/>
    </w:rPr>
  </w:style>
  <w:style w:type="character" w:customStyle="1" w:styleId="Heading3Char">
    <w:name w:val="Heading 3 Char"/>
    <w:basedOn w:val="DefaultParagraphFont"/>
    <w:link w:val="Heading3"/>
    <w:uiPriority w:val="9"/>
    <w:semiHidden/>
    <w:rsid w:val="00396579"/>
    <w:rPr>
      <w:rFonts w:eastAsiaTheme="majorEastAsia" w:cstheme="majorBidi"/>
      <w:color w:val="2F5496" w:themeColor="accent1" w:themeShade="BF"/>
      <w:sz w:val="28"/>
      <w:szCs w:val="28"/>
      <w:lang w:val="en-IE"/>
    </w:rPr>
  </w:style>
  <w:style w:type="character" w:customStyle="1" w:styleId="Heading4Char">
    <w:name w:val="Heading 4 Char"/>
    <w:basedOn w:val="DefaultParagraphFont"/>
    <w:link w:val="Heading4"/>
    <w:uiPriority w:val="9"/>
    <w:semiHidden/>
    <w:rsid w:val="00396579"/>
    <w:rPr>
      <w:rFonts w:eastAsiaTheme="majorEastAsia" w:cstheme="majorBidi"/>
      <w:i/>
      <w:iCs/>
      <w:color w:val="2F5496" w:themeColor="accent1" w:themeShade="BF"/>
      <w:lang w:val="en-IE"/>
    </w:rPr>
  </w:style>
  <w:style w:type="character" w:customStyle="1" w:styleId="Heading5Char">
    <w:name w:val="Heading 5 Char"/>
    <w:basedOn w:val="DefaultParagraphFont"/>
    <w:link w:val="Heading5"/>
    <w:uiPriority w:val="9"/>
    <w:semiHidden/>
    <w:rsid w:val="00396579"/>
    <w:rPr>
      <w:rFonts w:eastAsiaTheme="majorEastAsia" w:cstheme="majorBidi"/>
      <w:color w:val="2F5496" w:themeColor="accent1" w:themeShade="BF"/>
      <w:lang w:val="en-IE"/>
    </w:rPr>
  </w:style>
  <w:style w:type="character" w:customStyle="1" w:styleId="Heading6Char">
    <w:name w:val="Heading 6 Char"/>
    <w:basedOn w:val="DefaultParagraphFont"/>
    <w:link w:val="Heading6"/>
    <w:uiPriority w:val="9"/>
    <w:semiHidden/>
    <w:rsid w:val="00396579"/>
    <w:rPr>
      <w:rFonts w:eastAsiaTheme="majorEastAsia" w:cstheme="majorBidi"/>
      <w:i/>
      <w:iCs/>
      <w:color w:val="595959" w:themeColor="text1" w:themeTint="A6"/>
      <w:lang w:val="en-IE"/>
    </w:rPr>
  </w:style>
  <w:style w:type="character" w:customStyle="1" w:styleId="Heading7Char">
    <w:name w:val="Heading 7 Char"/>
    <w:basedOn w:val="DefaultParagraphFont"/>
    <w:link w:val="Heading7"/>
    <w:uiPriority w:val="9"/>
    <w:semiHidden/>
    <w:rsid w:val="00396579"/>
    <w:rPr>
      <w:rFonts w:eastAsiaTheme="majorEastAsia" w:cstheme="majorBidi"/>
      <w:color w:val="595959" w:themeColor="text1" w:themeTint="A6"/>
      <w:lang w:val="en-IE"/>
    </w:rPr>
  </w:style>
  <w:style w:type="character" w:customStyle="1" w:styleId="Heading8Char">
    <w:name w:val="Heading 8 Char"/>
    <w:basedOn w:val="DefaultParagraphFont"/>
    <w:link w:val="Heading8"/>
    <w:uiPriority w:val="9"/>
    <w:semiHidden/>
    <w:rsid w:val="00396579"/>
    <w:rPr>
      <w:rFonts w:eastAsiaTheme="majorEastAsia" w:cstheme="majorBidi"/>
      <w:i/>
      <w:iCs/>
      <w:color w:val="272727" w:themeColor="text1" w:themeTint="D8"/>
      <w:lang w:val="en-IE"/>
    </w:rPr>
  </w:style>
  <w:style w:type="character" w:customStyle="1" w:styleId="Heading9Char">
    <w:name w:val="Heading 9 Char"/>
    <w:basedOn w:val="DefaultParagraphFont"/>
    <w:link w:val="Heading9"/>
    <w:uiPriority w:val="9"/>
    <w:semiHidden/>
    <w:rsid w:val="00396579"/>
    <w:rPr>
      <w:rFonts w:eastAsiaTheme="majorEastAsia" w:cstheme="majorBidi"/>
      <w:color w:val="272727" w:themeColor="text1" w:themeTint="D8"/>
      <w:lang w:val="en-IE"/>
    </w:rPr>
  </w:style>
  <w:style w:type="paragraph" w:styleId="Title">
    <w:name w:val="Title"/>
    <w:basedOn w:val="Normal"/>
    <w:next w:val="Normal"/>
    <w:link w:val="TitleChar"/>
    <w:uiPriority w:val="10"/>
    <w:qFormat/>
    <w:rsid w:val="00396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79"/>
    <w:rPr>
      <w:rFonts w:asciiTheme="majorHAnsi" w:eastAsiaTheme="majorEastAsia" w:hAnsiTheme="majorHAnsi" w:cstheme="majorBidi"/>
      <w:spacing w:val="-10"/>
      <w:kern w:val="28"/>
      <w:sz w:val="56"/>
      <w:szCs w:val="56"/>
      <w:lang w:val="en-IE"/>
    </w:rPr>
  </w:style>
  <w:style w:type="paragraph" w:styleId="Subtitle">
    <w:name w:val="Subtitle"/>
    <w:basedOn w:val="Normal"/>
    <w:next w:val="Normal"/>
    <w:link w:val="SubtitleChar"/>
    <w:uiPriority w:val="11"/>
    <w:qFormat/>
    <w:rsid w:val="00396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579"/>
    <w:rPr>
      <w:rFonts w:eastAsiaTheme="majorEastAsia" w:cstheme="majorBidi"/>
      <w:color w:val="595959" w:themeColor="text1" w:themeTint="A6"/>
      <w:spacing w:val="15"/>
      <w:sz w:val="28"/>
      <w:szCs w:val="28"/>
      <w:lang w:val="en-IE"/>
    </w:rPr>
  </w:style>
  <w:style w:type="paragraph" w:styleId="Quote">
    <w:name w:val="Quote"/>
    <w:basedOn w:val="Normal"/>
    <w:next w:val="Normal"/>
    <w:link w:val="QuoteChar"/>
    <w:uiPriority w:val="29"/>
    <w:qFormat/>
    <w:rsid w:val="00396579"/>
    <w:pPr>
      <w:spacing w:before="160"/>
      <w:jc w:val="center"/>
    </w:pPr>
    <w:rPr>
      <w:i/>
      <w:iCs/>
      <w:color w:val="404040" w:themeColor="text1" w:themeTint="BF"/>
    </w:rPr>
  </w:style>
  <w:style w:type="character" w:customStyle="1" w:styleId="QuoteChar">
    <w:name w:val="Quote Char"/>
    <w:basedOn w:val="DefaultParagraphFont"/>
    <w:link w:val="Quote"/>
    <w:uiPriority w:val="29"/>
    <w:rsid w:val="00396579"/>
    <w:rPr>
      <w:i/>
      <w:iCs/>
      <w:color w:val="404040" w:themeColor="text1" w:themeTint="BF"/>
      <w:lang w:val="en-IE"/>
    </w:rPr>
  </w:style>
  <w:style w:type="paragraph" w:styleId="ListParagraph">
    <w:name w:val="List Paragraph"/>
    <w:basedOn w:val="Normal"/>
    <w:uiPriority w:val="34"/>
    <w:qFormat/>
    <w:rsid w:val="00396579"/>
    <w:pPr>
      <w:ind w:left="720"/>
      <w:contextualSpacing/>
    </w:pPr>
  </w:style>
  <w:style w:type="character" w:styleId="IntenseEmphasis">
    <w:name w:val="Intense Emphasis"/>
    <w:basedOn w:val="DefaultParagraphFont"/>
    <w:uiPriority w:val="21"/>
    <w:qFormat/>
    <w:rsid w:val="00396579"/>
    <w:rPr>
      <w:i/>
      <w:iCs/>
      <w:color w:val="2F5496" w:themeColor="accent1" w:themeShade="BF"/>
    </w:rPr>
  </w:style>
  <w:style w:type="paragraph" w:styleId="IntenseQuote">
    <w:name w:val="Intense Quote"/>
    <w:basedOn w:val="Normal"/>
    <w:next w:val="Normal"/>
    <w:link w:val="IntenseQuoteChar"/>
    <w:uiPriority w:val="30"/>
    <w:qFormat/>
    <w:rsid w:val="00396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579"/>
    <w:rPr>
      <w:i/>
      <w:iCs/>
      <w:color w:val="2F5496" w:themeColor="accent1" w:themeShade="BF"/>
      <w:lang w:val="en-IE"/>
    </w:rPr>
  </w:style>
  <w:style w:type="character" w:styleId="IntenseReference">
    <w:name w:val="Intense Reference"/>
    <w:basedOn w:val="DefaultParagraphFont"/>
    <w:uiPriority w:val="32"/>
    <w:qFormat/>
    <w:rsid w:val="00396579"/>
    <w:rPr>
      <w:b/>
      <w:bCs/>
      <w:smallCaps/>
      <w:color w:val="2F5496" w:themeColor="accent1" w:themeShade="BF"/>
      <w:spacing w:val="5"/>
    </w:rPr>
  </w:style>
  <w:style w:type="paragraph" w:customStyle="1" w:styleId="Default">
    <w:name w:val="Default"/>
    <w:rsid w:val="00E233E8"/>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Bibliography">
    <w:name w:val="Bibliography"/>
    <w:basedOn w:val="Normal"/>
    <w:next w:val="Normal"/>
    <w:uiPriority w:val="37"/>
    <w:unhideWhenUsed/>
    <w:rsid w:val="00E233E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2</Pages>
  <Words>233</Words>
  <Characters>1552</Characters>
  <Application>Microsoft Office Word</Application>
  <DocSecurity>0</DocSecurity>
  <Lines>29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Pacifique Rwandarwacu</dc:creator>
  <cp:keywords/>
  <dc:description/>
  <cp:lastModifiedBy>Victor Pacifique Rwandarwacu</cp:lastModifiedBy>
  <cp:revision>2</cp:revision>
  <dcterms:created xsi:type="dcterms:W3CDTF">2025-05-25T19:54:00Z</dcterms:created>
  <dcterms:modified xsi:type="dcterms:W3CDTF">2025-05-26T02:50:00Z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f381d037-a767-40fd-ace9-e9355b230d14</vt:lpwstr>
  </property>
  <property fmtid="{D5CDD505-2E9C-101B-9397-08002B2CF9AE}" pid="3" name="ZOTERO_PREF_1">
    <vt:lpwstr>&lt;data data-version="3" zotero-version="7.0.15"&gt;&lt;session id="QKo0t6no"/&gt;&lt;style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