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Analysis Plan (SAP) and Summary Results</w:t>
      </w:r>
    </w:p>
    <w:p>
      <w:pPr>
        <w:pStyle w:val="Heading1"/>
      </w:pPr>
      <w:r>
        <w:t>1. Study Overview</w:t>
      </w:r>
    </w:p>
    <w:p>
      <w:r>
        <w:br/>
        <w:t>Study Title: Survey on Survival Data Visualization – A Clinician’s Perspective</w:t>
        <w:br/>
        <w:br/>
        <w:t>This report summarizes the statistical analysis plan (SAP) and initial descriptive results based on survey responses from clinicians evaluating different survival data visualizations.</w:t>
        <w:br/>
      </w:r>
    </w:p>
    <w:p>
      <w:pPr>
        <w:pStyle w:val="Heading1"/>
      </w:pPr>
      <w:r>
        <w:t>2. Objectives</w:t>
      </w:r>
    </w:p>
    <w:p>
      <w:r>
        <w:br/>
        <w:t>- To assess clinicians' understanding of survival visualizations (Kaplan-Meier, MRL, etc.).</w:t>
        <w:br/>
        <w:t>- To rank visualizations by ease of understanding and preference for patient communication.</w:t>
        <w:br/>
        <w:t>- To examine relationships between clinicians’ backgrounds and their visualization preferences.</w:t>
        <w:br/>
      </w:r>
    </w:p>
    <w:p>
      <w:pPr>
        <w:pStyle w:val="Heading1"/>
      </w:pPr>
      <w:r>
        <w:t>3. Dataset Description</w:t>
      </w:r>
    </w:p>
    <w:p>
      <w:r>
        <w:br/>
        <w:t>Total Valid Responses: 32</w:t>
        <w:br/>
        <w:br/>
        <w:t>Variables include:</w:t>
        <w:br/>
        <w:t>- Demographics: Qualification, Country, Knowledge rating (1–10)</w:t>
        <w:br/>
        <w:t>- Free-text interpretations: for various survival plots</w:t>
        <w:br/>
        <w:t>- Ranking data: for ease of understanding and patient preference</w:t>
        <w:br/>
      </w:r>
    </w:p>
    <w:p>
      <w:pPr>
        <w:pStyle w:val="Heading1"/>
      </w:pPr>
      <w:r>
        <w:t>4. Demographic Summary</w:t>
      </w:r>
    </w:p>
    <w:p>
      <w:r>
        <w:t>Qualification Distribution:</w:t>
      </w:r>
    </w:p>
    <w:p>
      <w:pPr>
        <w:pStyle w:val="ListBullet"/>
      </w:pPr>
      <w:r>
        <w:t>Medical Doctor (Specialist or postgraduate): 15</w:t>
      </w:r>
    </w:p>
    <w:p>
      <w:pPr>
        <w:pStyle w:val="ListBullet"/>
      </w:pPr>
      <w:r>
        <w:t>Medical Doctor (General Practitioner): 12</w:t>
      </w:r>
    </w:p>
    <w:p>
      <w:pPr>
        <w:pStyle w:val="ListBullet"/>
      </w:pPr>
      <w:r>
        <w:t>Medical student: 4</w:t>
      </w:r>
    </w:p>
    <w:p>
      <w:pPr>
        <w:pStyle w:val="ListBullet"/>
      </w:pPr>
      <w:r>
        <w:t>Medical Doctor (General practitioner): 1</w:t>
      </w:r>
    </w:p>
    <w:p>
      <w:r>
        <w:br/>
        <w:t>Knowledge Score Summary:</w:t>
      </w:r>
    </w:p>
    <w:p>
      <w:r>
        <w:t>Mean: 3.97, Median: 4.0, Std Dev: 2.46</w:t>
      </w:r>
    </w:p>
    <w:p>
      <w:pPr>
        <w:pStyle w:val="Heading1"/>
      </w:pPr>
      <w:r>
        <w:t>5. Plot Ranking Results</w:t>
      </w:r>
    </w:p>
    <w:p>
      <w:r>
        <w:t>Mean Understanding Ranks (lower is easier):</w:t>
      </w:r>
    </w:p>
    <w:p>
      <w:pPr>
        <w:pStyle w:val="ListBullet"/>
      </w:pPr>
      <w:r>
        <w:t>Kaplan Meier plot: 1.81</w:t>
      </w:r>
    </w:p>
    <w:p>
      <w:pPr>
        <w:pStyle w:val="ListBullet"/>
      </w:pPr>
      <w:r>
        <w:t>Survival Difference plot: 2.34</w:t>
      </w:r>
    </w:p>
    <w:p>
      <w:pPr>
        <w:pStyle w:val="ListBullet"/>
      </w:pPr>
      <w:r>
        <w:t>Mean Residual Life plot : 2.78</w:t>
      </w:r>
    </w:p>
    <w:p>
      <w:pPr>
        <w:pStyle w:val="ListBullet"/>
      </w:pPr>
      <w:r>
        <w:t>Mean Residual Life Difference plot: 3.06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standing_ran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