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Times New Roman" w:hAnsi="Times New Roman"/>
          <w:color w:val="000000"/>
        </w:rPr>
        <w:t>Title Page</w:t>
      </w:r>
    </w:p>
    <w:p>
      <w:pPr>
        <w:ind w:firstLine="720"/>
      </w:pPr>
      <w:r>
        <w:t>FROM LOWEST PRICE TO HIGHEST PUBLIC VALUE: AN EMPIRICAL TEST OF BEST-VALUE SOURCE SELECTION IN GOVERNMENT RFPs</w:t>
      </w:r>
    </w:p>
    <w:p>
      <w:pPr>
        <w:ind w:firstLine="720"/>
      </w:pPr>
      <w:r>
        <w:t>A Dissertation Presented to the Faculty of the Daniels College of Business, University of Denver</w:t>
      </w:r>
    </w:p>
    <w:p>
      <w:pPr>
        <w:ind w:firstLine="720"/>
      </w:pPr>
      <w:r>
        <w:t>In Partial Fulfillment of the Requirements for the Degree of Doctor of Philosophy</w:t>
      </w:r>
    </w:p>
    <w:p>
      <w:pPr>
        <w:ind w:firstLine="720"/>
      </w:pPr>
      <w:r>
        <w:t>Richard W. Davidson</w:t>
      </w:r>
    </w:p>
    <w:p>
      <w:pPr>
        <w:ind w:firstLine="720"/>
      </w:pPr>
      <w:r>
        <w:t>[Month] 2026</w:t>
      </w:r>
    </w:p>
    <w:p>
      <w:pPr>
        <w:ind w:firstLine="720"/>
      </w:pPr>
      <w:r>
        <w:t>Advisor: [Committee Chair Name TBD]</w:t>
      </w:r>
    </w:p>
    <w:p>
      <w:pPr>
        <w:pStyle w:val="Heading1"/>
      </w:pPr>
      <w:r>
        <w:rPr>
          <w:rFonts w:ascii="Times New Roman" w:hAnsi="Times New Roman"/>
          <w:color w:val="000000"/>
        </w:rPr>
        <w:t>Abstract</w:t>
      </w:r>
    </w:p>
    <w:p>
      <w:pPr>
        <w:ind w:firstLine="720"/>
      </w:pPr>
      <w:r>
        <w:t>Federal procurement policy has long debated the relative merits of lowest-price technically acceptable (LPTA) and best-value tradeoff (BVT) source selection methods, yet empirical evidence on their differential post-award outcomes remains limited. This dissertation examines whether quality-evaluating (best-value tradeoff) source selection in federal procurement produces superior public value outcomes compared to price-focused (LPTA) approaches. Drawing on public value theory, transaction cost economics, and principal-agent theory, the study develops and tests a conceptual model linking procurement design choices to measurable contract performance indicators.</w:t>
      </w:r>
    </w:p>
    <w:p>
      <w:pPr>
        <w:ind w:firstLine="720"/>
      </w:pPr>
      <w:r>
        <w:t>The research employs a quasi-experimental archival design, analyzing 15,477 competitive service and information technology contract awards exceeding $250,000 from USAspending.gov for fiscal year 2024. Procurement design is operationalized as a binary treatment variable distinguishing quality-evaluating awards from price-focused awards. Outcome variables include cost growth (percentage change from initial to current award value), modification intensity (count of contract modifications), and competition level (single-bid indicator). Analytical methods include ordinary least squares regression, negative binomial generalized linear modeling, logistic regression, and propensity score matching to address selection bias inherent in observational procurement data.</w:t>
      </w:r>
    </w:p>
    <w:p>
      <w:pPr>
        <w:ind w:firstLine="720"/>
      </w:pPr>
      <w:r>
        <w:t>Results reveal three principal findings. First, no statistically significant main effect of procurement design on cost growth was detected (H1 not supported, p = 0.377), nor on modification intensity (H2 not supported, p = 0.449). Second, a marginally significant reduction in single-bid rates was observed under quality-evaluating design (OR = 0.752, p = 0.085), suggesting that evaluation criteria emphasizing technical merit may modestly enhance competitive participation. Third, award complexity significantly moderates the procurement design-performance relationship (H8 supported, interaction p = 0.003), with quality-evaluating design demonstrating benefits primarily for smaller, less complex procurements.</w:t>
      </w:r>
    </w:p>
    <w:p>
      <w:pPr>
        <w:ind w:firstLine="720"/>
      </w:pPr>
      <w:r>
        <w:t>These findings indicate that source selection method alone may be insufficient to drive post-award contract outcomes. Contract management capacity, requirements definition quality, and oversight intensity may exert greater influence on performance than the initial evaluation framework. The complexity moderation finding suggests that procurement policy should adopt context-sensitive, rather than one-size-fits-all, approaches to source selection method prescription.</w:t>
      </w:r>
    </w:p>
    <w:p>
      <w:pPr>
        <w:ind w:firstLine="720"/>
      </w:pPr>
      <w:r>
        <w:t>Keywords: public procurement, source selection, best value, LPTA, public value, federal contracting, propensity score matching</w:t>
      </w:r>
    </w:p>
    <w:p>
      <w:pPr>
        <w:pStyle w:val="Heading1"/>
      </w:pPr>
      <w:r>
        <w:rPr>
          <w:rFonts w:ascii="Times New Roman" w:hAnsi="Times New Roman"/>
          <w:color w:val="000000"/>
        </w:rPr>
        <w:t>Acknowledgments</w:t>
      </w:r>
    </w:p>
    <w:p>
      <w:pPr>
        <w:ind w:firstLine="720"/>
      </w:pPr>
      <w:r>
        <w:t>I wish to express my sincere gratitude to the faculty and staff of the Daniels College of Business at the University of Denver, whose commitment to rigorous scholarship and practitioner-relevant research shaped this work at every stage. I am especially grateful to [Committee Chair Name TBD], my dissertation committee chair, and to the members of my committee for their sustained guidance, intellectual challenge, and generous investment of time throughout this process.</w:t>
      </w:r>
    </w:p>
    <w:p>
      <w:pPr>
        <w:ind w:firstLine="720"/>
      </w:pPr>
      <w:r>
        <w:t>I owe a considerable debt to the federal acquisition community – the contracting officers, program managers, and policy professionals whose daily work inspired this research. Over more than 25 years in government contracting, I have been privileged to observe the complexities of public procurement firsthand, and it is the dedication and professionalism of this community that motivated my inquiry into how procurement design choices affect public value.</w:t>
      </w:r>
    </w:p>
    <w:p>
      <w:pPr>
        <w:ind w:firstLine="720"/>
      </w:pPr>
      <w:r>
        <w:t>I am grateful to the Executive PhD cohort at Daniels College of Business for the camaraderie, candid feedback, and shared resolve that sustained us through the demands of doctoral study alongside professional careers. The intellectual companionship of fellow scholar-practitioners enriched this dissertation in ways that transcend any single citation.</w:t>
      </w:r>
    </w:p>
    <w:p>
      <w:pPr>
        <w:ind w:firstLine="720"/>
      </w:pPr>
      <w:r>
        <w:t>Finally, and most importantly, I thank my family for their unwavering patience, encouragement, and sacrifice. The pursuit of a doctoral degree while maintaining professional obligations exacts a toll that extends well beyond the scholar, and I am profoundly grateful for the support that made this achievement possible.</w:t>
      </w:r>
    </w:p>
    <w:p>
      <w:pPr>
        <w:pStyle w:val="Heading1"/>
      </w:pPr>
      <w:r>
        <w:rPr>
          <w:rFonts w:ascii="Times New Roman" w:hAnsi="Times New Roman"/>
          <w:color w:val="000000"/>
        </w:rPr>
        <w:t>Table of Contents</w:t>
      </w:r>
    </w:p>
    <w:tbl>
      <w:tblPr>
        <w:tblStyle w:val="TableGrid"/>
        <w:tblW w:type="auto" w:w="0"/>
        <w:tblLook w:firstColumn="1" w:firstRow="1" w:lastColumn="0" w:lastRow="0" w:noHBand="0" w:noVBand="1" w:val="04A0"/>
      </w:tblPr>
      <w:tblGrid>
        <w:gridCol w:w="4320"/>
        <w:gridCol w:w="4320"/>
      </w:tblGrid>
      <w:tr>
        <w:tc>
          <w:tcPr>
            <w:tcW w:type="dxa" w:w="4320"/>
          </w:tcPr>
          <w:p>
            <w:pPr>
              <w:spacing w:line="240" w:lineRule="auto"/>
            </w:pPr>
            <w:r>
              <w:rPr>
                <w:rFonts w:ascii="Times New Roman" w:hAnsi="Times New Roman"/>
                <w:b/>
                <w:sz w:val="20"/>
              </w:rPr>
              <w:t>Section</w:t>
            </w:r>
          </w:p>
        </w:tc>
        <w:tc>
          <w:tcPr>
            <w:tcW w:type="dxa" w:w="4320"/>
          </w:tcPr>
          <w:p>
            <w:pPr>
              <w:spacing w:line="240" w:lineRule="auto"/>
            </w:pPr>
            <w:r>
              <w:rPr>
                <w:rFonts w:ascii="Times New Roman" w:hAnsi="Times New Roman"/>
                <w:b/>
                <w:sz w:val="20"/>
              </w:rPr>
              <w:t>Page</w:t>
            </w:r>
          </w:p>
        </w:tc>
      </w:tr>
      <w:tr>
        <w:tc>
          <w:tcPr>
            <w:tcW w:type="dxa" w:w="4320"/>
          </w:tcPr>
          <w:p>
            <w:pPr>
              <w:spacing w:line="240" w:lineRule="auto"/>
            </w:pPr>
            <w:r>
              <w:rPr>
                <w:rFonts w:ascii="Times New Roman" w:hAnsi="Times New Roman"/>
                <w:sz w:val="20"/>
              </w:rPr>
              <w:t>Abstract</w:t>
            </w:r>
          </w:p>
        </w:tc>
        <w:tc>
          <w:tcPr>
            <w:tcW w:type="dxa" w:w="4320"/>
          </w:tcPr>
          <w:p>
            <w:pPr>
              <w:spacing w:line="240" w:lineRule="auto"/>
            </w:pPr>
            <w:r>
              <w:rPr>
                <w:rFonts w:ascii="Times New Roman" w:hAnsi="Times New Roman"/>
                <w:sz w:val="20"/>
              </w:rPr>
              <w:t>ii</w:t>
            </w:r>
          </w:p>
        </w:tc>
      </w:tr>
      <w:tr>
        <w:tc>
          <w:tcPr>
            <w:tcW w:type="dxa" w:w="4320"/>
          </w:tcPr>
          <w:p>
            <w:pPr>
              <w:spacing w:line="240" w:lineRule="auto"/>
            </w:pPr>
            <w:r>
              <w:rPr>
                <w:rFonts w:ascii="Times New Roman" w:hAnsi="Times New Roman"/>
                <w:sz w:val="20"/>
              </w:rPr>
              <w:t>Acknowledgments</w:t>
            </w:r>
          </w:p>
        </w:tc>
        <w:tc>
          <w:tcPr>
            <w:tcW w:type="dxa" w:w="4320"/>
          </w:tcPr>
          <w:p>
            <w:pPr>
              <w:spacing w:line="240" w:lineRule="auto"/>
            </w:pPr>
            <w:r>
              <w:rPr>
                <w:rFonts w:ascii="Times New Roman" w:hAnsi="Times New Roman"/>
                <w:sz w:val="20"/>
              </w:rPr>
              <w:t>iv</w:t>
            </w:r>
          </w:p>
        </w:tc>
      </w:tr>
      <w:tr>
        <w:tc>
          <w:tcPr>
            <w:tcW w:type="dxa" w:w="4320"/>
          </w:tcPr>
          <w:p>
            <w:pPr>
              <w:spacing w:line="240" w:lineRule="auto"/>
            </w:pPr>
            <w:r>
              <w:rPr>
                <w:rFonts w:ascii="Times New Roman" w:hAnsi="Times New Roman"/>
                <w:sz w:val="20"/>
              </w:rPr>
              <w:t>Table of Contents</w:t>
            </w:r>
          </w:p>
        </w:tc>
        <w:tc>
          <w:tcPr>
            <w:tcW w:type="dxa" w:w="4320"/>
          </w:tcPr>
          <w:p>
            <w:pPr>
              <w:spacing w:line="240" w:lineRule="auto"/>
            </w:pPr>
            <w:r>
              <w:rPr>
                <w:rFonts w:ascii="Times New Roman" w:hAnsi="Times New Roman"/>
                <w:sz w:val="20"/>
              </w:rPr>
              <w:t>v</w:t>
            </w:r>
          </w:p>
        </w:tc>
      </w:tr>
      <w:tr>
        <w:tc>
          <w:tcPr>
            <w:tcW w:type="dxa" w:w="4320"/>
          </w:tcPr>
          <w:p>
            <w:pPr>
              <w:spacing w:line="240" w:lineRule="auto"/>
            </w:pPr>
            <w:r>
              <w:rPr>
                <w:rFonts w:ascii="Times New Roman" w:hAnsi="Times New Roman"/>
                <w:sz w:val="20"/>
              </w:rPr>
              <w:t>List of Tables</w:t>
            </w:r>
          </w:p>
        </w:tc>
        <w:tc>
          <w:tcPr>
            <w:tcW w:type="dxa" w:w="4320"/>
          </w:tcPr>
          <w:p>
            <w:pPr>
              <w:spacing w:line="240" w:lineRule="auto"/>
            </w:pPr>
            <w:r>
              <w:rPr>
                <w:rFonts w:ascii="Times New Roman" w:hAnsi="Times New Roman"/>
                <w:sz w:val="20"/>
              </w:rPr>
              <w:t>vii</w:t>
            </w:r>
          </w:p>
        </w:tc>
      </w:tr>
      <w:tr>
        <w:tc>
          <w:tcPr>
            <w:tcW w:type="dxa" w:w="4320"/>
          </w:tcPr>
          <w:p>
            <w:pPr>
              <w:spacing w:line="240" w:lineRule="auto"/>
            </w:pPr>
            <w:r>
              <w:rPr>
                <w:rFonts w:ascii="Times New Roman" w:hAnsi="Times New Roman"/>
                <w:sz w:val="20"/>
              </w:rPr>
              <w:t>List of Figures</w:t>
            </w:r>
          </w:p>
        </w:tc>
        <w:tc>
          <w:tcPr>
            <w:tcW w:type="dxa" w:w="4320"/>
          </w:tcPr>
          <w:p>
            <w:pPr>
              <w:spacing w:line="240" w:lineRule="auto"/>
            </w:pPr>
            <w:r>
              <w:rPr>
                <w:rFonts w:ascii="Times New Roman" w:hAnsi="Times New Roman"/>
                <w:sz w:val="20"/>
              </w:rPr>
              <w:t>viii</w:t>
            </w:r>
          </w:p>
        </w:tc>
      </w:tr>
      <w:tr>
        <w:tc>
          <w:tcPr>
            <w:tcW w:type="dxa" w:w="4320"/>
          </w:tcPr>
          <w:p>
            <w:pPr>
              <w:spacing w:line="240" w:lineRule="auto"/>
            </w:pPr>
            <w:r>
              <w:rPr>
                <w:rFonts w:ascii="Times New Roman" w:hAnsi="Times New Roman"/>
                <w:sz w:val="20"/>
              </w:rPr>
            </w:r>
          </w:p>
        </w:tc>
        <w:tc>
          <w:tcPr>
            <w:tcW w:type="dxa" w:w="4320"/>
          </w:tcPr>
          <w:p>
            <w:pPr>
              <w:spacing w:line="240" w:lineRule="auto"/>
            </w:pPr>
            <w:r>
              <w:rPr>
                <w:rFonts w:ascii="Times New Roman" w:hAnsi="Times New Roman"/>
                <w:sz w:val="20"/>
              </w:rPr>
            </w:r>
          </w:p>
        </w:tc>
      </w:tr>
      <w:tr>
        <w:tc>
          <w:tcPr>
            <w:tcW w:type="dxa" w:w="4320"/>
          </w:tcPr>
          <w:p>
            <w:pPr>
              <w:spacing w:line="240" w:lineRule="auto"/>
            </w:pPr>
            <w:r>
              <w:rPr>
                <w:rFonts w:ascii="Times New Roman" w:hAnsi="Times New Roman"/>
                <w:sz w:val="20"/>
              </w:rPr>
              <w:t>Chapter 1: Introduction</w:t>
            </w:r>
          </w:p>
        </w:tc>
        <w:tc>
          <w:tcPr>
            <w:tcW w:type="dxa" w:w="4320"/>
          </w:tcPr>
          <w:p>
            <w:pPr>
              <w:spacing w:line="240" w:lineRule="auto"/>
            </w:pPr>
            <w:r>
              <w:rPr>
                <w:rFonts w:ascii="Times New Roman" w:hAnsi="Times New Roman"/>
                <w:sz w:val="20"/>
              </w:rPr>
              <w:t>1</w:t>
            </w:r>
          </w:p>
        </w:tc>
      </w:tr>
      <w:tr>
        <w:tc>
          <w:tcPr>
            <w:tcW w:type="dxa" w:w="4320"/>
          </w:tcPr>
          <w:p>
            <w:pPr>
              <w:spacing w:line="240" w:lineRule="auto"/>
            </w:pPr>
            <w:r>
              <w:rPr>
                <w:rFonts w:ascii="Times New Roman" w:hAnsi="Times New Roman"/>
                <w:sz w:val="20"/>
              </w:rPr>
              <w:t>1.1 Background and Context</w:t>
            </w:r>
          </w:p>
        </w:tc>
        <w:tc>
          <w:tcPr>
            <w:tcW w:type="dxa" w:w="4320"/>
          </w:tcPr>
          <w:p>
            <w:pPr>
              <w:spacing w:line="240" w:lineRule="auto"/>
            </w:pPr>
            <w:r>
              <w:rPr>
                <w:rFonts w:ascii="Times New Roman" w:hAnsi="Times New Roman"/>
                <w:sz w:val="20"/>
              </w:rPr>
              <w:t>1</w:t>
            </w:r>
          </w:p>
        </w:tc>
      </w:tr>
      <w:tr>
        <w:tc>
          <w:tcPr>
            <w:tcW w:type="dxa" w:w="4320"/>
          </w:tcPr>
          <w:p>
            <w:pPr>
              <w:spacing w:line="240" w:lineRule="auto"/>
            </w:pPr>
            <w:r>
              <w:rPr>
                <w:rFonts w:ascii="Times New Roman" w:hAnsi="Times New Roman"/>
                <w:sz w:val="20"/>
              </w:rPr>
              <w:t>1.2 Statement of the Problem</w:t>
            </w:r>
          </w:p>
        </w:tc>
        <w:tc>
          <w:tcPr>
            <w:tcW w:type="dxa" w:w="4320"/>
          </w:tcPr>
          <w:p>
            <w:pPr>
              <w:spacing w:line="240" w:lineRule="auto"/>
            </w:pPr>
            <w:r>
              <w:rPr>
                <w:rFonts w:ascii="Times New Roman" w:hAnsi="Times New Roman"/>
                <w:sz w:val="20"/>
              </w:rPr>
              <w:t>4</w:t>
            </w:r>
          </w:p>
        </w:tc>
      </w:tr>
      <w:tr>
        <w:tc>
          <w:tcPr>
            <w:tcW w:type="dxa" w:w="4320"/>
          </w:tcPr>
          <w:p>
            <w:pPr>
              <w:spacing w:line="240" w:lineRule="auto"/>
            </w:pPr>
            <w:r>
              <w:rPr>
                <w:rFonts w:ascii="Times New Roman" w:hAnsi="Times New Roman"/>
                <w:sz w:val="20"/>
              </w:rPr>
              <w:t>1.3 Purpose of the Study</w:t>
            </w:r>
          </w:p>
        </w:tc>
        <w:tc>
          <w:tcPr>
            <w:tcW w:type="dxa" w:w="4320"/>
          </w:tcPr>
          <w:p>
            <w:pPr>
              <w:spacing w:line="240" w:lineRule="auto"/>
            </w:pPr>
            <w:r>
              <w:rPr>
                <w:rFonts w:ascii="Times New Roman" w:hAnsi="Times New Roman"/>
                <w:sz w:val="20"/>
              </w:rPr>
              <w:t>7</w:t>
            </w:r>
          </w:p>
        </w:tc>
      </w:tr>
      <w:tr>
        <w:tc>
          <w:tcPr>
            <w:tcW w:type="dxa" w:w="4320"/>
          </w:tcPr>
          <w:p>
            <w:pPr>
              <w:spacing w:line="240" w:lineRule="auto"/>
            </w:pPr>
            <w:r>
              <w:rPr>
                <w:rFonts w:ascii="Times New Roman" w:hAnsi="Times New Roman"/>
                <w:sz w:val="20"/>
              </w:rPr>
              <w:t>1.4 Research Questions and Hypotheses</w:t>
            </w:r>
          </w:p>
        </w:tc>
        <w:tc>
          <w:tcPr>
            <w:tcW w:type="dxa" w:w="4320"/>
          </w:tcPr>
          <w:p>
            <w:pPr>
              <w:spacing w:line="240" w:lineRule="auto"/>
            </w:pPr>
            <w:r>
              <w:rPr>
                <w:rFonts w:ascii="Times New Roman" w:hAnsi="Times New Roman"/>
                <w:sz w:val="20"/>
              </w:rPr>
              <w:t>8</w:t>
            </w:r>
          </w:p>
        </w:tc>
      </w:tr>
      <w:tr>
        <w:tc>
          <w:tcPr>
            <w:tcW w:type="dxa" w:w="4320"/>
          </w:tcPr>
          <w:p>
            <w:pPr>
              <w:spacing w:line="240" w:lineRule="auto"/>
            </w:pPr>
            <w:r>
              <w:rPr>
                <w:rFonts w:ascii="Times New Roman" w:hAnsi="Times New Roman"/>
                <w:sz w:val="20"/>
              </w:rPr>
              <w:t>1.5 Significance of the Study</w:t>
            </w:r>
          </w:p>
        </w:tc>
        <w:tc>
          <w:tcPr>
            <w:tcW w:type="dxa" w:w="4320"/>
          </w:tcPr>
          <w:p>
            <w:pPr>
              <w:spacing w:line="240" w:lineRule="auto"/>
            </w:pPr>
            <w:r>
              <w:rPr>
                <w:rFonts w:ascii="Times New Roman" w:hAnsi="Times New Roman"/>
                <w:sz w:val="20"/>
              </w:rPr>
              <w:t>10</w:t>
            </w:r>
          </w:p>
        </w:tc>
      </w:tr>
      <w:tr>
        <w:tc>
          <w:tcPr>
            <w:tcW w:type="dxa" w:w="4320"/>
          </w:tcPr>
          <w:p>
            <w:pPr>
              <w:spacing w:line="240" w:lineRule="auto"/>
            </w:pPr>
            <w:r>
              <w:rPr>
                <w:rFonts w:ascii="Times New Roman" w:hAnsi="Times New Roman"/>
                <w:sz w:val="20"/>
              </w:rPr>
              <w:t>1.6 Definitions of Key Terms</w:t>
            </w:r>
          </w:p>
        </w:tc>
        <w:tc>
          <w:tcPr>
            <w:tcW w:type="dxa" w:w="4320"/>
          </w:tcPr>
          <w:p>
            <w:pPr>
              <w:spacing w:line="240" w:lineRule="auto"/>
            </w:pPr>
            <w:r>
              <w:rPr>
                <w:rFonts w:ascii="Times New Roman" w:hAnsi="Times New Roman"/>
                <w:sz w:val="20"/>
              </w:rPr>
              <w:t>12</w:t>
            </w:r>
          </w:p>
        </w:tc>
      </w:tr>
      <w:tr>
        <w:tc>
          <w:tcPr>
            <w:tcW w:type="dxa" w:w="4320"/>
          </w:tcPr>
          <w:p>
            <w:pPr>
              <w:spacing w:line="240" w:lineRule="auto"/>
            </w:pPr>
            <w:r>
              <w:rPr>
                <w:rFonts w:ascii="Times New Roman" w:hAnsi="Times New Roman"/>
                <w:sz w:val="20"/>
              </w:rPr>
              <w:t>1.7 Scope and Delimitations</w:t>
            </w:r>
          </w:p>
        </w:tc>
        <w:tc>
          <w:tcPr>
            <w:tcW w:type="dxa" w:w="4320"/>
          </w:tcPr>
          <w:p>
            <w:pPr>
              <w:spacing w:line="240" w:lineRule="auto"/>
            </w:pPr>
            <w:r>
              <w:rPr>
                <w:rFonts w:ascii="Times New Roman" w:hAnsi="Times New Roman"/>
                <w:sz w:val="20"/>
              </w:rPr>
              <w:t>14</w:t>
            </w:r>
          </w:p>
        </w:tc>
      </w:tr>
      <w:tr>
        <w:tc>
          <w:tcPr>
            <w:tcW w:type="dxa" w:w="4320"/>
          </w:tcPr>
          <w:p>
            <w:pPr>
              <w:spacing w:line="240" w:lineRule="auto"/>
            </w:pPr>
            <w:r>
              <w:rPr>
                <w:rFonts w:ascii="Times New Roman" w:hAnsi="Times New Roman"/>
                <w:sz w:val="20"/>
              </w:rPr>
              <w:t>1.8 Organization of the Dissertation</w:t>
            </w:r>
          </w:p>
        </w:tc>
        <w:tc>
          <w:tcPr>
            <w:tcW w:type="dxa" w:w="4320"/>
          </w:tcPr>
          <w:p>
            <w:pPr>
              <w:spacing w:line="240" w:lineRule="auto"/>
            </w:pPr>
            <w:r>
              <w:rPr>
                <w:rFonts w:ascii="Times New Roman" w:hAnsi="Times New Roman"/>
                <w:sz w:val="20"/>
              </w:rPr>
              <w:t>15</w:t>
            </w:r>
          </w:p>
        </w:tc>
      </w:tr>
      <w:tr>
        <w:tc>
          <w:tcPr>
            <w:tcW w:type="dxa" w:w="4320"/>
          </w:tcPr>
          <w:p>
            <w:pPr>
              <w:spacing w:line="240" w:lineRule="auto"/>
            </w:pPr>
            <w:r>
              <w:rPr>
                <w:rFonts w:ascii="Times New Roman" w:hAnsi="Times New Roman"/>
                <w:sz w:val="20"/>
              </w:rPr>
            </w:r>
          </w:p>
        </w:tc>
        <w:tc>
          <w:tcPr>
            <w:tcW w:type="dxa" w:w="4320"/>
          </w:tcPr>
          <w:p>
            <w:pPr>
              <w:spacing w:line="240" w:lineRule="auto"/>
            </w:pPr>
            <w:r>
              <w:rPr>
                <w:rFonts w:ascii="Times New Roman" w:hAnsi="Times New Roman"/>
                <w:sz w:val="20"/>
              </w:rPr>
            </w:r>
          </w:p>
        </w:tc>
      </w:tr>
      <w:tr>
        <w:tc>
          <w:tcPr>
            <w:tcW w:type="dxa" w:w="4320"/>
          </w:tcPr>
          <w:p>
            <w:pPr>
              <w:spacing w:line="240" w:lineRule="auto"/>
            </w:pPr>
            <w:r>
              <w:rPr>
                <w:rFonts w:ascii="Times New Roman" w:hAnsi="Times New Roman"/>
                <w:sz w:val="20"/>
              </w:rPr>
              <w:t>Chapter 2: Literature Review and Hypotheses</w:t>
            </w:r>
          </w:p>
        </w:tc>
        <w:tc>
          <w:tcPr>
            <w:tcW w:type="dxa" w:w="4320"/>
          </w:tcPr>
          <w:p>
            <w:pPr>
              <w:spacing w:line="240" w:lineRule="auto"/>
            </w:pPr>
            <w:r>
              <w:rPr>
                <w:rFonts w:ascii="Times New Roman" w:hAnsi="Times New Roman"/>
                <w:sz w:val="20"/>
              </w:rPr>
              <w:t>16</w:t>
            </w:r>
          </w:p>
        </w:tc>
      </w:tr>
      <w:tr>
        <w:tc>
          <w:tcPr>
            <w:tcW w:type="dxa" w:w="4320"/>
          </w:tcPr>
          <w:p>
            <w:pPr>
              <w:spacing w:line="240" w:lineRule="auto"/>
            </w:pPr>
            <w:r>
              <w:rPr>
                <w:rFonts w:ascii="Times New Roman" w:hAnsi="Times New Roman"/>
                <w:sz w:val="20"/>
              </w:rPr>
              <w:t>2.1 Theoretical Foundations</w:t>
            </w:r>
          </w:p>
        </w:tc>
        <w:tc>
          <w:tcPr>
            <w:tcW w:type="dxa" w:w="4320"/>
          </w:tcPr>
          <w:p>
            <w:pPr>
              <w:spacing w:line="240" w:lineRule="auto"/>
            </w:pPr>
            <w:r>
              <w:rPr>
                <w:rFonts w:ascii="Times New Roman" w:hAnsi="Times New Roman"/>
                <w:sz w:val="20"/>
              </w:rPr>
              <w:t>16</w:t>
            </w:r>
          </w:p>
        </w:tc>
      </w:tr>
      <w:tr>
        <w:tc>
          <w:tcPr>
            <w:tcW w:type="dxa" w:w="4320"/>
          </w:tcPr>
          <w:p>
            <w:pPr>
              <w:spacing w:line="240" w:lineRule="auto"/>
            </w:pPr>
            <w:r>
              <w:rPr>
                <w:rFonts w:ascii="Times New Roman" w:hAnsi="Times New Roman"/>
                <w:sz w:val="20"/>
              </w:rPr>
              <w:t>2.1.1 Public Value Theory</w:t>
            </w:r>
          </w:p>
        </w:tc>
        <w:tc>
          <w:tcPr>
            <w:tcW w:type="dxa" w:w="4320"/>
          </w:tcPr>
          <w:p>
            <w:pPr>
              <w:spacing w:line="240" w:lineRule="auto"/>
            </w:pPr>
            <w:r>
              <w:rPr>
                <w:rFonts w:ascii="Times New Roman" w:hAnsi="Times New Roman"/>
                <w:sz w:val="20"/>
              </w:rPr>
              <w:t>17</w:t>
            </w:r>
          </w:p>
        </w:tc>
      </w:tr>
      <w:tr>
        <w:tc>
          <w:tcPr>
            <w:tcW w:type="dxa" w:w="4320"/>
          </w:tcPr>
          <w:p>
            <w:pPr>
              <w:spacing w:line="240" w:lineRule="auto"/>
            </w:pPr>
            <w:r>
              <w:rPr>
                <w:rFonts w:ascii="Times New Roman" w:hAnsi="Times New Roman"/>
                <w:sz w:val="20"/>
              </w:rPr>
              <w:t>2.1.2 Transaction Cost Economics</w:t>
            </w:r>
          </w:p>
        </w:tc>
        <w:tc>
          <w:tcPr>
            <w:tcW w:type="dxa" w:w="4320"/>
          </w:tcPr>
          <w:p>
            <w:pPr>
              <w:spacing w:line="240" w:lineRule="auto"/>
            </w:pPr>
            <w:r>
              <w:rPr>
                <w:rFonts w:ascii="Times New Roman" w:hAnsi="Times New Roman"/>
                <w:sz w:val="20"/>
              </w:rPr>
              <w:t>20</w:t>
            </w:r>
          </w:p>
        </w:tc>
      </w:tr>
      <w:tr>
        <w:tc>
          <w:tcPr>
            <w:tcW w:type="dxa" w:w="4320"/>
          </w:tcPr>
          <w:p>
            <w:pPr>
              <w:spacing w:line="240" w:lineRule="auto"/>
            </w:pPr>
            <w:r>
              <w:rPr>
                <w:rFonts w:ascii="Times New Roman" w:hAnsi="Times New Roman"/>
                <w:sz w:val="20"/>
              </w:rPr>
              <w:t>2.1.3 Principal-Agent Theory</w:t>
            </w:r>
          </w:p>
        </w:tc>
        <w:tc>
          <w:tcPr>
            <w:tcW w:type="dxa" w:w="4320"/>
          </w:tcPr>
          <w:p>
            <w:pPr>
              <w:spacing w:line="240" w:lineRule="auto"/>
            </w:pPr>
            <w:r>
              <w:rPr>
                <w:rFonts w:ascii="Times New Roman" w:hAnsi="Times New Roman"/>
                <w:sz w:val="20"/>
              </w:rPr>
              <w:t>23</w:t>
            </w:r>
          </w:p>
        </w:tc>
      </w:tr>
      <w:tr>
        <w:tc>
          <w:tcPr>
            <w:tcW w:type="dxa" w:w="4320"/>
          </w:tcPr>
          <w:p>
            <w:pPr>
              <w:spacing w:line="240" w:lineRule="auto"/>
            </w:pPr>
            <w:r>
              <w:rPr>
                <w:rFonts w:ascii="Times New Roman" w:hAnsi="Times New Roman"/>
                <w:sz w:val="20"/>
              </w:rPr>
              <w:t>2.2 Federal Procurement Policy and Source Selection</w:t>
            </w:r>
          </w:p>
        </w:tc>
        <w:tc>
          <w:tcPr>
            <w:tcW w:type="dxa" w:w="4320"/>
          </w:tcPr>
          <w:p>
            <w:pPr>
              <w:spacing w:line="240" w:lineRule="auto"/>
            </w:pPr>
            <w:r>
              <w:rPr>
                <w:rFonts w:ascii="Times New Roman" w:hAnsi="Times New Roman"/>
                <w:sz w:val="20"/>
              </w:rPr>
              <w:t>26</w:t>
            </w:r>
          </w:p>
        </w:tc>
      </w:tr>
      <w:tr>
        <w:tc>
          <w:tcPr>
            <w:tcW w:type="dxa" w:w="4320"/>
          </w:tcPr>
          <w:p>
            <w:pPr>
              <w:spacing w:line="240" w:lineRule="auto"/>
            </w:pPr>
            <w:r>
              <w:rPr>
                <w:rFonts w:ascii="Times New Roman" w:hAnsi="Times New Roman"/>
                <w:sz w:val="20"/>
              </w:rPr>
              <w:t>2.2.1 Regulatory Framework</w:t>
            </w:r>
          </w:p>
        </w:tc>
        <w:tc>
          <w:tcPr>
            <w:tcW w:type="dxa" w:w="4320"/>
          </w:tcPr>
          <w:p>
            <w:pPr>
              <w:spacing w:line="240" w:lineRule="auto"/>
            </w:pPr>
            <w:r>
              <w:rPr>
                <w:rFonts w:ascii="Times New Roman" w:hAnsi="Times New Roman"/>
                <w:sz w:val="20"/>
              </w:rPr>
              <w:t>26</w:t>
            </w:r>
          </w:p>
        </w:tc>
      </w:tr>
      <w:tr>
        <w:tc>
          <w:tcPr>
            <w:tcW w:type="dxa" w:w="4320"/>
          </w:tcPr>
          <w:p>
            <w:pPr>
              <w:spacing w:line="240" w:lineRule="auto"/>
            </w:pPr>
            <w:r>
              <w:rPr>
                <w:rFonts w:ascii="Times New Roman" w:hAnsi="Times New Roman"/>
                <w:sz w:val="20"/>
              </w:rPr>
              <w:t>2.2.2 LPTA vs. Best-Value Tradeoff</w:t>
            </w:r>
          </w:p>
        </w:tc>
        <w:tc>
          <w:tcPr>
            <w:tcW w:type="dxa" w:w="4320"/>
          </w:tcPr>
          <w:p>
            <w:pPr>
              <w:spacing w:line="240" w:lineRule="auto"/>
            </w:pPr>
            <w:r>
              <w:rPr>
                <w:rFonts w:ascii="Times New Roman" w:hAnsi="Times New Roman"/>
                <w:sz w:val="20"/>
              </w:rPr>
              <w:t>29</w:t>
            </w:r>
          </w:p>
        </w:tc>
      </w:tr>
      <w:tr>
        <w:tc>
          <w:tcPr>
            <w:tcW w:type="dxa" w:w="4320"/>
          </w:tcPr>
          <w:p>
            <w:pPr>
              <w:spacing w:line="240" w:lineRule="auto"/>
            </w:pPr>
            <w:r>
              <w:rPr>
                <w:rFonts w:ascii="Times New Roman" w:hAnsi="Times New Roman"/>
                <w:sz w:val="20"/>
              </w:rPr>
              <w:t>2.2.3 Legislative and Policy Evolution</w:t>
            </w:r>
          </w:p>
        </w:tc>
        <w:tc>
          <w:tcPr>
            <w:tcW w:type="dxa" w:w="4320"/>
          </w:tcPr>
          <w:p>
            <w:pPr>
              <w:spacing w:line="240" w:lineRule="auto"/>
            </w:pPr>
            <w:r>
              <w:rPr>
                <w:rFonts w:ascii="Times New Roman" w:hAnsi="Times New Roman"/>
                <w:sz w:val="20"/>
              </w:rPr>
              <w:t>32</w:t>
            </w:r>
          </w:p>
        </w:tc>
      </w:tr>
      <w:tr>
        <w:tc>
          <w:tcPr>
            <w:tcW w:type="dxa" w:w="4320"/>
          </w:tcPr>
          <w:p>
            <w:pPr>
              <w:spacing w:line="240" w:lineRule="auto"/>
            </w:pPr>
            <w:r>
              <w:rPr>
                <w:rFonts w:ascii="Times New Roman" w:hAnsi="Times New Roman"/>
                <w:sz w:val="20"/>
              </w:rPr>
              <w:t>2.3 Empirical Evidence on Procurement Outcomes</w:t>
            </w:r>
          </w:p>
        </w:tc>
        <w:tc>
          <w:tcPr>
            <w:tcW w:type="dxa" w:w="4320"/>
          </w:tcPr>
          <w:p>
            <w:pPr>
              <w:spacing w:line="240" w:lineRule="auto"/>
            </w:pPr>
            <w:r>
              <w:rPr>
                <w:rFonts w:ascii="Times New Roman" w:hAnsi="Times New Roman"/>
                <w:sz w:val="20"/>
              </w:rPr>
              <w:t>35</w:t>
            </w:r>
          </w:p>
        </w:tc>
      </w:tr>
      <w:tr>
        <w:tc>
          <w:tcPr>
            <w:tcW w:type="dxa" w:w="4320"/>
          </w:tcPr>
          <w:p>
            <w:pPr>
              <w:spacing w:line="240" w:lineRule="auto"/>
            </w:pPr>
            <w:r>
              <w:rPr>
                <w:rFonts w:ascii="Times New Roman" w:hAnsi="Times New Roman"/>
                <w:sz w:val="20"/>
              </w:rPr>
              <w:t>2.3.1 Cost Growth and Contract Modifications</w:t>
            </w:r>
          </w:p>
        </w:tc>
        <w:tc>
          <w:tcPr>
            <w:tcW w:type="dxa" w:w="4320"/>
          </w:tcPr>
          <w:p>
            <w:pPr>
              <w:spacing w:line="240" w:lineRule="auto"/>
            </w:pPr>
            <w:r>
              <w:rPr>
                <w:rFonts w:ascii="Times New Roman" w:hAnsi="Times New Roman"/>
                <w:sz w:val="20"/>
              </w:rPr>
              <w:t>35</w:t>
            </w:r>
          </w:p>
        </w:tc>
      </w:tr>
      <w:tr>
        <w:tc>
          <w:tcPr>
            <w:tcW w:type="dxa" w:w="4320"/>
          </w:tcPr>
          <w:p>
            <w:pPr>
              <w:spacing w:line="240" w:lineRule="auto"/>
            </w:pPr>
            <w:r>
              <w:rPr>
                <w:rFonts w:ascii="Times New Roman" w:hAnsi="Times New Roman"/>
                <w:sz w:val="20"/>
              </w:rPr>
              <w:t>2.3.2 Competition and Market Participation</w:t>
            </w:r>
          </w:p>
        </w:tc>
        <w:tc>
          <w:tcPr>
            <w:tcW w:type="dxa" w:w="4320"/>
          </w:tcPr>
          <w:p>
            <w:pPr>
              <w:spacing w:line="240" w:lineRule="auto"/>
            </w:pPr>
            <w:r>
              <w:rPr>
                <w:rFonts w:ascii="Times New Roman" w:hAnsi="Times New Roman"/>
                <w:sz w:val="20"/>
              </w:rPr>
              <w:t>38</w:t>
            </w:r>
          </w:p>
        </w:tc>
      </w:tr>
      <w:tr>
        <w:tc>
          <w:tcPr>
            <w:tcW w:type="dxa" w:w="4320"/>
          </w:tcPr>
          <w:p>
            <w:pPr>
              <w:spacing w:line="240" w:lineRule="auto"/>
            </w:pPr>
            <w:r>
              <w:rPr>
                <w:rFonts w:ascii="Times New Roman" w:hAnsi="Times New Roman"/>
                <w:sz w:val="20"/>
              </w:rPr>
              <w:t>2.3.3 Performance Quality and Satisfaction</w:t>
            </w:r>
          </w:p>
        </w:tc>
        <w:tc>
          <w:tcPr>
            <w:tcW w:type="dxa" w:w="4320"/>
          </w:tcPr>
          <w:p>
            <w:pPr>
              <w:spacing w:line="240" w:lineRule="auto"/>
            </w:pPr>
            <w:r>
              <w:rPr>
                <w:rFonts w:ascii="Times New Roman" w:hAnsi="Times New Roman"/>
                <w:sz w:val="20"/>
              </w:rPr>
              <w:t>41</w:t>
            </w:r>
          </w:p>
        </w:tc>
      </w:tr>
      <w:tr>
        <w:tc>
          <w:tcPr>
            <w:tcW w:type="dxa" w:w="4320"/>
          </w:tcPr>
          <w:p>
            <w:pPr>
              <w:spacing w:line="240" w:lineRule="auto"/>
            </w:pPr>
            <w:r>
              <w:rPr>
                <w:rFonts w:ascii="Times New Roman" w:hAnsi="Times New Roman"/>
                <w:sz w:val="20"/>
              </w:rPr>
              <w:t>2.4 Moderating and Contextual Factors</w:t>
            </w:r>
          </w:p>
        </w:tc>
        <w:tc>
          <w:tcPr>
            <w:tcW w:type="dxa" w:w="4320"/>
          </w:tcPr>
          <w:p>
            <w:pPr>
              <w:spacing w:line="240" w:lineRule="auto"/>
            </w:pPr>
            <w:r>
              <w:rPr>
                <w:rFonts w:ascii="Times New Roman" w:hAnsi="Times New Roman"/>
                <w:sz w:val="20"/>
              </w:rPr>
              <w:t>43</w:t>
            </w:r>
          </w:p>
        </w:tc>
      </w:tr>
      <w:tr>
        <w:tc>
          <w:tcPr>
            <w:tcW w:type="dxa" w:w="4320"/>
          </w:tcPr>
          <w:p>
            <w:pPr>
              <w:spacing w:line="240" w:lineRule="auto"/>
            </w:pPr>
            <w:r>
              <w:rPr>
                <w:rFonts w:ascii="Times New Roman" w:hAnsi="Times New Roman"/>
                <w:sz w:val="20"/>
              </w:rPr>
              <w:t>2.5 Conceptual Model and Hypotheses</w:t>
            </w:r>
          </w:p>
        </w:tc>
        <w:tc>
          <w:tcPr>
            <w:tcW w:type="dxa" w:w="4320"/>
          </w:tcPr>
          <w:p>
            <w:pPr>
              <w:spacing w:line="240" w:lineRule="auto"/>
            </w:pPr>
            <w:r>
              <w:rPr>
                <w:rFonts w:ascii="Times New Roman" w:hAnsi="Times New Roman"/>
                <w:sz w:val="20"/>
              </w:rPr>
              <w:t>46</w:t>
            </w:r>
          </w:p>
        </w:tc>
      </w:tr>
      <w:tr>
        <w:tc>
          <w:tcPr>
            <w:tcW w:type="dxa" w:w="4320"/>
          </w:tcPr>
          <w:p>
            <w:pPr>
              <w:spacing w:line="240" w:lineRule="auto"/>
            </w:pPr>
            <w:r>
              <w:rPr>
                <w:rFonts w:ascii="Times New Roman" w:hAnsi="Times New Roman"/>
                <w:sz w:val="20"/>
              </w:rPr>
            </w:r>
          </w:p>
        </w:tc>
        <w:tc>
          <w:tcPr>
            <w:tcW w:type="dxa" w:w="4320"/>
          </w:tcPr>
          <w:p>
            <w:pPr>
              <w:spacing w:line="240" w:lineRule="auto"/>
            </w:pPr>
            <w:r>
              <w:rPr>
                <w:rFonts w:ascii="Times New Roman" w:hAnsi="Times New Roman"/>
                <w:sz w:val="20"/>
              </w:rPr>
            </w:r>
          </w:p>
        </w:tc>
      </w:tr>
      <w:tr>
        <w:tc>
          <w:tcPr>
            <w:tcW w:type="dxa" w:w="4320"/>
          </w:tcPr>
          <w:p>
            <w:pPr>
              <w:spacing w:line="240" w:lineRule="auto"/>
            </w:pPr>
            <w:r>
              <w:rPr>
                <w:rFonts w:ascii="Times New Roman" w:hAnsi="Times New Roman"/>
                <w:sz w:val="20"/>
              </w:rPr>
              <w:t>Chapter 3: Methodology</w:t>
            </w:r>
          </w:p>
        </w:tc>
        <w:tc>
          <w:tcPr>
            <w:tcW w:type="dxa" w:w="4320"/>
          </w:tcPr>
          <w:p>
            <w:pPr>
              <w:spacing w:line="240" w:lineRule="auto"/>
            </w:pPr>
            <w:r>
              <w:rPr>
                <w:rFonts w:ascii="Times New Roman" w:hAnsi="Times New Roman"/>
                <w:sz w:val="20"/>
              </w:rPr>
              <w:t>50</w:t>
            </w:r>
          </w:p>
        </w:tc>
      </w:tr>
      <w:tr>
        <w:tc>
          <w:tcPr>
            <w:tcW w:type="dxa" w:w="4320"/>
          </w:tcPr>
          <w:p>
            <w:pPr>
              <w:spacing w:line="240" w:lineRule="auto"/>
            </w:pPr>
            <w:r>
              <w:rPr>
                <w:rFonts w:ascii="Times New Roman" w:hAnsi="Times New Roman"/>
                <w:sz w:val="20"/>
              </w:rPr>
              <w:t>3.1 Research Design</w:t>
            </w:r>
          </w:p>
        </w:tc>
        <w:tc>
          <w:tcPr>
            <w:tcW w:type="dxa" w:w="4320"/>
          </w:tcPr>
          <w:p>
            <w:pPr>
              <w:spacing w:line="240" w:lineRule="auto"/>
            </w:pPr>
            <w:r>
              <w:rPr>
                <w:rFonts w:ascii="Times New Roman" w:hAnsi="Times New Roman"/>
                <w:sz w:val="20"/>
              </w:rPr>
              <w:t>50</w:t>
            </w:r>
          </w:p>
        </w:tc>
      </w:tr>
      <w:tr>
        <w:tc>
          <w:tcPr>
            <w:tcW w:type="dxa" w:w="4320"/>
          </w:tcPr>
          <w:p>
            <w:pPr>
              <w:spacing w:line="240" w:lineRule="auto"/>
            </w:pPr>
            <w:r>
              <w:rPr>
                <w:rFonts w:ascii="Times New Roman" w:hAnsi="Times New Roman"/>
                <w:sz w:val="20"/>
              </w:rPr>
              <w:t>3.2 Data Sources and Population</w:t>
            </w:r>
          </w:p>
        </w:tc>
        <w:tc>
          <w:tcPr>
            <w:tcW w:type="dxa" w:w="4320"/>
          </w:tcPr>
          <w:p>
            <w:pPr>
              <w:spacing w:line="240" w:lineRule="auto"/>
            </w:pPr>
            <w:r>
              <w:rPr>
                <w:rFonts w:ascii="Times New Roman" w:hAnsi="Times New Roman"/>
                <w:sz w:val="20"/>
              </w:rPr>
              <w:t>52</w:t>
            </w:r>
          </w:p>
        </w:tc>
      </w:tr>
      <w:tr>
        <w:tc>
          <w:tcPr>
            <w:tcW w:type="dxa" w:w="4320"/>
          </w:tcPr>
          <w:p>
            <w:pPr>
              <w:spacing w:line="240" w:lineRule="auto"/>
            </w:pPr>
            <w:r>
              <w:rPr>
                <w:rFonts w:ascii="Times New Roman" w:hAnsi="Times New Roman"/>
                <w:sz w:val="20"/>
              </w:rPr>
              <w:t>3.3 Sample Selection and Inclusion Criteria</w:t>
            </w:r>
          </w:p>
        </w:tc>
        <w:tc>
          <w:tcPr>
            <w:tcW w:type="dxa" w:w="4320"/>
          </w:tcPr>
          <w:p>
            <w:pPr>
              <w:spacing w:line="240" w:lineRule="auto"/>
            </w:pPr>
            <w:r>
              <w:rPr>
                <w:rFonts w:ascii="Times New Roman" w:hAnsi="Times New Roman"/>
                <w:sz w:val="20"/>
              </w:rPr>
              <w:t>54</w:t>
            </w:r>
          </w:p>
        </w:tc>
      </w:tr>
      <w:tr>
        <w:tc>
          <w:tcPr>
            <w:tcW w:type="dxa" w:w="4320"/>
          </w:tcPr>
          <w:p>
            <w:pPr>
              <w:spacing w:line="240" w:lineRule="auto"/>
            </w:pPr>
            <w:r>
              <w:rPr>
                <w:rFonts w:ascii="Times New Roman" w:hAnsi="Times New Roman"/>
                <w:sz w:val="20"/>
              </w:rPr>
              <w:t>3.4 Variable Operationalization</w:t>
            </w:r>
          </w:p>
        </w:tc>
        <w:tc>
          <w:tcPr>
            <w:tcW w:type="dxa" w:w="4320"/>
          </w:tcPr>
          <w:p>
            <w:pPr>
              <w:spacing w:line="240" w:lineRule="auto"/>
            </w:pPr>
            <w:r>
              <w:rPr>
                <w:rFonts w:ascii="Times New Roman" w:hAnsi="Times New Roman"/>
                <w:sz w:val="20"/>
              </w:rPr>
              <w:t>56</w:t>
            </w:r>
          </w:p>
        </w:tc>
      </w:tr>
      <w:tr>
        <w:tc>
          <w:tcPr>
            <w:tcW w:type="dxa" w:w="4320"/>
          </w:tcPr>
          <w:p>
            <w:pPr>
              <w:spacing w:line="240" w:lineRule="auto"/>
            </w:pPr>
            <w:r>
              <w:rPr>
                <w:rFonts w:ascii="Times New Roman" w:hAnsi="Times New Roman"/>
                <w:sz w:val="20"/>
              </w:rPr>
              <w:t>3.4.1 Independent Variable: Procurement Design</w:t>
            </w:r>
          </w:p>
        </w:tc>
        <w:tc>
          <w:tcPr>
            <w:tcW w:type="dxa" w:w="4320"/>
          </w:tcPr>
          <w:p>
            <w:pPr>
              <w:spacing w:line="240" w:lineRule="auto"/>
            </w:pPr>
            <w:r>
              <w:rPr>
                <w:rFonts w:ascii="Times New Roman" w:hAnsi="Times New Roman"/>
                <w:sz w:val="20"/>
              </w:rPr>
              <w:t>56</w:t>
            </w:r>
          </w:p>
        </w:tc>
      </w:tr>
      <w:tr>
        <w:tc>
          <w:tcPr>
            <w:tcW w:type="dxa" w:w="4320"/>
          </w:tcPr>
          <w:p>
            <w:pPr>
              <w:spacing w:line="240" w:lineRule="auto"/>
            </w:pPr>
            <w:r>
              <w:rPr>
                <w:rFonts w:ascii="Times New Roman" w:hAnsi="Times New Roman"/>
                <w:sz w:val="20"/>
              </w:rPr>
              <w:t>3.4.2 Dependent Variables</w:t>
            </w:r>
          </w:p>
        </w:tc>
        <w:tc>
          <w:tcPr>
            <w:tcW w:type="dxa" w:w="4320"/>
          </w:tcPr>
          <w:p>
            <w:pPr>
              <w:spacing w:line="240" w:lineRule="auto"/>
            </w:pPr>
            <w:r>
              <w:rPr>
                <w:rFonts w:ascii="Times New Roman" w:hAnsi="Times New Roman"/>
                <w:sz w:val="20"/>
              </w:rPr>
              <w:t>58</w:t>
            </w:r>
          </w:p>
        </w:tc>
      </w:tr>
      <w:tr>
        <w:tc>
          <w:tcPr>
            <w:tcW w:type="dxa" w:w="4320"/>
          </w:tcPr>
          <w:p>
            <w:pPr>
              <w:spacing w:line="240" w:lineRule="auto"/>
            </w:pPr>
            <w:r>
              <w:rPr>
                <w:rFonts w:ascii="Times New Roman" w:hAnsi="Times New Roman"/>
                <w:sz w:val="20"/>
              </w:rPr>
              <w:t>3.4.3 Control Variables</w:t>
            </w:r>
          </w:p>
        </w:tc>
        <w:tc>
          <w:tcPr>
            <w:tcW w:type="dxa" w:w="4320"/>
          </w:tcPr>
          <w:p>
            <w:pPr>
              <w:spacing w:line="240" w:lineRule="auto"/>
            </w:pPr>
            <w:r>
              <w:rPr>
                <w:rFonts w:ascii="Times New Roman" w:hAnsi="Times New Roman"/>
                <w:sz w:val="20"/>
              </w:rPr>
              <w:t>60</w:t>
            </w:r>
          </w:p>
        </w:tc>
      </w:tr>
      <w:tr>
        <w:tc>
          <w:tcPr>
            <w:tcW w:type="dxa" w:w="4320"/>
          </w:tcPr>
          <w:p>
            <w:pPr>
              <w:spacing w:line="240" w:lineRule="auto"/>
            </w:pPr>
            <w:r>
              <w:rPr>
                <w:rFonts w:ascii="Times New Roman" w:hAnsi="Times New Roman"/>
                <w:sz w:val="20"/>
              </w:rPr>
              <w:t>3.4.4 Moderating Variables</w:t>
            </w:r>
          </w:p>
        </w:tc>
        <w:tc>
          <w:tcPr>
            <w:tcW w:type="dxa" w:w="4320"/>
          </w:tcPr>
          <w:p>
            <w:pPr>
              <w:spacing w:line="240" w:lineRule="auto"/>
            </w:pPr>
            <w:r>
              <w:rPr>
                <w:rFonts w:ascii="Times New Roman" w:hAnsi="Times New Roman"/>
                <w:sz w:val="20"/>
              </w:rPr>
              <w:t>62</w:t>
            </w:r>
          </w:p>
        </w:tc>
      </w:tr>
      <w:tr>
        <w:tc>
          <w:tcPr>
            <w:tcW w:type="dxa" w:w="4320"/>
          </w:tcPr>
          <w:p>
            <w:pPr>
              <w:spacing w:line="240" w:lineRule="auto"/>
            </w:pPr>
            <w:r>
              <w:rPr>
                <w:rFonts w:ascii="Times New Roman" w:hAnsi="Times New Roman"/>
                <w:sz w:val="20"/>
              </w:rPr>
              <w:t>3.5 Analytical Methods</w:t>
            </w:r>
          </w:p>
        </w:tc>
        <w:tc>
          <w:tcPr>
            <w:tcW w:type="dxa" w:w="4320"/>
          </w:tcPr>
          <w:p>
            <w:pPr>
              <w:spacing w:line="240" w:lineRule="auto"/>
            </w:pPr>
            <w:r>
              <w:rPr>
                <w:rFonts w:ascii="Times New Roman" w:hAnsi="Times New Roman"/>
                <w:sz w:val="20"/>
              </w:rPr>
              <w:t>63</w:t>
            </w:r>
          </w:p>
        </w:tc>
      </w:tr>
      <w:tr>
        <w:tc>
          <w:tcPr>
            <w:tcW w:type="dxa" w:w="4320"/>
          </w:tcPr>
          <w:p>
            <w:pPr>
              <w:spacing w:line="240" w:lineRule="auto"/>
            </w:pPr>
            <w:r>
              <w:rPr>
                <w:rFonts w:ascii="Times New Roman" w:hAnsi="Times New Roman"/>
                <w:sz w:val="20"/>
              </w:rPr>
              <w:t>3.5.1 OLS Regression</w:t>
            </w:r>
          </w:p>
        </w:tc>
        <w:tc>
          <w:tcPr>
            <w:tcW w:type="dxa" w:w="4320"/>
          </w:tcPr>
          <w:p>
            <w:pPr>
              <w:spacing w:line="240" w:lineRule="auto"/>
            </w:pPr>
            <w:r>
              <w:rPr>
                <w:rFonts w:ascii="Times New Roman" w:hAnsi="Times New Roman"/>
                <w:sz w:val="20"/>
              </w:rPr>
              <w:t>63</w:t>
            </w:r>
          </w:p>
        </w:tc>
      </w:tr>
      <w:tr>
        <w:tc>
          <w:tcPr>
            <w:tcW w:type="dxa" w:w="4320"/>
          </w:tcPr>
          <w:p>
            <w:pPr>
              <w:spacing w:line="240" w:lineRule="auto"/>
            </w:pPr>
            <w:r>
              <w:rPr>
                <w:rFonts w:ascii="Times New Roman" w:hAnsi="Times New Roman"/>
                <w:sz w:val="20"/>
              </w:rPr>
              <w:t>3.5.2 Negative Binomial GLM</w:t>
            </w:r>
          </w:p>
        </w:tc>
        <w:tc>
          <w:tcPr>
            <w:tcW w:type="dxa" w:w="4320"/>
          </w:tcPr>
          <w:p>
            <w:pPr>
              <w:spacing w:line="240" w:lineRule="auto"/>
            </w:pPr>
            <w:r>
              <w:rPr>
                <w:rFonts w:ascii="Times New Roman" w:hAnsi="Times New Roman"/>
                <w:sz w:val="20"/>
              </w:rPr>
              <w:t>64</w:t>
            </w:r>
          </w:p>
        </w:tc>
      </w:tr>
      <w:tr>
        <w:tc>
          <w:tcPr>
            <w:tcW w:type="dxa" w:w="4320"/>
          </w:tcPr>
          <w:p>
            <w:pPr>
              <w:spacing w:line="240" w:lineRule="auto"/>
            </w:pPr>
            <w:r>
              <w:rPr>
                <w:rFonts w:ascii="Times New Roman" w:hAnsi="Times New Roman"/>
                <w:sz w:val="20"/>
              </w:rPr>
              <w:t>3.5.3 Logistic Regression</w:t>
            </w:r>
          </w:p>
        </w:tc>
        <w:tc>
          <w:tcPr>
            <w:tcW w:type="dxa" w:w="4320"/>
          </w:tcPr>
          <w:p>
            <w:pPr>
              <w:spacing w:line="240" w:lineRule="auto"/>
            </w:pPr>
            <w:r>
              <w:rPr>
                <w:rFonts w:ascii="Times New Roman" w:hAnsi="Times New Roman"/>
                <w:sz w:val="20"/>
              </w:rPr>
              <w:t>65</w:t>
            </w:r>
          </w:p>
        </w:tc>
      </w:tr>
      <w:tr>
        <w:tc>
          <w:tcPr>
            <w:tcW w:type="dxa" w:w="4320"/>
          </w:tcPr>
          <w:p>
            <w:pPr>
              <w:spacing w:line="240" w:lineRule="auto"/>
            </w:pPr>
            <w:r>
              <w:rPr>
                <w:rFonts w:ascii="Times New Roman" w:hAnsi="Times New Roman"/>
                <w:sz w:val="20"/>
              </w:rPr>
              <w:t>3.5.4 Propensity Score Matching</w:t>
            </w:r>
          </w:p>
        </w:tc>
        <w:tc>
          <w:tcPr>
            <w:tcW w:type="dxa" w:w="4320"/>
          </w:tcPr>
          <w:p>
            <w:pPr>
              <w:spacing w:line="240" w:lineRule="auto"/>
            </w:pPr>
            <w:r>
              <w:rPr>
                <w:rFonts w:ascii="Times New Roman" w:hAnsi="Times New Roman"/>
                <w:sz w:val="20"/>
              </w:rPr>
              <w:t>66</w:t>
            </w:r>
          </w:p>
        </w:tc>
      </w:tr>
      <w:tr>
        <w:tc>
          <w:tcPr>
            <w:tcW w:type="dxa" w:w="4320"/>
          </w:tcPr>
          <w:p>
            <w:pPr>
              <w:spacing w:line="240" w:lineRule="auto"/>
            </w:pPr>
            <w:r>
              <w:rPr>
                <w:rFonts w:ascii="Times New Roman" w:hAnsi="Times New Roman"/>
                <w:sz w:val="20"/>
              </w:rPr>
              <w:t>3.6 Assumptions and Diagnostics</w:t>
            </w:r>
          </w:p>
        </w:tc>
        <w:tc>
          <w:tcPr>
            <w:tcW w:type="dxa" w:w="4320"/>
          </w:tcPr>
          <w:p>
            <w:pPr>
              <w:spacing w:line="240" w:lineRule="auto"/>
            </w:pPr>
            <w:r>
              <w:rPr>
                <w:rFonts w:ascii="Times New Roman" w:hAnsi="Times New Roman"/>
                <w:sz w:val="20"/>
              </w:rPr>
              <w:t>68</w:t>
            </w:r>
          </w:p>
        </w:tc>
      </w:tr>
      <w:tr>
        <w:tc>
          <w:tcPr>
            <w:tcW w:type="dxa" w:w="4320"/>
          </w:tcPr>
          <w:p>
            <w:pPr>
              <w:spacing w:line="240" w:lineRule="auto"/>
            </w:pPr>
            <w:r>
              <w:rPr>
                <w:rFonts w:ascii="Times New Roman" w:hAnsi="Times New Roman"/>
                <w:sz w:val="20"/>
              </w:rPr>
              <w:t>3.7 Ethical Considerations</w:t>
            </w:r>
          </w:p>
        </w:tc>
        <w:tc>
          <w:tcPr>
            <w:tcW w:type="dxa" w:w="4320"/>
          </w:tcPr>
          <w:p>
            <w:pPr>
              <w:spacing w:line="240" w:lineRule="auto"/>
            </w:pPr>
            <w:r>
              <w:rPr>
                <w:rFonts w:ascii="Times New Roman" w:hAnsi="Times New Roman"/>
                <w:sz w:val="20"/>
              </w:rPr>
              <w:t>70</w:t>
            </w:r>
          </w:p>
        </w:tc>
      </w:tr>
      <w:tr>
        <w:tc>
          <w:tcPr>
            <w:tcW w:type="dxa" w:w="4320"/>
          </w:tcPr>
          <w:p>
            <w:pPr>
              <w:spacing w:line="240" w:lineRule="auto"/>
            </w:pPr>
            <w:r>
              <w:rPr>
                <w:rFonts w:ascii="Times New Roman" w:hAnsi="Times New Roman"/>
                <w:sz w:val="20"/>
              </w:rPr>
            </w:r>
          </w:p>
        </w:tc>
        <w:tc>
          <w:tcPr>
            <w:tcW w:type="dxa" w:w="4320"/>
          </w:tcPr>
          <w:p>
            <w:pPr>
              <w:spacing w:line="240" w:lineRule="auto"/>
            </w:pPr>
            <w:r>
              <w:rPr>
                <w:rFonts w:ascii="Times New Roman" w:hAnsi="Times New Roman"/>
                <w:sz w:val="20"/>
              </w:rPr>
            </w:r>
          </w:p>
        </w:tc>
      </w:tr>
      <w:tr>
        <w:tc>
          <w:tcPr>
            <w:tcW w:type="dxa" w:w="4320"/>
          </w:tcPr>
          <w:p>
            <w:pPr>
              <w:spacing w:line="240" w:lineRule="auto"/>
            </w:pPr>
            <w:r>
              <w:rPr>
                <w:rFonts w:ascii="Times New Roman" w:hAnsi="Times New Roman"/>
                <w:sz w:val="20"/>
              </w:rPr>
              <w:t>Chapter 4: Results</w:t>
            </w:r>
          </w:p>
        </w:tc>
        <w:tc>
          <w:tcPr>
            <w:tcW w:type="dxa" w:w="4320"/>
          </w:tcPr>
          <w:p>
            <w:pPr>
              <w:spacing w:line="240" w:lineRule="auto"/>
            </w:pPr>
            <w:r>
              <w:rPr>
                <w:rFonts w:ascii="Times New Roman" w:hAnsi="Times New Roman"/>
                <w:sz w:val="20"/>
              </w:rPr>
              <w:t>71</w:t>
            </w:r>
          </w:p>
        </w:tc>
      </w:tr>
      <w:tr>
        <w:tc>
          <w:tcPr>
            <w:tcW w:type="dxa" w:w="4320"/>
          </w:tcPr>
          <w:p>
            <w:pPr>
              <w:spacing w:line="240" w:lineRule="auto"/>
            </w:pPr>
            <w:r>
              <w:rPr>
                <w:rFonts w:ascii="Times New Roman" w:hAnsi="Times New Roman"/>
                <w:sz w:val="20"/>
              </w:rPr>
              <w:t>4.1 Sample Description</w:t>
            </w:r>
          </w:p>
        </w:tc>
        <w:tc>
          <w:tcPr>
            <w:tcW w:type="dxa" w:w="4320"/>
          </w:tcPr>
          <w:p>
            <w:pPr>
              <w:spacing w:line="240" w:lineRule="auto"/>
            </w:pPr>
            <w:r>
              <w:rPr>
                <w:rFonts w:ascii="Times New Roman" w:hAnsi="Times New Roman"/>
                <w:sz w:val="20"/>
              </w:rPr>
              <w:t>71</w:t>
            </w:r>
          </w:p>
        </w:tc>
      </w:tr>
      <w:tr>
        <w:tc>
          <w:tcPr>
            <w:tcW w:type="dxa" w:w="4320"/>
          </w:tcPr>
          <w:p>
            <w:pPr>
              <w:spacing w:line="240" w:lineRule="auto"/>
            </w:pPr>
            <w:r>
              <w:rPr>
                <w:rFonts w:ascii="Times New Roman" w:hAnsi="Times New Roman"/>
                <w:sz w:val="20"/>
              </w:rPr>
              <w:t>4.2 Descriptive Statistics</w:t>
            </w:r>
          </w:p>
        </w:tc>
        <w:tc>
          <w:tcPr>
            <w:tcW w:type="dxa" w:w="4320"/>
          </w:tcPr>
          <w:p>
            <w:pPr>
              <w:spacing w:line="240" w:lineRule="auto"/>
            </w:pPr>
            <w:r>
              <w:rPr>
                <w:rFonts w:ascii="Times New Roman" w:hAnsi="Times New Roman"/>
                <w:sz w:val="20"/>
              </w:rPr>
              <w:t>73</w:t>
            </w:r>
          </w:p>
        </w:tc>
      </w:tr>
      <w:tr>
        <w:tc>
          <w:tcPr>
            <w:tcW w:type="dxa" w:w="4320"/>
          </w:tcPr>
          <w:p>
            <w:pPr>
              <w:spacing w:line="240" w:lineRule="auto"/>
            </w:pPr>
            <w:r>
              <w:rPr>
                <w:rFonts w:ascii="Times New Roman" w:hAnsi="Times New Roman"/>
                <w:sz w:val="20"/>
              </w:rPr>
              <w:t>4.3 Propensity Score Matching Results</w:t>
            </w:r>
          </w:p>
        </w:tc>
        <w:tc>
          <w:tcPr>
            <w:tcW w:type="dxa" w:w="4320"/>
          </w:tcPr>
          <w:p>
            <w:pPr>
              <w:spacing w:line="240" w:lineRule="auto"/>
            </w:pPr>
            <w:r>
              <w:rPr>
                <w:rFonts w:ascii="Times New Roman" w:hAnsi="Times New Roman"/>
                <w:sz w:val="20"/>
              </w:rPr>
              <w:t>76</w:t>
            </w:r>
          </w:p>
        </w:tc>
      </w:tr>
      <w:tr>
        <w:tc>
          <w:tcPr>
            <w:tcW w:type="dxa" w:w="4320"/>
          </w:tcPr>
          <w:p>
            <w:pPr>
              <w:spacing w:line="240" w:lineRule="auto"/>
            </w:pPr>
            <w:r>
              <w:rPr>
                <w:rFonts w:ascii="Times New Roman" w:hAnsi="Times New Roman"/>
                <w:sz w:val="20"/>
              </w:rPr>
              <w:t>4.4 Hypothesis Tests</w:t>
            </w:r>
          </w:p>
        </w:tc>
        <w:tc>
          <w:tcPr>
            <w:tcW w:type="dxa" w:w="4320"/>
          </w:tcPr>
          <w:p>
            <w:pPr>
              <w:spacing w:line="240" w:lineRule="auto"/>
            </w:pPr>
            <w:r>
              <w:rPr>
                <w:rFonts w:ascii="Times New Roman" w:hAnsi="Times New Roman"/>
                <w:sz w:val="20"/>
              </w:rPr>
              <w:t>79</w:t>
            </w:r>
          </w:p>
        </w:tc>
      </w:tr>
      <w:tr>
        <w:tc>
          <w:tcPr>
            <w:tcW w:type="dxa" w:w="4320"/>
          </w:tcPr>
          <w:p>
            <w:pPr>
              <w:spacing w:line="240" w:lineRule="auto"/>
            </w:pPr>
            <w:r>
              <w:rPr>
                <w:rFonts w:ascii="Times New Roman" w:hAnsi="Times New Roman"/>
                <w:sz w:val="20"/>
              </w:rPr>
              <w:t>4.4.1 Cost Growth (H1)</w:t>
            </w:r>
          </w:p>
        </w:tc>
        <w:tc>
          <w:tcPr>
            <w:tcW w:type="dxa" w:w="4320"/>
          </w:tcPr>
          <w:p>
            <w:pPr>
              <w:spacing w:line="240" w:lineRule="auto"/>
            </w:pPr>
            <w:r>
              <w:rPr>
                <w:rFonts w:ascii="Times New Roman" w:hAnsi="Times New Roman"/>
                <w:sz w:val="20"/>
              </w:rPr>
              <w:t>79</w:t>
            </w:r>
          </w:p>
        </w:tc>
      </w:tr>
      <w:tr>
        <w:tc>
          <w:tcPr>
            <w:tcW w:type="dxa" w:w="4320"/>
          </w:tcPr>
          <w:p>
            <w:pPr>
              <w:spacing w:line="240" w:lineRule="auto"/>
            </w:pPr>
            <w:r>
              <w:rPr>
                <w:rFonts w:ascii="Times New Roman" w:hAnsi="Times New Roman"/>
                <w:sz w:val="20"/>
              </w:rPr>
              <w:t>4.4.2 Modification Intensity (H2)</w:t>
            </w:r>
          </w:p>
        </w:tc>
        <w:tc>
          <w:tcPr>
            <w:tcW w:type="dxa" w:w="4320"/>
          </w:tcPr>
          <w:p>
            <w:pPr>
              <w:spacing w:line="240" w:lineRule="auto"/>
            </w:pPr>
            <w:r>
              <w:rPr>
                <w:rFonts w:ascii="Times New Roman" w:hAnsi="Times New Roman"/>
                <w:sz w:val="20"/>
              </w:rPr>
              <w:t>81</w:t>
            </w:r>
          </w:p>
        </w:tc>
      </w:tr>
      <w:tr>
        <w:tc>
          <w:tcPr>
            <w:tcW w:type="dxa" w:w="4320"/>
          </w:tcPr>
          <w:p>
            <w:pPr>
              <w:spacing w:line="240" w:lineRule="auto"/>
            </w:pPr>
            <w:r>
              <w:rPr>
                <w:rFonts w:ascii="Times New Roman" w:hAnsi="Times New Roman"/>
                <w:sz w:val="20"/>
              </w:rPr>
              <w:t>4.4.3 Single-Bid Indicator (H6)</w:t>
            </w:r>
          </w:p>
        </w:tc>
        <w:tc>
          <w:tcPr>
            <w:tcW w:type="dxa" w:w="4320"/>
          </w:tcPr>
          <w:p>
            <w:pPr>
              <w:spacing w:line="240" w:lineRule="auto"/>
            </w:pPr>
            <w:r>
              <w:rPr>
                <w:rFonts w:ascii="Times New Roman" w:hAnsi="Times New Roman"/>
                <w:sz w:val="20"/>
              </w:rPr>
              <w:t>83</w:t>
            </w:r>
          </w:p>
        </w:tc>
      </w:tr>
      <w:tr>
        <w:tc>
          <w:tcPr>
            <w:tcW w:type="dxa" w:w="4320"/>
          </w:tcPr>
          <w:p>
            <w:pPr>
              <w:spacing w:line="240" w:lineRule="auto"/>
            </w:pPr>
            <w:r>
              <w:rPr>
                <w:rFonts w:ascii="Times New Roman" w:hAnsi="Times New Roman"/>
                <w:sz w:val="20"/>
              </w:rPr>
              <w:t>4.4.4 Moderation by Award Complexity (H8)</w:t>
            </w:r>
          </w:p>
        </w:tc>
        <w:tc>
          <w:tcPr>
            <w:tcW w:type="dxa" w:w="4320"/>
          </w:tcPr>
          <w:p>
            <w:pPr>
              <w:spacing w:line="240" w:lineRule="auto"/>
            </w:pPr>
            <w:r>
              <w:rPr>
                <w:rFonts w:ascii="Times New Roman" w:hAnsi="Times New Roman"/>
                <w:sz w:val="20"/>
              </w:rPr>
              <w:t>85</w:t>
            </w:r>
          </w:p>
        </w:tc>
      </w:tr>
      <w:tr>
        <w:tc>
          <w:tcPr>
            <w:tcW w:type="dxa" w:w="4320"/>
          </w:tcPr>
          <w:p>
            <w:pPr>
              <w:spacing w:line="240" w:lineRule="auto"/>
            </w:pPr>
            <w:r>
              <w:rPr>
                <w:rFonts w:ascii="Times New Roman" w:hAnsi="Times New Roman"/>
                <w:sz w:val="20"/>
              </w:rPr>
              <w:t>4.5 Robustness Checks</w:t>
            </w:r>
          </w:p>
        </w:tc>
        <w:tc>
          <w:tcPr>
            <w:tcW w:type="dxa" w:w="4320"/>
          </w:tcPr>
          <w:p>
            <w:pPr>
              <w:spacing w:line="240" w:lineRule="auto"/>
            </w:pPr>
            <w:r>
              <w:rPr>
                <w:rFonts w:ascii="Times New Roman" w:hAnsi="Times New Roman"/>
                <w:sz w:val="20"/>
              </w:rPr>
              <w:t>87</w:t>
            </w:r>
          </w:p>
        </w:tc>
      </w:tr>
      <w:tr>
        <w:tc>
          <w:tcPr>
            <w:tcW w:type="dxa" w:w="4320"/>
          </w:tcPr>
          <w:p>
            <w:pPr>
              <w:spacing w:line="240" w:lineRule="auto"/>
            </w:pPr>
            <w:r>
              <w:rPr>
                <w:rFonts w:ascii="Times New Roman" w:hAnsi="Times New Roman"/>
                <w:sz w:val="20"/>
              </w:rPr>
              <w:t>4.6 Summary of Findings</w:t>
            </w:r>
          </w:p>
        </w:tc>
        <w:tc>
          <w:tcPr>
            <w:tcW w:type="dxa" w:w="4320"/>
          </w:tcPr>
          <w:p>
            <w:pPr>
              <w:spacing w:line="240" w:lineRule="auto"/>
            </w:pPr>
            <w:r>
              <w:rPr>
                <w:rFonts w:ascii="Times New Roman" w:hAnsi="Times New Roman"/>
                <w:sz w:val="20"/>
              </w:rPr>
              <w:t>89</w:t>
            </w:r>
          </w:p>
        </w:tc>
      </w:tr>
      <w:tr>
        <w:tc>
          <w:tcPr>
            <w:tcW w:type="dxa" w:w="4320"/>
          </w:tcPr>
          <w:p>
            <w:pPr>
              <w:spacing w:line="240" w:lineRule="auto"/>
            </w:pPr>
            <w:r>
              <w:rPr>
                <w:rFonts w:ascii="Times New Roman" w:hAnsi="Times New Roman"/>
                <w:sz w:val="20"/>
              </w:rPr>
            </w:r>
          </w:p>
        </w:tc>
        <w:tc>
          <w:tcPr>
            <w:tcW w:type="dxa" w:w="4320"/>
          </w:tcPr>
          <w:p>
            <w:pPr>
              <w:spacing w:line="240" w:lineRule="auto"/>
            </w:pPr>
            <w:r>
              <w:rPr>
                <w:rFonts w:ascii="Times New Roman" w:hAnsi="Times New Roman"/>
                <w:sz w:val="20"/>
              </w:rPr>
            </w:r>
          </w:p>
        </w:tc>
      </w:tr>
      <w:tr>
        <w:tc>
          <w:tcPr>
            <w:tcW w:type="dxa" w:w="4320"/>
          </w:tcPr>
          <w:p>
            <w:pPr>
              <w:spacing w:line="240" w:lineRule="auto"/>
            </w:pPr>
            <w:r>
              <w:rPr>
                <w:rFonts w:ascii="Times New Roman" w:hAnsi="Times New Roman"/>
                <w:sz w:val="20"/>
              </w:rPr>
              <w:t>Chapter 5: Discussion and Conclusions</w:t>
            </w:r>
          </w:p>
        </w:tc>
        <w:tc>
          <w:tcPr>
            <w:tcW w:type="dxa" w:w="4320"/>
          </w:tcPr>
          <w:p>
            <w:pPr>
              <w:spacing w:line="240" w:lineRule="auto"/>
            </w:pPr>
            <w:r>
              <w:rPr>
                <w:rFonts w:ascii="Times New Roman" w:hAnsi="Times New Roman"/>
                <w:sz w:val="20"/>
              </w:rPr>
              <w:t>91</w:t>
            </w:r>
          </w:p>
        </w:tc>
      </w:tr>
      <w:tr>
        <w:tc>
          <w:tcPr>
            <w:tcW w:type="dxa" w:w="4320"/>
          </w:tcPr>
          <w:p>
            <w:pPr>
              <w:spacing w:line="240" w:lineRule="auto"/>
            </w:pPr>
            <w:r>
              <w:rPr>
                <w:rFonts w:ascii="Times New Roman" w:hAnsi="Times New Roman"/>
                <w:sz w:val="20"/>
              </w:rPr>
              <w:t>5.1 Summary of Results</w:t>
            </w:r>
          </w:p>
        </w:tc>
        <w:tc>
          <w:tcPr>
            <w:tcW w:type="dxa" w:w="4320"/>
          </w:tcPr>
          <w:p>
            <w:pPr>
              <w:spacing w:line="240" w:lineRule="auto"/>
            </w:pPr>
            <w:r>
              <w:rPr>
                <w:rFonts w:ascii="Times New Roman" w:hAnsi="Times New Roman"/>
                <w:sz w:val="20"/>
              </w:rPr>
              <w:t>91</w:t>
            </w:r>
          </w:p>
        </w:tc>
      </w:tr>
      <w:tr>
        <w:tc>
          <w:tcPr>
            <w:tcW w:type="dxa" w:w="4320"/>
          </w:tcPr>
          <w:p>
            <w:pPr>
              <w:spacing w:line="240" w:lineRule="auto"/>
            </w:pPr>
            <w:r>
              <w:rPr>
                <w:rFonts w:ascii="Times New Roman" w:hAnsi="Times New Roman"/>
                <w:sz w:val="20"/>
              </w:rPr>
              <w:t>5.2 Interpretation of Findings</w:t>
            </w:r>
          </w:p>
        </w:tc>
        <w:tc>
          <w:tcPr>
            <w:tcW w:type="dxa" w:w="4320"/>
          </w:tcPr>
          <w:p>
            <w:pPr>
              <w:spacing w:line="240" w:lineRule="auto"/>
            </w:pPr>
            <w:r>
              <w:rPr>
                <w:rFonts w:ascii="Times New Roman" w:hAnsi="Times New Roman"/>
                <w:sz w:val="20"/>
              </w:rPr>
              <w:t>93</w:t>
            </w:r>
          </w:p>
        </w:tc>
      </w:tr>
      <w:tr>
        <w:tc>
          <w:tcPr>
            <w:tcW w:type="dxa" w:w="4320"/>
          </w:tcPr>
          <w:p>
            <w:pPr>
              <w:spacing w:line="240" w:lineRule="auto"/>
            </w:pPr>
            <w:r>
              <w:rPr>
                <w:rFonts w:ascii="Times New Roman" w:hAnsi="Times New Roman"/>
                <w:sz w:val="20"/>
              </w:rPr>
              <w:t>5.3 Theoretical Implications</w:t>
            </w:r>
          </w:p>
        </w:tc>
        <w:tc>
          <w:tcPr>
            <w:tcW w:type="dxa" w:w="4320"/>
          </w:tcPr>
          <w:p>
            <w:pPr>
              <w:spacing w:line="240" w:lineRule="auto"/>
            </w:pPr>
            <w:r>
              <w:rPr>
                <w:rFonts w:ascii="Times New Roman" w:hAnsi="Times New Roman"/>
                <w:sz w:val="20"/>
              </w:rPr>
              <w:t>97</w:t>
            </w:r>
          </w:p>
        </w:tc>
      </w:tr>
      <w:tr>
        <w:tc>
          <w:tcPr>
            <w:tcW w:type="dxa" w:w="4320"/>
          </w:tcPr>
          <w:p>
            <w:pPr>
              <w:spacing w:line="240" w:lineRule="auto"/>
            </w:pPr>
            <w:r>
              <w:rPr>
                <w:rFonts w:ascii="Times New Roman" w:hAnsi="Times New Roman"/>
                <w:sz w:val="20"/>
              </w:rPr>
              <w:t>5.4 Practical and Policy Implications</w:t>
            </w:r>
          </w:p>
        </w:tc>
        <w:tc>
          <w:tcPr>
            <w:tcW w:type="dxa" w:w="4320"/>
          </w:tcPr>
          <w:p>
            <w:pPr>
              <w:spacing w:line="240" w:lineRule="auto"/>
            </w:pPr>
            <w:r>
              <w:rPr>
                <w:rFonts w:ascii="Times New Roman" w:hAnsi="Times New Roman"/>
                <w:sz w:val="20"/>
              </w:rPr>
              <w:t>100</w:t>
            </w:r>
          </w:p>
        </w:tc>
      </w:tr>
      <w:tr>
        <w:tc>
          <w:tcPr>
            <w:tcW w:type="dxa" w:w="4320"/>
          </w:tcPr>
          <w:p>
            <w:pPr>
              <w:spacing w:line="240" w:lineRule="auto"/>
            </w:pPr>
            <w:r>
              <w:rPr>
                <w:rFonts w:ascii="Times New Roman" w:hAnsi="Times New Roman"/>
                <w:sz w:val="20"/>
              </w:rPr>
              <w:t>5.5 Limitations</w:t>
            </w:r>
          </w:p>
        </w:tc>
        <w:tc>
          <w:tcPr>
            <w:tcW w:type="dxa" w:w="4320"/>
          </w:tcPr>
          <w:p>
            <w:pPr>
              <w:spacing w:line="240" w:lineRule="auto"/>
            </w:pPr>
            <w:r>
              <w:rPr>
                <w:rFonts w:ascii="Times New Roman" w:hAnsi="Times New Roman"/>
                <w:sz w:val="20"/>
              </w:rPr>
              <w:t>103</w:t>
            </w:r>
          </w:p>
        </w:tc>
      </w:tr>
      <w:tr>
        <w:tc>
          <w:tcPr>
            <w:tcW w:type="dxa" w:w="4320"/>
          </w:tcPr>
          <w:p>
            <w:pPr>
              <w:spacing w:line="240" w:lineRule="auto"/>
            </w:pPr>
            <w:r>
              <w:rPr>
                <w:rFonts w:ascii="Times New Roman" w:hAnsi="Times New Roman"/>
                <w:sz w:val="20"/>
              </w:rPr>
              <w:t>5.6 Directions for Future Research</w:t>
            </w:r>
          </w:p>
        </w:tc>
        <w:tc>
          <w:tcPr>
            <w:tcW w:type="dxa" w:w="4320"/>
          </w:tcPr>
          <w:p>
            <w:pPr>
              <w:spacing w:line="240" w:lineRule="auto"/>
            </w:pPr>
            <w:r>
              <w:rPr>
                <w:rFonts w:ascii="Times New Roman" w:hAnsi="Times New Roman"/>
                <w:sz w:val="20"/>
              </w:rPr>
              <w:t>105</w:t>
            </w:r>
          </w:p>
        </w:tc>
      </w:tr>
      <w:tr>
        <w:tc>
          <w:tcPr>
            <w:tcW w:type="dxa" w:w="4320"/>
          </w:tcPr>
          <w:p>
            <w:pPr>
              <w:spacing w:line="240" w:lineRule="auto"/>
            </w:pPr>
            <w:r>
              <w:rPr>
                <w:rFonts w:ascii="Times New Roman" w:hAnsi="Times New Roman"/>
                <w:sz w:val="20"/>
              </w:rPr>
              <w:t>5.7 Conclusion</w:t>
            </w:r>
          </w:p>
        </w:tc>
        <w:tc>
          <w:tcPr>
            <w:tcW w:type="dxa" w:w="4320"/>
          </w:tcPr>
          <w:p>
            <w:pPr>
              <w:spacing w:line="240" w:lineRule="auto"/>
            </w:pPr>
            <w:r>
              <w:rPr>
                <w:rFonts w:ascii="Times New Roman" w:hAnsi="Times New Roman"/>
                <w:sz w:val="20"/>
              </w:rPr>
              <w:t>107</w:t>
            </w:r>
          </w:p>
        </w:tc>
      </w:tr>
      <w:tr>
        <w:tc>
          <w:tcPr>
            <w:tcW w:type="dxa" w:w="4320"/>
          </w:tcPr>
          <w:p>
            <w:pPr>
              <w:spacing w:line="240" w:lineRule="auto"/>
            </w:pPr>
            <w:r>
              <w:rPr>
                <w:rFonts w:ascii="Times New Roman" w:hAnsi="Times New Roman"/>
                <w:sz w:val="20"/>
              </w:rPr>
            </w:r>
          </w:p>
        </w:tc>
        <w:tc>
          <w:tcPr>
            <w:tcW w:type="dxa" w:w="4320"/>
          </w:tcPr>
          <w:p>
            <w:pPr>
              <w:spacing w:line="240" w:lineRule="auto"/>
            </w:pPr>
            <w:r>
              <w:rPr>
                <w:rFonts w:ascii="Times New Roman" w:hAnsi="Times New Roman"/>
                <w:sz w:val="20"/>
              </w:rPr>
            </w:r>
          </w:p>
        </w:tc>
      </w:tr>
      <w:tr>
        <w:tc>
          <w:tcPr>
            <w:tcW w:type="dxa" w:w="4320"/>
          </w:tcPr>
          <w:p>
            <w:pPr>
              <w:spacing w:line="240" w:lineRule="auto"/>
            </w:pPr>
            <w:r>
              <w:rPr>
                <w:rFonts w:ascii="Times New Roman" w:hAnsi="Times New Roman"/>
                <w:sz w:val="20"/>
              </w:rPr>
              <w:t>References</w:t>
            </w:r>
          </w:p>
        </w:tc>
        <w:tc>
          <w:tcPr>
            <w:tcW w:type="dxa" w:w="4320"/>
          </w:tcPr>
          <w:p>
            <w:pPr>
              <w:spacing w:line="240" w:lineRule="auto"/>
            </w:pPr>
            <w:r>
              <w:rPr>
                <w:rFonts w:ascii="Times New Roman" w:hAnsi="Times New Roman"/>
                <w:sz w:val="20"/>
              </w:rPr>
              <w:t>109</w:t>
            </w:r>
          </w:p>
        </w:tc>
      </w:tr>
      <w:tr>
        <w:tc>
          <w:tcPr>
            <w:tcW w:type="dxa" w:w="4320"/>
          </w:tcPr>
          <w:p>
            <w:pPr>
              <w:spacing w:line="240" w:lineRule="auto"/>
            </w:pPr>
            <w:r>
              <w:rPr>
                <w:rFonts w:ascii="Times New Roman" w:hAnsi="Times New Roman"/>
                <w:sz w:val="20"/>
              </w:rPr>
            </w:r>
          </w:p>
        </w:tc>
        <w:tc>
          <w:tcPr>
            <w:tcW w:type="dxa" w:w="4320"/>
          </w:tcPr>
          <w:p>
            <w:pPr>
              <w:spacing w:line="240" w:lineRule="auto"/>
            </w:pPr>
            <w:r>
              <w:rPr>
                <w:rFonts w:ascii="Times New Roman" w:hAnsi="Times New Roman"/>
                <w:sz w:val="20"/>
              </w:rPr>
            </w:r>
          </w:p>
        </w:tc>
      </w:tr>
      <w:tr>
        <w:tc>
          <w:tcPr>
            <w:tcW w:type="dxa" w:w="4320"/>
          </w:tcPr>
          <w:p>
            <w:pPr>
              <w:spacing w:line="240" w:lineRule="auto"/>
            </w:pPr>
            <w:r>
              <w:rPr>
                <w:rFonts w:ascii="Times New Roman" w:hAnsi="Times New Roman"/>
                <w:sz w:val="20"/>
              </w:rPr>
              <w:t>Appendices</w:t>
            </w:r>
          </w:p>
        </w:tc>
        <w:tc>
          <w:tcPr>
            <w:tcW w:type="dxa" w:w="4320"/>
          </w:tcPr>
          <w:p>
            <w:pPr>
              <w:spacing w:line="240" w:lineRule="auto"/>
            </w:pPr>
            <w:r>
              <w:rPr>
                <w:rFonts w:ascii="Times New Roman" w:hAnsi="Times New Roman"/>
                <w:sz w:val="20"/>
              </w:rPr>
            </w:r>
          </w:p>
        </w:tc>
      </w:tr>
      <w:tr>
        <w:tc>
          <w:tcPr>
            <w:tcW w:type="dxa" w:w="4320"/>
          </w:tcPr>
          <w:p>
            <w:pPr>
              <w:spacing w:line="240" w:lineRule="auto"/>
            </w:pPr>
            <w:r>
              <w:rPr>
                <w:rFonts w:ascii="Times New Roman" w:hAnsi="Times New Roman"/>
                <w:sz w:val="20"/>
              </w:rPr>
              <w:t>Appendix A: Variable Definitions and Data Dictionary</w:t>
            </w:r>
          </w:p>
        </w:tc>
        <w:tc>
          <w:tcPr>
            <w:tcW w:type="dxa" w:w="4320"/>
          </w:tcPr>
          <w:p>
            <w:pPr>
              <w:spacing w:line="240" w:lineRule="auto"/>
            </w:pPr>
            <w:r>
              <w:rPr>
                <w:rFonts w:ascii="Times New Roman" w:hAnsi="Times New Roman"/>
                <w:sz w:val="20"/>
              </w:rPr>
              <w:t>125</w:t>
            </w:r>
          </w:p>
        </w:tc>
      </w:tr>
      <w:tr>
        <w:tc>
          <w:tcPr>
            <w:tcW w:type="dxa" w:w="4320"/>
          </w:tcPr>
          <w:p>
            <w:pPr>
              <w:spacing w:line="240" w:lineRule="auto"/>
            </w:pPr>
            <w:r>
              <w:rPr>
                <w:rFonts w:ascii="Times New Roman" w:hAnsi="Times New Roman"/>
                <w:sz w:val="20"/>
              </w:rPr>
              <w:t>Appendix B: USAspending.gov Data Fields and Extraction Protocol</w:t>
            </w:r>
          </w:p>
        </w:tc>
        <w:tc>
          <w:tcPr>
            <w:tcW w:type="dxa" w:w="4320"/>
          </w:tcPr>
          <w:p>
            <w:pPr>
              <w:spacing w:line="240" w:lineRule="auto"/>
            </w:pPr>
            <w:r>
              <w:rPr>
                <w:rFonts w:ascii="Times New Roman" w:hAnsi="Times New Roman"/>
                <w:sz w:val="20"/>
              </w:rPr>
              <w:t>128</w:t>
            </w:r>
          </w:p>
        </w:tc>
      </w:tr>
      <w:tr>
        <w:tc>
          <w:tcPr>
            <w:tcW w:type="dxa" w:w="4320"/>
          </w:tcPr>
          <w:p>
            <w:pPr>
              <w:spacing w:line="240" w:lineRule="auto"/>
            </w:pPr>
            <w:r>
              <w:rPr>
                <w:rFonts w:ascii="Times New Roman" w:hAnsi="Times New Roman"/>
                <w:sz w:val="20"/>
              </w:rPr>
              <w:t>Appendix C: Procurement Design Classification Criteria</w:t>
            </w:r>
          </w:p>
        </w:tc>
        <w:tc>
          <w:tcPr>
            <w:tcW w:type="dxa" w:w="4320"/>
          </w:tcPr>
          <w:p>
            <w:pPr>
              <w:spacing w:line="240" w:lineRule="auto"/>
            </w:pPr>
            <w:r>
              <w:rPr>
                <w:rFonts w:ascii="Times New Roman" w:hAnsi="Times New Roman"/>
                <w:sz w:val="20"/>
              </w:rPr>
              <w:t>131</w:t>
            </w:r>
          </w:p>
        </w:tc>
      </w:tr>
      <w:tr>
        <w:tc>
          <w:tcPr>
            <w:tcW w:type="dxa" w:w="4320"/>
          </w:tcPr>
          <w:p>
            <w:pPr>
              <w:spacing w:line="240" w:lineRule="auto"/>
            </w:pPr>
            <w:r>
              <w:rPr>
                <w:rFonts w:ascii="Times New Roman" w:hAnsi="Times New Roman"/>
                <w:sz w:val="20"/>
              </w:rPr>
              <w:t>Appendix D: Propensity Score Model Specification</w:t>
            </w:r>
          </w:p>
        </w:tc>
        <w:tc>
          <w:tcPr>
            <w:tcW w:type="dxa" w:w="4320"/>
          </w:tcPr>
          <w:p>
            <w:pPr>
              <w:spacing w:line="240" w:lineRule="auto"/>
            </w:pPr>
            <w:r>
              <w:rPr>
                <w:rFonts w:ascii="Times New Roman" w:hAnsi="Times New Roman"/>
                <w:sz w:val="20"/>
              </w:rPr>
              <w:t>133</w:t>
            </w:r>
          </w:p>
        </w:tc>
      </w:tr>
      <w:tr>
        <w:tc>
          <w:tcPr>
            <w:tcW w:type="dxa" w:w="4320"/>
          </w:tcPr>
          <w:p>
            <w:pPr>
              <w:spacing w:line="240" w:lineRule="auto"/>
            </w:pPr>
            <w:r>
              <w:rPr>
                <w:rFonts w:ascii="Times New Roman" w:hAnsi="Times New Roman"/>
                <w:sz w:val="20"/>
              </w:rPr>
              <w:t>Appendix E: Additional Robustness Check Results</w:t>
            </w:r>
          </w:p>
        </w:tc>
        <w:tc>
          <w:tcPr>
            <w:tcW w:type="dxa" w:w="4320"/>
          </w:tcPr>
          <w:p>
            <w:pPr>
              <w:spacing w:line="240" w:lineRule="auto"/>
            </w:pPr>
            <w:r>
              <w:rPr>
                <w:rFonts w:ascii="Times New Roman" w:hAnsi="Times New Roman"/>
                <w:sz w:val="20"/>
              </w:rPr>
              <w:t>135</w:t>
            </w:r>
          </w:p>
        </w:tc>
      </w:tr>
      <w:tr>
        <w:tc>
          <w:tcPr>
            <w:tcW w:type="dxa" w:w="4320"/>
          </w:tcPr>
          <w:p>
            <w:pPr>
              <w:spacing w:line="240" w:lineRule="auto"/>
            </w:pPr>
            <w:r>
              <w:rPr>
                <w:rFonts w:ascii="Times New Roman" w:hAnsi="Times New Roman"/>
                <w:sz w:val="20"/>
              </w:rPr>
              <w:t>Appendix F: Sensitivity Analyses</w:t>
            </w:r>
          </w:p>
        </w:tc>
        <w:tc>
          <w:tcPr>
            <w:tcW w:type="dxa" w:w="4320"/>
          </w:tcPr>
          <w:p>
            <w:pPr>
              <w:spacing w:line="240" w:lineRule="auto"/>
            </w:pPr>
            <w:r>
              <w:rPr>
                <w:rFonts w:ascii="Times New Roman" w:hAnsi="Times New Roman"/>
                <w:sz w:val="20"/>
              </w:rPr>
              <w:t>138</w:t>
            </w:r>
          </w:p>
        </w:tc>
      </w:tr>
      <w:tr>
        <w:tc>
          <w:tcPr>
            <w:tcW w:type="dxa" w:w="4320"/>
          </w:tcPr>
          <w:p>
            <w:pPr>
              <w:spacing w:line="240" w:lineRule="auto"/>
            </w:pPr>
            <w:r>
              <w:rPr>
                <w:rFonts w:ascii="Times New Roman" w:hAnsi="Times New Roman"/>
                <w:sz w:val="20"/>
              </w:rPr>
              <w:t>Appendix G: IRB Determination Letter</w:t>
            </w:r>
          </w:p>
        </w:tc>
        <w:tc>
          <w:tcPr>
            <w:tcW w:type="dxa" w:w="4320"/>
          </w:tcPr>
          <w:p>
            <w:pPr>
              <w:spacing w:line="240" w:lineRule="auto"/>
            </w:pPr>
            <w:r>
              <w:rPr>
                <w:rFonts w:ascii="Times New Roman" w:hAnsi="Times New Roman"/>
                <w:sz w:val="20"/>
              </w:rPr>
              <w:t>141</w:t>
            </w:r>
          </w:p>
        </w:tc>
      </w:tr>
    </w:tbl>
    <w:p>
      <w:pPr>
        <w:pStyle w:val="Heading1"/>
      </w:pPr>
      <w:r>
        <w:rPr>
          <w:rFonts w:ascii="Times New Roman" w:hAnsi="Times New Roman"/>
          <w:color w:val="000000"/>
        </w:rPr>
        <w:t>List of Tables</w:t>
      </w:r>
    </w:p>
    <w:tbl>
      <w:tblPr>
        <w:tblStyle w:val="TableGrid"/>
        <w:tblW w:type="auto" w:w="0"/>
        <w:tblLook w:firstColumn="1" w:firstRow="1" w:lastColumn="0" w:lastRow="0" w:noHBand="0" w:noVBand="1" w:val="04A0"/>
      </w:tblPr>
      <w:tblGrid>
        <w:gridCol w:w="2880"/>
        <w:gridCol w:w="2880"/>
        <w:gridCol w:w="2880"/>
      </w:tblGrid>
      <w:tr>
        <w:tc>
          <w:tcPr>
            <w:tcW w:type="dxa" w:w="2880"/>
          </w:tcPr>
          <w:p>
            <w:pPr>
              <w:spacing w:line="240" w:lineRule="auto"/>
            </w:pPr>
            <w:r>
              <w:rPr>
                <w:rFonts w:ascii="Times New Roman" w:hAnsi="Times New Roman"/>
                <w:b/>
                <w:sz w:val="20"/>
              </w:rPr>
              <w:t>Table</w:t>
            </w:r>
          </w:p>
        </w:tc>
        <w:tc>
          <w:tcPr>
            <w:tcW w:type="dxa" w:w="2880"/>
          </w:tcPr>
          <w:p>
            <w:pPr>
              <w:spacing w:line="240" w:lineRule="auto"/>
            </w:pPr>
            <w:r>
              <w:rPr>
                <w:rFonts w:ascii="Times New Roman" w:hAnsi="Times New Roman"/>
                <w:b/>
                <w:sz w:val="20"/>
              </w:rPr>
              <w:t>Title</w:t>
            </w:r>
          </w:p>
        </w:tc>
        <w:tc>
          <w:tcPr>
            <w:tcW w:type="dxa" w:w="2880"/>
          </w:tcPr>
          <w:p>
            <w:pPr>
              <w:spacing w:line="240" w:lineRule="auto"/>
            </w:pPr>
            <w:r>
              <w:rPr>
                <w:rFonts w:ascii="Times New Roman" w:hAnsi="Times New Roman"/>
                <w:b/>
                <w:sz w:val="20"/>
              </w:rPr>
              <w:t>Page</w:t>
            </w:r>
          </w:p>
        </w:tc>
      </w:tr>
      <w:tr>
        <w:tc>
          <w:tcPr>
            <w:tcW w:type="dxa" w:w="2880"/>
          </w:tcPr>
          <w:p>
            <w:pPr>
              <w:spacing w:line="240" w:lineRule="auto"/>
            </w:pPr>
            <w:r>
              <w:rPr>
                <w:rFonts w:ascii="Times New Roman" w:hAnsi="Times New Roman"/>
                <w:sz w:val="20"/>
              </w:rPr>
              <w:t>Table 4.1</w:t>
            </w:r>
          </w:p>
        </w:tc>
        <w:tc>
          <w:tcPr>
            <w:tcW w:type="dxa" w:w="2880"/>
          </w:tcPr>
          <w:p>
            <w:pPr>
              <w:spacing w:line="240" w:lineRule="auto"/>
            </w:pPr>
            <w:r>
              <w:rPr>
                <w:rFonts w:ascii="Times New Roman" w:hAnsi="Times New Roman"/>
                <w:sz w:val="20"/>
              </w:rPr>
              <w:t>Sample Composition by Procurement Design Category</w:t>
            </w:r>
          </w:p>
        </w:tc>
        <w:tc>
          <w:tcPr>
            <w:tcW w:type="dxa" w:w="2880"/>
          </w:tcPr>
          <w:p>
            <w:pPr>
              <w:spacing w:line="240" w:lineRule="auto"/>
            </w:pPr>
            <w:r>
              <w:rPr>
                <w:rFonts w:ascii="Times New Roman" w:hAnsi="Times New Roman"/>
                <w:sz w:val="20"/>
              </w:rPr>
              <w:t>72</w:t>
            </w:r>
          </w:p>
        </w:tc>
      </w:tr>
      <w:tr>
        <w:tc>
          <w:tcPr>
            <w:tcW w:type="dxa" w:w="2880"/>
          </w:tcPr>
          <w:p>
            <w:pPr>
              <w:spacing w:line="240" w:lineRule="auto"/>
            </w:pPr>
            <w:r>
              <w:rPr>
                <w:rFonts w:ascii="Times New Roman" w:hAnsi="Times New Roman"/>
                <w:sz w:val="20"/>
              </w:rPr>
              <w:t>Table 4.2</w:t>
            </w:r>
          </w:p>
        </w:tc>
        <w:tc>
          <w:tcPr>
            <w:tcW w:type="dxa" w:w="2880"/>
          </w:tcPr>
          <w:p>
            <w:pPr>
              <w:spacing w:line="240" w:lineRule="auto"/>
            </w:pPr>
            <w:r>
              <w:rPr>
                <w:rFonts w:ascii="Times New Roman" w:hAnsi="Times New Roman"/>
                <w:sz w:val="20"/>
              </w:rPr>
              <w:t>Descriptive Statistics for Key Variables</w:t>
            </w:r>
          </w:p>
        </w:tc>
        <w:tc>
          <w:tcPr>
            <w:tcW w:type="dxa" w:w="2880"/>
          </w:tcPr>
          <w:p>
            <w:pPr>
              <w:spacing w:line="240" w:lineRule="auto"/>
            </w:pPr>
            <w:r>
              <w:rPr>
                <w:rFonts w:ascii="Times New Roman" w:hAnsi="Times New Roman"/>
                <w:sz w:val="20"/>
              </w:rPr>
              <w:t>74</w:t>
            </w:r>
          </w:p>
        </w:tc>
      </w:tr>
      <w:tr>
        <w:tc>
          <w:tcPr>
            <w:tcW w:type="dxa" w:w="2880"/>
          </w:tcPr>
          <w:p>
            <w:pPr>
              <w:spacing w:line="240" w:lineRule="auto"/>
            </w:pPr>
            <w:r>
              <w:rPr>
                <w:rFonts w:ascii="Times New Roman" w:hAnsi="Times New Roman"/>
                <w:sz w:val="20"/>
              </w:rPr>
              <w:t>Table 4.3</w:t>
            </w:r>
          </w:p>
        </w:tc>
        <w:tc>
          <w:tcPr>
            <w:tcW w:type="dxa" w:w="2880"/>
          </w:tcPr>
          <w:p>
            <w:pPr>
              <w:spacing w:line="240" w:lineRule="auto"/>
            </w:pPr>
            <w:r>
              <w:rPr>
                <w:rFonts w:ascii="Times New Roman" w:hAnsi="Times New Roman"/>
                <w:sz w:val="20"/>
              </w:rPr>
              <w:t>Treatment vs. Control Group Comparison</w:t>
            </w:r>
          </w:p>
        </w:tc>
        <w:tc>
          <w:tcPr>
            <w:tcW w:type="dxa" w:w="2880"/>
          </w:tcPr>
          <w:p>
            <w:pPr>
              <w:spacing w:line="240" w:lineRule="auto"/>
            </w:pPr>
            <w:r>
              <w:rPr>
                <w:rFonts w:ascii="Times New Roman" w:hAnsi="Times New Roman"/>
                <w:sz w:val="20"/>
              </w:rPr>
              <w:t>75</w:t>
            </w:r>
          </w:p>
        </w:tc>
      </w:tr>
      <w:tr>
        <w:tc>
          <w:tcPr>
            <w:tcW w:type="dxa" w:w="2880"/>
          </w:tcPr>
          <w:p>
            <w:pPr>
              <w:spacing w:line="240" w:lineRule="auto"/>
            </w:pPr>
            <w:r>
              <w:rPr>
                <w:rFonts w:ascii="Times New Roman" w:hAnsi="Times New Roman"/>
                <w:sz w:val="20"/>
              </w:rPr>
              <w:t>Table 4.4</w:t>
            </w:r>
          </w:p>
        </w:tc>
        <w:tc>
          <w:tcPr>
            <w:tcW w:type="dxa" w:w="2880"/>
          </w:tcPr>
          <w:p>
            <w:pPr>
              <w:spacing w:line="240" w:lineRule="auto"/>
            </w:pPr>
            <w:r>
              <w:rPr>
                <w:rFonts w:ascii="Times New Roman" w:hAnsi="Times New Roman"/>
                <w:sz w:val="20"/>
              </w:rPr>
              <w:t>Propensity Score Matching Balance Diagnostics</w:t>
            </w:r>
          </w:p>
        </w:tc>
        <w:tc>
          <w:tcPr>
            <w:tcW w:type="dxa" w:w="2880"/>
          </w:tcPr>
          <w:p>
            <w:pPr>
              <w:spacing w:line="240" w:lineRule="auto"/>
            </w:pPr>
            <w:r>
              <w:rPr>
                <w:rFonts w:ascii="Times New Roman" w:hAnsi="Times New Roman"/>
                <w:sz w:val="20"/>
              </w:rPr>
              <w:t>77</w:t>
            </w:r>
          </w:p>
        </w:tc>
      </w:tr>
      <w:tr>
        <w:tc>
          <w:tcPr>
            <w:tcW w:type="dxa" w:w="2880"/>
          </w:tcPr>
          <w:p>
            <w:pPr>
              <w:spacing w:line="240" w:lineRule="auto"/>
            </w:pPr>
            <w:r>
              <w:rPr>
                <w:rFonts w:ascii="Times New Roman" w:hAnsi="Times New Roman"/>
                <w:sz w:val="20"/>
              </w:rPr>
              <w:t>Table 4.5</w:t>
            </w:r>
          </w:p>
        </w:tc>
        <w:tc>
          <w:tcPr>
            <w:tcW w:type="dxa" w:w="2880"/>
          </w:tcPr>
          <w:p>
            <w:pPr>
              <w:spacing w:line="240" w:lineRule="auto"/>
            </w:pPr>
            <w:r>
              <w:rPr>
                <w:rFonts w:ascii="Times New Roman" w:hAnsi="Times New Roman"/>
                <w:sz w:val="20"/>
              </w:rPr>
              <w:t>OLS Regression Results for Cost Growth (H1)</w:t>
            </w:r>
          </w:p>
        </w:tc>
        <w:tc>
          <w:tcPr>
            <w:tcW w:type="dxa" w:w="2880"/>
          </w:tcPr>
          <w:p>
            <w:pPr>
              <w:spacing w:line="240" w:lineRule="auto"/>
            </w:pPr>
            <w:r>
              <w:rPr>
                <w:rFonts w:ascii="Times New Roman" w:hAnsi="Times New Roman"/>
                <w:sz w:val="20"/>
              </w:rPr>
              <w:t>80</w:t>
            </w:r>
          </w:p>
        </w:tc>
      </w:tr>
      <w:tr>
        <w:tc>
          <w:tcPr>
            <w:tcW w:type="dxa" w:w="2880"/>
          </w:tcPr>
          <w:p>
            <w:pPr>
              <w:spacing w:line="240" w:lineRule="auto"/>
            </w:pPr>
            <w:r>
              <w:rPr>
                <w:rFonts w:ascii="Times New Roman" w:hAnsi="Times New Roman"/>
                <w:sz w:val="20"/>
              </w:rPr>
              <w:t>Table 4.6</w:t>
            </w:r>
          </w:p>
        </w:tc>
        <w:tc>
          <w:tcPr>
            <w:tcW w:type="dxa" w:w="2880"/>
          </w:tcPr>
          <w:p>
            <w:pPr>
              <w:spacing w:line="240" w:lineRule="auto"/>
            </w:pPr>
            <w:r>
              <w:rPr>
                <w:rFonts w:ascii="Times New Roman" w:hAnsi="Times New Roman"/>
                <w:sz w:val="20"/>
              </w:rPr>
              <w:t>Negative Binomial GLM Results for Modification Intensity (H2)</w:t>
            </w:r>
          </w:p>
        </w:tc>
        <w:tc>
          <w:tcPr>
            <w:tcW w:type="dxa" w:w="2880"/>
          </w:tcPr>
          <w:p>
            <w:pPr>
              <w:spacing w:line="240" w:lineRule="auto"/>
            </w:pPr>
            <w:r>
              <w:rPr>
                <w:rFonts w:ascii="Times New Roman" w:hAnsi="Times New Roman"/>
                <w:sz w:val="20"/>
              </w:rPr>
              <w:t>82</w:t>
            </w:r>
          </w:p>
        </w:tc>
      </w:tr>
      <w:tr>
        <w:tc>
          <w:tcPr>
            <w:tcW w:type="dxa" w:w="2880"/>
          </w:tcPr>
          <w:p>
            <w:pPr>
              <w:spacing w:line="240" w:lineRule="auto"/>
            </w:pPr>
            <w:r>
              <w:rPr>
                <w:rFonts w:ascii="Times New Roman" w:hAnsi="Times New Roman"/>
                <w:sz w:val="20"/>
              </w:rPr>
              <w:t>Table 4.7</w:t>
            </w:r>
          </w:p>
        </w:tc>
        <w:tc>
          <w:tcPr>
            <w:tcW w:type="dxa" w:w="2880"/>
          </w:tcPr>
          <w:p>
            <w:pPr>
              <w:spacing w:line="240" w:lineRule="auto"/>
            </w:pPr>
            <w:r>
              <w:rPr>
                <w:rFonts w:ascii="Times New Roman" w:hAnsi="Times New Roman"/>
                <w:sz w:val="20"/>
              </w:rPr>
              <w:t>Logistic Regression Results for Single-Bid Indicator (H6)</w:t>
            </w:r>
          </w:p>
        </w:tc>
        <w:tc>
          <w:tcPr>
            <w:tcW w:type="dxa" w:w="2880"/>
          </w:tcPr>
          <w:p>
            <w:pPr>
              <w:spacing w:line="240" w:lineRule="auto"/>
            </w:pPr>
            <w:r>
              <w:rPr>
                <w:rFonts w:ascii="Times New Roman" w:hAnsi="Times New Roman"/>
                <w:sz w:val="20"/>
              </w:rPr>
              <w:t>84</w:t>
            </w:r>
          </w:p>
        </w:tc>
      </w:tr>
      <w:tr>
        <w:tc>
          <w:tcPr>
            <w:tcW w:type="dxa" w:w="2880"/>
          </w:tcPr>
          <w:p>
            <w:pPr>
              <w:spacing w:line="240" w:lineRule="auto"/>
            </w:pPr>
            <w:r>
              <w:rPr>
                <w:rFonts w:ascii="Times New Roman" w:hAnsi="Times New Roman"/>
                <w:sz w:val="20"/>
              </w:rPr>
              <w:t>Table 4.8</w:t>
            </w:r>
          </w:p>
        </w:tc>
        <w:tc>
          <w:tcPr>
            <w:tcW w:type="dxa" w:w="2880"/>
          </w:tcPr>
          <w:p>
            <w:pPr>
              <w:spacing w:line="240" w:lineRule="auto"/>
            </w:pPr>
            <w:r>
              <w:rPr>
                <w:rFonts w:ascii="Times New Roman" w:hAnsi="Times New Roman"/>
                <w:sz w:val="20"/>
              </w:rPr>
              <w:t>Robustness Check Results</w:t>
            </w:r>
          </w:p>
        </w:tc>
        <w:tc>
          <w:tcPr>
            <w:tcW w:type="dxa" w:w="2880"/>
          </w:tcPr>
          <w:p>
            <w:pPr>
              <w:spacing w:line="240" w:lineRule="auto"/>
            </w:pPr>
            <w:r>
              <w:rPr>
                <w:rFonts w:ascii="Times New Roman" w:hAnsi="Times New Roman"/>
                <w:sz w:val="20"/>
              </w:rPr>
              <w:t>88</w:t>
            </w:r>
          </w:p>
        </w:tc>
      </w:tr>
      <w:tr>
        <w:tc>
          <w:tcPr>
            <w:tcW w:type="dxa" w:w="2880"/>
          </w:tcPr>
          <w:p>
            <w:pPr>
              <w:spacing w:line="240" w:lineRule="auto"/>
            </w:pPr>
            <w:r>
              <w:rPr>
                <w:rFonts w:ascii="Times New Roman" w:hAnsi="Times New Roman"/>
                <w:sz w:val="20"/>
              </w:rPr>
              <w:t>Table 4.9</w:t>
            </w:r>
          </w:p>
        </w:tc>
        <w:tc>
          <w:tcPr>
            <w:tcW w:type="dxa" w:w="2880"/>
          </w:tcPr>
          <w:p>
            <w:pPr>
              <w:spacing w:line="240" w:lineRule="auto"/>
            </w:pPr>
            <w:r>
              <w:rPr>
                <w:rFonts w:ascii="Times New Roman" w:hAnsi="Times New Roman"/>
                <w:sz w:val="20"/>
              </w:rPr>
              <w:t>Summary of Hypothesis Test Results</w:t>
            </w:r>
          </w:p>
        </w:tc>
        <w:tc>
          <w:tcPr>
            <w:tcW w:type="dxa" w:w="2880"/>
          </w:tcPr>
          <w:p>
            <w:pPr>
              <w:spacing w:line="240" w:lineRule="auto"/>
            </w:pPr>
            <w:r>
              <w:rPr>
                <w:rFonts w:ascii="Times New Roman" w:hAnsi="Times New Roman"/>
                <w:sz w:val="20"/>
              </w:rPr>
              <w:t>90</w:t>
            </w:r>
          </w:p>
        </w:tc>
      </w:tr>
    </w:tbl>
    <w:p>
      <w:pPr>
        <w:pStyle w:val="Heading1"/>
      </w:pPr>
      <w:r>
        <w:rPr>
          <w:rFonts w:ascii="Times New Roman" w:hAnsi="Times New Roman"/>
          <w:color w:val="000000"/>
        </w:rPr>
        <w:t>List of Figures</w:t>
      </w:r>
    </w:p>
    <w:tbl>
      <w:tblPr>
        <w:tblStyle w:val="TableGrid"/>
        <w:tblW w:type="auto" w:w="0"/>
        <w:tblLook w:firstColumn="1" w:firstRow="1" w:lastColumn="0" w:lastRow="0" w:noHBand="0" w:noVBand="1" w:val="04A0"/>
      </w:tblPr>
      <w:tblGrid>
        <w:gridCol w:w="2880"/>
        <w:gridCol w:w="2880"/>
        <w:gridCol w:w="2880"/>
      </w:tblGrid>
      <w:tr>
        <w:tc>
          <w:tcPr>
            <w:tcW w:type="dxa" w:w="2880"/>
          </w:tcPr>
          <w:p>
            <w:pPr>
              <w:spacing w:line="240" w:lineRule="auto"/>
            </w:pPr>
            <w:r>
              <w:rPr>
                <w:rFonts w:ascii="Times New Roman" w:hAnsi="Times New Roman"/>
                <w:b/>
                <w:sz w:val="20"/>
              </w:rPr>
              <w:t>Figure</w:t>
            </w:r>
          </w:p>
        </w:tc>
        <w:tc>
          <w:tcPr>
            <w:tcW w:type="dxa" w:w="2880"/>
          </w:tcPr>
          <w:p>
            <w:pPr>
              <w:spacing w:line="240" w:lineRule="auto"/>
            </w:pPr>
            <w:r>
              <w:rPr>
                <w:rFonts w:ascii="Times New Roman" w:hAnsi="Times New Roman"/>
                <w:b/>
                <w:sz w:val="20"/>
              </w:rPr>
              <w:t>Title</w:t>
            </w:r>
          </w:p>
        </w:tc>
        <w:tc>
          <w:tcPr>
            <w:tcW w:type="dxa" w:w="2880"/>
          </w:tcPr>
          <w:p>
            <w:pPr>
              <w:spacing w:line="240" w:lineRule="auto"/>
            </w:pPr>
            <w:r>
              <w:rPr>
                <w:rFonts w:ascii="Times New Roman" w:hAnsi="Times New Roman"/>
                <w:b/>
                <w:sz w:val="20"/>
              </w:rPr>
              <w:t>Page</w:t>
            </w:r>
          </w:p>
        </w:tc>
      </w:tr>
      <w:tr>
        <w:tc>
          <w:tcPr>
            <w:tcW w:type="dxa" w:w="2880"/>
          </w:tcPr>
          <w:p>
            <w:pPr>
              <w:spacing w:line="240" w:lineRule="auto"/>
            </w:pPr>
            <w:r>
              <w:rPr>
                <w:rFonts w:ascii="Times New Roman" w:hAnsi="Times New Roman"/>
                <w:sz w:val="20"/>
              </w:rPr>
              <w:t>Figure 2.1</w:t>
            </w:r>
          </w:p>
        </w:tc>
        <w:tc>
          <w:tcPr>
            <w:tcW w:type="dxa" w:w="2880"/>
          </w:tcPr>
          <w:p>
            <w:pPr>
              <w:spacing w:line="240" w:lineRule="auto"/>
            </w:pPr>
            <w:r>
              <w:rPr>
                <w:rFonts w:ascii="Times New Roman" w:hAnsi="Times New Roman"/>
                <w:sz w:val="20"/>
              </w:rPr>
              <w:t>Conceptual Model</w:t>
            </w:r>
          </w:p>
        </w:tc>
        <w:tc>
          <w:tcPr>
            <w:tcW w:type="dxa" w:w="2880"/>
          </w:tcPr>
          <w:p>
            <w:pPr>
              <w:spacing w:line="240" w:lineRule="auto"/>
            </w:pPr>
            <w:r>
              <w:rPr>
                <w:rFonts w:ascii="Times New Roman" w:hAnsi="Times New Roman"/>
                <w:sz w:val="20"/>
              </w:rPr>
              <w:t>47</w:t>
            </w:r>
          </w:p>
        </w:tc>
      </w:tr>
      <w:tr>
        <w:tc>
          <w:tcPr>
            <w:tcW w:type="dxa" w:w="2880"/>
          </w:tcPr>
          <w:p>
            <w:pPr>
              <w:spacing w:line="240" w:lineRule="auto"/>
            </w:pPr>
            <w:r>
              <w:rPr>
                <w:rFonts w:ascii="Times New Roman" w:hAnsi="Times New Roman"/>
                <w:sz w:val="20"/>
              </w:rPr>
              <w:t>Figure 4.1</w:t>
            </w:r>
          </w:p>
        </w:tc>
        <w:tc>
          <w:tcPr>
            <w:tcW w:type="dxa" w:w="2880"/>
          </w:tcPr>
          <w:p>
            <w:pPr>
              <w:spacing w:line="240" w:lineRule="auto"/>
            </w:pPr>
            <w:r>
              <w:rPr>
                <w:rFonts w:ascii="Times New Roman" w:hAnsi="Times New Roman"/>
                <w:sz w:val="20"/>
              </w:rPr>
              <w:t>Distribution of Awards by Procurement Design Category</w:t>
            </w:r>
          </w:p>
        </w:tc>
        <w:tc>
          <w:tcPr>
            <w:tcW w:type="dxa" w:w="2880"/>
          </w:tcPr>
          <w:p>
            <w:pPr>
              <w:spacing w:line="240" w:lineRule="auto"/>
            </w:pPr>
            <w:r>
              <w:rPr>
                <w:rFonts w:ascii="Times New Roman" w:hAnsi="Times New Roman"/>
                <w:sz w:val="20"/>
              </w:rPr>
              <w:t>71</w:t>
            </w:r>
          </w:p>
        </w:tc>
      </w:tr>
      <w:tr>
        <w:tc>
          <w:tcPr>
            <w:tcW w:type="dxa" w:w="2880"/>
          </w:tcPr>
          <w:p>
            <w:pPr>
              <w:spacing w:line="240" w:lineRule="auto"/>
            </w:pPr>
            <w:r>
              <w:rPr>
                <w:rFonts w:ascii="Times New Roman" w:hAnsi="Times New Roman"/>
                <w:sz w:val="20"/>
              </w:rPr>
              <w:t>Figure 4.2</w:t>
            </w:r>
          </w:p>
        </w:tc>
        <w:tc>
          <w:tcPr>
            <w:tcW w:type="dxa" w:w="2880"/>
          </w:tcPr>
          <w:p>
            <w:pPr>
              <w:spacing w:line="240" w:lineRule="auto"/>
            </w:pPr>
            <w:r>
              <w:rPr>
                <w:rFonts w:ascii="Times New Roman" w:hAnsi="Times New Roman"/>
                <w:sz w:val="20"/>
              </w:rPr>
              <w:t>Distribution of Award Amounts by Procurement Design</w:t>
            </w:r>
          </w:p>
        </w:tc>
        <w:tc>
          <w:tcPr>
            <w:tcW w:type="dxa" w:w="2880"/>
          </w:tcPr>
          <w:p>
            <w:pPr>
              <w:spacing w:line="240" w:lineRule="auto"/>
            </w:pPr>
            <w:r>
              <w:rPr>
                <w:rFonts w:ascii="Times New Roman" w:hAnsi="Times New Roman"/>
                <w:sz w:val="20"/>
              </w:rPr>
              <w:t>73</w:t>
            </w:r>
          </w:p>
        </w:tc>
      </w:tr>
      <w:tr>
        <w:tc>
          <w:tcPr>
            <w:tcW w:type="dxa" w:w="2880"/>
          </w:tcPr>
          <w:p>
            <w:pPr>
              <w:spacing w:line="240" w:lineRule="auto"/>
            </w:pPr>
            <w:r>
              <w:rPr>
                <w:rFonts w:ascii="Times New Roman" w:hAnsi="Times New Roman"/>
                <w:sz w:val="20"/>
              </w:rPr>
              <w:t>Figure 4.3</w:t>
            </w:r>
          </w:p>
        </w:tc>
        <w:tc>
          <w:tcPr>
            <w:tcW w:type="dxa" w:w="2880"/>
          </w:tcPr>
          <w:p>
            <w:pPr>
              <w:spacing w:line="240" w:lineRule="auto"/>
            </w:pPr>
            <w:r>
              <w:rPr>
                <w:rFonts w:ascii="Times New Roman" w:hAnsi="Times New Roman"/>
                <w:sz w:val="20"/>
              </w:rPr>
              <w:t>Cost Growth Distribution by Procurement Design</w:t>
            </w:r>
          </w:p>
        </w:tc>
        <w:tc>
          <w:tcPr>
            <w:tcW w:type="dxa" w:w="2880"/>
          </w:tcPr>
          <w:p>
            <w:pPr>
              <w:spacing w:line="240" w:lineRule="auto"/>
            </w:pPr>
            <w:r>
              <w:rPr>
                <w:rFonts w:ascii="Times New Roman" w:hAnsi="Times New Roman"/>
                <w:sz w:val="20"/>
              </w:rPr>
              <w:t>79</w:t>
            </w:r>
          </w:p>
        </w:tc>
      </w:tr>
      <w:tr>
        <w:tc>
          <w:tcPr>
            <w:tcW w:type="dxa" w:w="2880"/>
          </w:tcPr>
          <w:p>
            <w:pPr>
              <w:spacing w:line="240" w:lineRule="auto"/>
            </w:pPr>
            <w:r>
              <w:rPr>
                <w:rFonts w:ascii="Times New Roman" w:hAnsi="Times New Roman"/>
                <w:sz w:val="20"/>
              </w:rPr>
              <w:t>Figure 4.4</w:t>
            </w:r>
          </w:p>
        </w:tc>
        <w:tc>
          <w:tcPr>
            <w:tcW w:type="dxa" w:w="2880"/>
          </w:tcPr>
          <w:p>
            <w:pPr>
              <w:spacing w:line="240" w:lineRule="auto"/>
            </w:pPr>
            <w:r>
              <w:rPr>
                <w:rFonts w:ascii="Times New Roman" w:hAnsi="Times New Roman"/>
                <w:sz w:val="20"/>
              </w:rPr>
              <w:t>Single-Bid Rate by Procurement Design Category</w:t>
            </w:r>
          </w:p>
        </w:tc>
        <w:tc>
          <w:tcPr>
            <w:tcW w:type="dxa" w:w="2880"/>
          </w:tcPr>
          <w:p>
            <w:pPr>
              <w:spacing w:line="240" w:lineRule="auto"/>
            </w:pPr>
            <w:r>
              <w:rPr>
                <w:rFonts w:ascii="Times New Roman" w:hAnsi="Times New Roman"/>
                <w:sz w:val="20"/>
              </w:rPr>
              <w:t>83</w:t>
            </w:r>
          </w:p>
        </w:tc>
      </w:tr>
      <w:tr>
        <w:tc>
          <w:tcPr>
            <w:tcW w:type="dxa" w:w="2880"/>
          </w:tcPr>
          <w:p>
            <w:pPr>
              <w:spacing w:line="240" w:lineRule="auto"/>
            </w:pPr>
            <w:r>
              <w:rPr>
                <w:rFonts w:ascii="Times New Roman" w:hAnsi="Times New Roman"/>
                <w:sz w:val="20"/>
              </w:rPr>
              <w:t>Figure 4.5</w:t>
            </w:r>
          </w:p>
        </w:tc>
        <w:tc>
          <w:tcPr>
            <w:tcW w:type="dxa" w:w="2880"/>
          </w:tcPr>
          <w:p>
            <w:pPr>
              <w:spacing w:line="240" w:lineRule="auto"/>
            </w:pPr>
            <w:r>
              <w:rPr>
                <w:rFonts w:ascii="Times New Roman" w:hAnsi="Times New Roman"/>
                <w:sz w:val="20"/>
              </w:rPr>
              <w:t>Distribution of Number of Offers Received</w:t>
            </w:r>
          </w:p>
        </w:tc>
        <w:tc>
          <w:tcPr>
            <w:tcW w:type="dxa" w:w="2880"/>
          </w:tcPr>
          <w:p>
            <w:pPr>
              <w:spacing w:line="240" w:lineRule="auto"/>
            </w:pPr>
            <w:r>
              <w:rPr>
                <w:rFonts w:ascii="Times New Roman" w:hAnsi="Times New Roman"/>
                <w:sz w:val="20"/>
              </w:rPr>
              <w:t>84</w:t>
            </w:r>
          </w:p>
        </w:tc>
      </w:tr>
      <w:tr>
        <w:tc>
          <w:tcPr>
            <w:tcW w:type="dxa" w:w="2880"/>
          </w:tcPr>
          <w:p>
            <w:pPr>
              <w:spacing w:line="240" w:lineRule="auto"/>
            </w:pPr>
            <w:r>
              <w:rPr>
                <w:rFonts w:ascii="Times New Roman" w:hAnsi="Times New Roman"/>
                <w:sz w:val="20"/>
              </w:rPr>
              <w:t>Figure 4.6</w:t>
            </w:r>
          </w:p>
        </w:tc>
        <w:tc>
          <w:tcPr>
            <w:tcW w:type="dxa" w:w="2880"/>
          </w:tcPr>
          <w:p>
            <w:pPr>
              <w:spacing w:line="240" w:lineRule="auto"/>
            </w:pPr>
            <w:r>
              <w:rPr>
                <w:rFonts w:ascii="Times New Roman" w:hAnsi="Times New Roman"/>
                <w:sz w:val="20"/>
              </w:rPr>
              <w:t>Propensity Score Distribution Before and After Matching</w:t>
            </w:r>
          </w:p>
        </w:tc>
        <w:tc>
          <w:tcPr>
            <w:tcW w:type="dxa" w:w="2880"/>
          </w:tcPr>
          <w:p>
            <w:pPr>
              <w:spacing w:line="240" w:lineRule="auto"/>
            </w:pPr>
            <w:r>
              <w:rPr>
                <w:rFonts w:ascii="Times New Roman" w:hAnsi="Times New Roman"/>
                <w:sz w:val="20"/>
              </w:rPr>
              <w:t>76</w:t>
            </w:r>
          </w:p>
        </w:tc>
      </w:tr>
      <w:tr>
        <w:tc>
          <w:tcPr>
            <w:tcW w:type="dxa" w:w="2880"/>
          </w:tcPr>
          <w:p>
            <w:pPr>
              <w:spacing w:line="240" w:lineRule="auto"/>
            </w:pPr>
            <w:r>
              <w:rPr>
                <w:rFonts w:ascii="Times New Roman" w:hAnsi="Times New Roman"/>
                <w:sz w:val="20"/>
              </w:rPr>
              <w:t>Figure 4.7</w:t>
            </w:r>
          </w:p>
        </w:tc>
        <w:tc>
          <w:tcPr>
            <w:tcW w:type="dxa" w:w="2880"/>
          </w:tcPr>
          <w:p>
            <w:pPr>
              <w:spacing w:line="240" w:lineRule="auto"/>
            </w:pPr>
            <w:r>
              <w:rPr>
                <w:rFonts w:ascii="Times New Roman" w:hAnsi="Times New Roman"/>
                <w:sz w:val="20"/>
              </w:rPr>
              <w:t>Covariate Balance Before and After Matching</w:t>
            </w:r>
          </w:p>
        </w:tc>
        <w:tc>
          <w:tcPr>
            <w:tcW w:type="dxa" w:w="2880"/>
          </w:tcPr>
          <w:p>
            <w:pPr>
              <w:spacing w:line="240" w:lineRule="auto"/>
            </w:pPr>
            <w:r>
              <w:rPr>
                <w:rFonts w:ascii="Times New Roman" w:hAnsi="Times New Roman"/>
                <w:sz w:val="20"/>
              </w:rPr>
              <w:t>78</w:t>
            </w:r>
          </w:p>
        </w:tc>
      </w:tr>
      <w:tr>
        <w:tc>
          <w:tcPr>
            <w:tcW w:type="dxa" w:w="2880"/>
          </w:tcPr>
          <w:p>
            <w:pPr>
              <w:spacing w:line="240" w:lineRule="auto"/>
            </w:pPr>
            <w:r>
              <w:rPr>
                <w:rFonts w:ascii="Times New Roman" w:hAnsi="Times New Roman"/>
                <w:sz w:val="20"/>
              </w:rPr>
              <w:t>Figure 4.8</w:t>
            </w:r>
          </w:p>
        </w:tc>
        <w:tc>
          <w:tcPr>
            <w:tcW w:type="dxa" w:w="2880"/>
          </w:tcPr>
          <w:p>
            <w:pPr>
              <w:spacing w:line="240" w:lineRule="auto"/>
            </w:pPr>
            <w:r>
              <w:rPr>
                <w:rFonts w:ascii="Times New Roman" w:hAnsi="Times New Roman"/>
                <w:sz w:val="20"/>
              </w:rPr>
              <w:t>Marginal Effect of Quality-Evaluating Design by Award Size</w:t>
            </w:r>
          </w:p>
        </w:tc>
        <w:tc>
          <w:tcPr>
            <w:tcW w:type="dxa" w:w="2880"/>
          </w:tcPr>
          <w:p>
            <w:pPr>
              <w:spacing w:line="240" w:lineRule="auto"/>
            </w:pPr>
            <w:r>
              <w:rPr>
                <w:rFonts w:ascii="Times New Roman" w:hAnsi="Times New Roman"/>
                <w:sz w:val="20"/>
              </w:rPr>
              <w:t>86</w:t>
            </w:r>
          </w:p>
        </w:tc>
      </w:tr>
    </w:tbl>
    <w:p>
      <w:r>
        <w:br w:type="page"/>
      </w:r>
    </w:p>
    <w:p>
      <w:pPr>
        <w:pStyle w:val="Heading1"/>
      </w:pPr>
      <w:r>
        <w:rPr>
          <w:rFonts w:ascii="Times New Roman" w:hAnsi="Times New Roman"/>
          <w:color w:val="000000"/>
        </w:rPr>
        <w:t>Chapter 1: Introduction</w:t>
      </w:r>
    </w:p>
    <w:p>
      <w:pPr>
        <w:pStyle w:val="Heading2"/>
      </w:pPr>
      <w:r>
        <w:rPr>
          <w:rFonts w:ascii="Times New Roman" w:hAnsi="Times New Roman"/>
          <w:color w:val="000000"/>
        </w:rPr>
        <w:t>1.1 Opening: The Scale and Stakes of Public Procurement</w:t>
      </w:r>
    </w:p>
    <w:p>
      <w:pPr>
        <w:ind w:firstLine="720"/>
      </w:pPr>
      <w:r>
        <w:t>Every year, the United States federal government obligates more than $700 billion in contract spending, making it the single largest buyer of goods and services in the world (USAspending.gov, 2025). When state, local, and quasi-governmental expenditures are included, the annual public procurement figure exceeds $2 trillion domestically and approaches $13 trillion globally (OECD, 2019). These sums are not abstract line items in a ledger. They fund the information systems that process veterans' disability claims, the cybersecurity architectures that protect critical infrastructure, the cloud platforms that host census data, and the consulting engagements that advise agencies on organizational transformation. Public procurement, in short, is the mechanism through which democratic governments convert taxpayer revenue into public services, and the rules governing how contracts are awarded determine, in large part, whether those services are delivered effectively, efficiently, and equitably.</w:t>
      </w:r>
    </w:p>
    <w:p>
      <w:pPr>
        <w:ind w:firstLine="720"/>
      </w:pPr>
      <w:r>
        <w:t>Despite the enormity of these expenditures, the academic literature on public procurement remains surprisingly fragmented. Economists have produced elegant models of auction design and contract incentives (Bajari &amp; Tadelis, 2001; Laffont &amp; Tirole, 1993), yet these models frequently abstract away the institutional complexity of real government solicitations. Public administration scholars have examined procurement reform through the lens of governance and accountability (Kelman, 2002; Thai, 2001), but their analyses often lack the large-sample empirical identification strategies that would permit causal inference. Management and strategy scholars have explored buyer-supplier relationships extensively in the private sector (Dyer &amp; Singh, 1998; Williamson, 1985), yet they have given comparatively little attention to the distinctive constraints of public-sector contracting—competitive bidding mandates, transparency requirements, protest mechanisms, and political oversight—that fundamentally alter the dynamics of the exchange. The result is a body of knowledge that is theoretically rich in parts but empirically thin where it matters most: at the intersection of source selection method, contract performance, and public value.</w:t>
      </w:r>
    </w:p>
    <w:p>
      <w:pPr>
        <w:ind w:firstLine="720"/>
      </w:pPr>
      <w:r>
        <w:t>This dissertation addresses that gap. It examines, with large-scale archival data from the Federal Procurement Data System (FPDS) and USAspending.gov, whether the method by which the government selects a contractor—specifically, whether it uses a lowest-price technically acceptable (LPTA) evaluation or a best-value tradeoff analysis—has a measurable effect on the outcomes that taxpayers care about. Those outcomes include not only the initial price paid but also the frequency and magnitude of post-award contract modifications, the timeliness of delivery, the incidence of bid protests, the degree of competitive participation, and the broader concept that Moore (1995) termed "public value": the net benefit that a government action creates for the citizenry it serves.</w:t>
      </w:r>
    </w:p>
    <w:p>
      <w:pPr>
        <w:ind w:firstLine="720"/>
      </w:pPr>
      <w:r>
        <w:t>The question is urgent. Over the past two decades, congressional oversight bodies, inspectors general, and the Government Accountability Office (GAO) have repeatedly flagged concerns about the overuse of LPTA source selection in complex service and technology procurements (Congressional Research Service [CRS], 2024; GAO, 2014). Section 813 of the National Defense Authorization Act (NDAA) for Fiscal Year 2017 imposed statutory restrictions on the Department of Defense's use of LPTA for certain categories of acquisitions, reflecting a legislative judgment that the method was being applied in contexts for which it was ill-suited (Pub. L. 114-328, 2016). Practitioners on both the government and vendor sides of the procurement table have long observed that awarding a complex technology contract to the lowest bidder frequently produces a cascade of downstream costs—change orders, schedule delays, re-competitions, and diminished service quality—that more than offset the initial savings (Rendon &amp; Snider, 2019). Yet rigorous empirical evidence on this question remains scarce, and the policy debate has proceeded largely on the basis of anecdote, case study, and professional intuition.</w:t>
      </w:r>
    </w:p>
    <w:p>
      <w:pPr>
        <w:ind w:firstLine="720"/>
      </w:pPr>
      <w:r>
        <w:t>The international context reinforces the urgency. The Organisation for Economic Co-operation and Development (OECD) has devoted increasing attention to public procurement as a strategic lever for achieving policy objectives that extend beyond cost minimization, including innovation, sustainability, and social equity (OECD, 2009, 2019). The European Union's procurement directives explicitly provide for "most economically advantageous tender" (MEAT) evaluation, which is functionally equivalent to best-value tradeoff, and several member states have moved to restrict lowest-price-only awards for complex services (Malacina et al., 2022). Yet even in jurisdictions that formally embrace value-based evaluation, the gravitational pull of price competition remains strong, and the empirical evidence on the relative performance of different evaluation methods is thin. The gap between procurement policy aspirations and empirical knowledge is a global phenomenon, and closing it requires the kind of rigorous, data-intensive research that this dissertation undertakes.</w:t>
      </w:r>
    </w:p>
    <w:p>
      <w:pPr>
        <w:ind w:firstLine="720"/>
      </w:pPr>
      <w:r>
        <w:t>This study aims to replace intuition with evidence. Drawing on transaction cost economics (Williamson, 1985, 1996), public value theory (Moore, 1995; Benington &amp; Moore, 2011), and the economics of procurement contracts (Bajari &amp; Tadelis, 2001; Bajari, McMillan, &amp; Tadelis, 2009), it constructs a theoretical framework that predicts when and why best-value tradeoff source selection should outperform LPTA—and when it should not. It then tests those predictions using a quasi-experimental research design applied to a comprehensive dataset of federal service and technology contracts awarded between fiscal years 2020 and 2025. The goal is not to declare one source selection method universally superior, but to identify the institutional, market, and contractual conditions under which each method maximizes public value, and to provide actionable guidance to policymakers and acquisition professionals.</w:t>
      </w:r>
    </w:p>
    <w:p>
      <w:pPr>
        <w:ind w:firstLine="720"/>
      </w:pPr>
      <w:r>
        <w:t>The stakes of getting this question right are considerable. If best-value tradeoff demonstrably produces superior outcomes for complex acquisitions, then the institutional pressures that push agencies toward LPTA are not merely inconvenient—they are costly, and the cost is borne by the public. Conversely, if the advantages of tradeoff evaluation are modest or contingent on conditions that are difficult to satisfy in practice, then the additional administrative burden it imposes may not be justified, and efforts to restrict LPTA may be misguided. Either way, the policy debate should be informed by evidence rather than assumption, and producing that evidence is the fundamental purpose of this work.</w:t>
      </w:r>
    </w:p>
    <w:p>
      <w:pPr>
        <w:pStyle w:val="Heading2"/>
      </w:pPr>
      <w:r>
        <w:rPr>
          <w:rFonts w:ascii="Times New Roman" w:hAnsi="Times New Roman"/>
          <w:color w:val="000000"/>
        </w:rPr>
        <w:t>1.2 Problem Statement</w:t>
      </w:r>
    </w:p>
    <w:p>
      <w:pPr>
        <w:ind w:firstLine="720"/>
      </w:pPr>
      <w:r>
        <w:t>The Federal Acquisition Regulation (FAR), which governs civilian agency procurement, and its Defense supplement (DFARS) provide contracting officers with two principal methods for evaluating competitive proposals. The first, lowest price technically acceptable (LPTA), establishes a set of minimum technical requirements and awards the contract to the offeror that meets all requirements at the lowest evaluated price. The second, best-value tradeoff, allows the government to conduct a comparative assessment of proposals across multiple evaluation factors—technical approach, management capability, past performance, staffing qualifications, and price—and to award the contract to the offeror whose proposal represents the best overall value, even if that offeror did not submit the lowest price (FAR 15.101-1; FAR 15.101-2).</w:t>
      </w:r>
    </w:p>
    <w:p>
      <w:pPr>
        <w:ind w:firstLine="720"/>
      </w:pPr>
      <w:r>
        <w:t>In principle, the choice between these two methods should be governed by the nature of the requirement. FAR Part 15 instructs contracting officers to use LPTA when the requirement is well-defined, the risk of unsuccessful performance is minimal, and price is the dominant consideration. Best-value tradeoff, by contrast, is appropriate when the requirement is complex, the government values technical or managerial differentiation among offerors, and the consequences of poor performance are significant (FAR 15.101). In practice, however, a number of institutional pressures push agencies toward LPTA even in contexts where the regulation's own logic would counsel a tradeoff approach. These pressures include the desire to minimize protest risk (since LPTA awards are perceived as more defensible), the administrative burden of conducting detailed tradeoff analyses, workforce shortages in the acquisition corps, and political pressure to demonstrate cost discipline (CRS, 2024; Rendon &amp; Snider, 2019).</w:t>
      </w:r>
    </w:p>
    <w:p>
      <w:pPr>
        <w:ind w:firstLine="720"/>
      </w:pPr>
      <w:r>
        <w:t>The consequences of this misalignment between method and context are potentially severe. When a complex, technology-intensive requirement is awarded on the basis of lowest price alone, the winning contractor may have achieved that price by underestimating the scope of work, understaffing the effort, relying on less experienced personnel, or deferring difficult technical challenges to the post-award period. The result is a contract that appears inexpensive at the point of award but accumulates costs over its performance period through modifications, claims, disputes, and—in the worst cases—termination for default and re-procurement. The phenomenon is well documented in the defense acquisition literature (Arena et al., 2006; RAND Corporation, 2013) and has been identified as a significant contributor to the federal government's persistent cost growth problem (GAO, 2020).</w:t>
      </w:r>
    </w:p>
    <w:p>
      <w:pPr>
        <w:ind w:firstLine="720"/>
      </w:pPr>
      <w:r>
        <w:t xml:space="preserve">The problem, stated formally, is as follows: </w:t>
      </w:r>
      <w:r>
        <w:rPr>
          <w:b/>
        </w:rPr>
        <w:t>Lowest-price technically acceptable source selection is the default or strongly favored method in a substantial share of federal service and technology procurements, yet there are strong theoretical reasons and considerable practitioner testimony suggesting that, for complex acquisitions, this method does not maximize public value. The empirical evidence base is insufficient to resolve the question, to quantify the magnitude of the effect, or to identify the boundary conditions under which the relationship holds.</w:t>
      </w:r>
    </w:p>
    <w:p>
      <w:pPr>
        <w:ind w:firstLine="720"/>
      </w:pPr>
      <w:r>
        <w:t>Several specific dimensions of this problem merit elaboration.</w:t>
      </w:r>
    </w:p>
    <w:p>
      <w:pPr>
        <w:ind w:firstLine="720"/>
      </w:pPr>
      <w:r>
        <w:t>First, the relationship between source selection method and post-award contract performance has not been rigorously established with large-sample federal data. Existing studies tend to rely on case analyses, surveys of contracting professionals, or small samples drawn from individual agencies (e.g., Dunn, 2009; Rendon, 2015). While these studies are valuable, they do not permit the kind of statistical identification—controlling for selection effects, contract characteristics, and agency-level heterogeneity—that is necessary to support causal claims.</w:t>
      </w:r>
    </w:p>
    <w:p>
      <w:pPr>
        <w:ind w:firstLine="720"/>
      </w:pPr>
      <w:r>
        <w:t>Second, the role of the bid protest system in shaping procurement outcomes is poorly understood from an empirical standpoint. The GAO sustains approximately 13-15% of the protests it adjudicates on the merits each year (GAO, 2025), but the broader effects of protest activity—on procurement timelines, vendor participation rates, agency risk aversion, and source selection method choice—have not been comprehensively modeled. Calvo et al. (2019) demonstrated that oversight mechanisms can have paradoxical effects on efficiency, and the protest system may represent a case in point.</w:t>
      </w:r>
    </w:p>
    <w:p>
      <w:pPr>
        <w:ind w:firstLine="720"/>
      </w:pPr>
      <w:r>
        <w:t>Third, the quality of the solicitation itself—the clarity of requirements, the coherence of evaluation criteria, the alignment between stated needs and contractual structure—is widely regarded by practitioners as a critical determinant of procurement success, yet it is rarely measured or included in quantitative analyses of contract outcomes (Hawkins et al., 2011; Tkachenko et al., 2018). If solicitation quality is correlated with source selection method (as seems plausible, given that tradeoff evaluations require more detailed solicitation development), then the omission of this variable from prior analyses may have biased estimates of the method's effect.</w:t>
      </w:r>
    </w:p>
    <w:p>
      <w:pPr>
        <w:ind w:firstLine="720"/>
      </w:pPr>
      <w:r>
        <w:t>Fourth, the post-award oversight environment—including contract administration, compliance monitoring, and the layered review processes that characterize federal acquisitions—may interact with source selection method in ways that affect outcomes. A contract awarded through best-value tradeoff may perform better not only because of the selection method itself but also because the more detailed pre-award evaluation generates better information for post-award management. Conversely, the additional oversight layers may impose transaction costs that offset any performance gains (Calvo et al., 2019; Girth, 2014).</w:t>
      </w:r>
    </w:p>
    <w:p>
      <w:pPr>
        <w:ind w:firstLine="720"/>
      </w:pPr>
      <w:r>
        <w:t>Fifth, the incumbency dynamics embedded in many federal procurements create a structural challenge that interacts with source selection method. When solicitation requirements are written in ways that closely mirror an incumbent contractor's existing approach, new entrants face a disadvantage that may reduce competition and innovation regardless of the evaluation method used (Yukins, 2008). Understanding how RFP design features that advantage incumbents interact with source selection method is essential for a complete picture of the procurement value equation.</w:t>
      </w:r>
    </w:p>
    <w:p>
      <w:pPr>
        <w:ind w:firstLine="720"/>
      </w:pPr>
      <w:r>
        <w:t>Sixth, and most broadly, the concept of "public value" itself remains underoperationalized in the procurement context. Moore's (1995) original formulation of public value was developed in the context of strategic management in government and was not intended as an empirical measurement framework for contract outcomes. Subsequent scholars have elaborated the concept in various directions—emphasizing democratic legitimacy (Bozeman, 2007), co-production (Alford, 2009), and network governance (Bryson et al., 2014)—but the operationalization of public value as a set of measurable procurement outcome indicators remains an open challenge. Without a credible operationalization, claims about which source selection method better serves the public interest remain unanchored. This study addresses the operationalization challenge by constructing a multi-dimensional outcome framework grounded in both theoretical considerations and the practical realities of available data.</w:t>
      </w:r>
    </w:p>
    <w:p>
      <w:pPr>
        <w:ind w:firstLine="720"/>
      </w:pPr>
      <w:r>
        <w:t>These six dimensions of the problem—source selection method effects, protest system impacts, solicitation quality, oversight costs, incumbency dynamics, and public value operationalization—are interconnected. They constitute a system of institutional and market factors that collectively determine whether a given procurement achieves its potential for creating public value. This dissertation examines that system empirically, with the aim of producing evidence that is both academically rigorous and practically useful.</w:t>
      </w:r>
    </w:p>
    <w:p>
      <w:pPr>
        <w:pStyle w:val="Heading2"/>
      </w:pPr>
      <w:r>
        <w:rPr>
          <w:rFonts w:ascii="Times New Roman" w:hAnsi="Times New Roman"/>
          <w:color w:val="000000"/>
        </w:rPr>
        <w:t>1.3 Purpose of the Study</w:t>
      </w:r>
    </w:p>
    <w:p>
      <w:pPr>
        <w:ind w:firstLine="720"/>
      </w:pPr>
      <w:r>
        <w:t>The purpose of this study is to empirically test whether best-value tradeoff source selection produces superior public-value outcomes compared to lowest-price technically acceptable (LPTA) evaluation in federal service and technology procurements, and to identify the institutional and market conditions under which this advantage holds. The study advances this purpose through three interrelated objectives.</w:t>
      </w:r>
    </w:p>
    <w:p>
      <w:pPr>
        <w:ind w:firstLine="720"/>
      </w:pPr>
      <w:r>
        <w:t>The first objective is to measure the effect of source selection method on a composite set of public-value outcome variables. Rather than treating contract performance as a single-dimensional construct (e.g., cost growth alone), this study constructs a multi-dimensional outcome framework that includes cost growth (the ratio of final obligated amount to initial award value), modification intensity (the number and cumulative dollar value of post-award modifications), procurement administrative lead time (PALT), competitive participation (the number of offers received), protest incidence and outcomes, and—where data permit—performance ratings from the Contractor Performance Assessment Reporting System (CPARS). This multi-dimensional approach reflects the insight from public value theory that the worth of a government action cannot be reduced to a single metric but must be assessed across the range of outcomes that matter to the public (Moore, 1995; Benington &amp; Moore, 2011).</w:t>
      </w:r>
    </w:p>
    <w:p>
      <w:pPr>
        <w:ind w:firstLine="720"/>
      </w:pPr>
      <w:r>
        <w:t>The second objective is to move beyond simple comparison of means toward causal identification. The central empirical challenge in studying source selection method effects is that the method is not randomly assigned. Contracting officers choose LPTA or tradeoff based on the characteristics of the requirement, the competitive landscape, and agency preferences—factors that are themselves correlated with outcomes. A naive comparison of average outcomes across the two methods would therefore be confounded by selection bias. This study addresses the identification challenge through multiple quasi-experimental strategies, including propensity score matching (PSM) to construct comparable treatment and control groups, difference-in-differences (DiD) analysis exploiting the NDAA Section 813 policy change as a natural experiment, and instrumental variable approaches where suitable instruments can be identified. The use of multiple identification strategies provides a check on the robustness of findings and strengthens the basis for causal inference (Angrist &amp; Pischke, 2009).</w:t>
      </w:r>
    </w:p>
    <w:p>
      <w:pPr>
        <w:ind w:firstLine="720"/>
      </w:pPr>
      <w:r>
        <w:t>The third objective is to examine the moderating and mediating mechanisms through which source selection method affects outcomes. The theoretical framework developed in Chapter 2 predicts that the advantage of best-value tradeoff over LPTA should be greatest when transaction complexity is high, when the requirement involves significant uncertainty or customization, and when the market is characterized by heterogeneous supplier capabilities. Conversely, the advantage should diminish—and LPTA may be preferred—when the requirement is standardized, the market is competitive with homogeneous suppliers, and the government's primary concern is minimizing acquisition cost. By testing these moderating effects, the study moves beyond a binary "which method is better" question to a more nuanced understanding of method-context fit.</w:t>
      </w:r>
    </w:p>
    <w:p>
      <w:pPr>
        <w:ind w:firstLine="720"/>
      </w:pPr>
      <w:r>
        <w:t>The study draws its data from the Federal Procurement Data System-Next Generation (FPDS-NG) and USAspending.gov, which together provide detailed records of every federal contract action above the micro-purchase threshold. The analytic sample is restricted to competitive service and technology contracts above the simplified acquisition threshold ($250,000) awarded in fiscal years 2020 through 2025, with North American Industry Classification System (NAICS) codes in the 541xxx (Professional, Scientific, and Technical Services), 518xxx (Computing Infrastructure Providers, Data Processing, Web Hosting, and Related Services), 511xxx (Publishing Industries, including software), and 561xxx (Administrative and Support Services) categories. These categories were selected because they represent the domains in which the LPTA-versus-tradeoff debate is most consequential—complex, knowledge-intensive services where contractor quality and approach can vary substantially and where the consequences of poor performance extend well beyond the immediate contract.</w:t>
      </w:r>
    </w:p>
    <w:p>
      <w:pPr>
        <w:pStyle w:val="Heading2"/>
      </w:pPr>
      <w:r>
        <w:rPr>
          <w:rFonts w:ascii="Times New Roman" w:hAnsi="Times New Roman"/>
          <w:color w:val="000000"/>
        </w:rPr>
        <w:t>1.4 Research Questions</w:t>
      </w:r>
    </w:p>
    <w:p>
      <w:pPr>
        <w:ind w:firstLine="720"/>
      </w:pPr>
      <w:r>
        <w:t>This dissertation is organized around seven research questions. These questions are sequenced to build cumulatively: the first establishes the primary relationship of interest, the second through sixth explore the mechanisms and boundary conditions, and the seventh synthesizes the findings into policy-relevant guidance.</w:t>
      </w:r>
    </w:p>
    <w:p>
      <w:pPr>
        <w:ind w:firstLine="720"/>
      </w:pPr>
      <w:r>
        <w:rPr>
          <w:b/>
        </w:rPr>
        <w:t>RQ1: Do best-value tradeoff source selection methods produce higher public-value outcomes than LPTA?</w:t>
      </w:r>
    </w:p>
    <w:p>
      <w:pPr>
        <w:ind w:firstLine="720"/>
      </w:pPr>
      <w:r>
        <w:t>This is the central empirical question. "Public-value outcomes" are operationalized as a composite of cost growth, modification intensity, procurement administrative lead time, competitive participation, protest incidence, and available performance ratings. The hypothesis, derived from transaction cost economics and public value theory, is that best-value tradeoff will be associated with superior outcomes on most dimensions for complex service and technology contracts, while the methods will converge in performance for more standardized requirements. This question requires careful attention to the endogeneity of method choice: because contracting officers select the evaluation method based on characteristics of the requirement, naive comparisons may confound method effects with requirement effects. The quasi-experimental strategies described in Chapter 3 are designed to address this identification challenge.</w:t>
      </w:r>
    </w:p>
    <w:p>
      <w:pPr>
        <w:ind w:firstLine="720"/>
      </w:pPr>
      <w:r>
        <w:rPr>
          <w:b/>
        </w:rPr>
        <w:t>RQ2: How do bid-protest and appeal systems affect procurement lead time, vendor participation, and public-value outcomes?</w:t>
      </w:r>
    </w:p>
    <w:p>
      <w:pPr>
        <w:ind w:firstLine="720"/>
      </w:pPr>
      <w:r>
        <w:t>The federal bid protest system, administered primarily by the GAO and the Court of Federal Claims, provides a mechanism for disappointed offerors to challenge award decisions. While the system serves important due-process and accountability functions, it also imposes costs in the form of procurement delays, stay-of-performance orders, and agency risk aversion. This question examines the empirical relationship between protest activity and procurement outcomes, testing whether protest exposure varies by source selection method and whether protest-prone procurements exhibit different outcome profiles.</w:t>
      </w:r>
    </w:p>
    <w:p>
      <w:pPr>
        <w:ind w:firstLine="720"/>
      </w:pPr>
      <w:r>
        <w:rPr>
          <w:b/>
        </w:rPr>
        <w:t>RQ3: How does solicitation quality—specifically, requirements clarity and evaluation criteria alignment—affect bidding behavior, protest incidence, and contract performance?</w:t>
      </w:r>
    </w:p>
    <w:p>
      <w:pPr>
        <w:ind w:firstLine="720"/>
      </w:pPr>
      <w:r>
        <w:t>Solicitation quality is a latent construct that this study approximates through observable indicators including amendment frequency, questions-and-answers volume (where available), evaluation factor specificity, and the degree of alignment between stated requirements and the eventual contract structure. The question examines whether solicitation quality mediates the relationship between source selection method and outcomes, and whether it independently predicts performance.</w:t>
      </w:r>
    </w:p>
    <w:p>
      <w:pPr>
        <w:ind w:firstLine="720"/>
      </w:pPr>
      <w:r>
        <w:rPr>
          <w:b/>
        </w:rPr>
        <w:t>RQ4: What is the net effect of post-award oversight layers on delays, cost growth, and contract performance?</w:t>
      </w:r>
    </w:p>
    <w:p>
      <w:pPr>
        <w:ind w:firstLine="720"/>
      </w:pPr>
      <w:r>
        <w:t>Federal contracts are subject to multiple layers of post-award oversight, including contracting officer technical representative (COTR) monitoring, Defense Contract Audit Agency (DCAA) reviews (for cost-type contracts), inspector general investigations, and congressional reporting requirements. This question asks whether these oversight mechanisms, in the aggregate, improve or impair contract outcomes, and whether their effect differs by source selection method.</w:t>
      </w:r>
    </w:p>
    <w:p>
      <w:pPr>
        <w:ind w:firstLine="720"/>
      </w:pPr>
      <w:r>
        <w:rPr>
          <w:b/>
        </w:rPr>
        <w:t>RQ5: To what extent does reliance on lowest initial price increase the frequency and magnitude of post-award renegotiation and change orders?</w:t>
      </w:r>
    </w:p>
    <w:p>
      <w:pPr>
        <w:ind w:firstLine="720"/>
      </w:pPr>
      <w:r>
        <w:t>A core prediction of transaction cost economics is that contracts awarded on the basis of lowest price will be more susceptible to post-award opportunism, because the winning bidder has an incentive to bid aggressively and recover margin through change orders and contract modifications (Bajari &amp; Tadelis, 2001; Williamson, 1985). This question tests that prediction directly, examining whether LPTA-awarded contracts exhibit higher modification rates and greater cost growth than tradeoff-awarded contracts, controlling for contract type, complexity, and other covariates.</w:t>
      </w:r>
    </w:p>
    <w:p>
      <w:pPr>
        <w:ind w:firstLine="720"/>
      </w:pPr>
      <w:r>
        <w:rPr>
          <w:b/>
        </w:rPr>
        <w:t>RQ6: How do RFP design features that advantage incumbent contractors influence competition, innovation, and public value?</w:t>
      </w:r>
    </w:p>
    <w:p>
      <w:pPr>
        <w:ind w:firstLine="720"/>
      </w:pPr>
      <w:r>
        <w:t>Many federal solicitations contain requirements—such as detailed knowledge of existing systems, transition-period constraints, or security clearance prerequisites—that effectively limit competition to the incumbent and a small number of established firms. This question examines whether such features are more prevalent in LPTA or tradeoff procurements, and whether they affect the competitive dynamics and ultimate outcomes of the procurement.</w:t>
      </w:r>
    </w:p>
    <w:p>
      <w:pPr>
        <w:ind w:firstLine="720"/>
      </w:pPr>
      <w:r>
        <w:rPr>
          <w:b/>
        </w:rPr>
        <w:t>RQ7: Which reforms to current source selection practices most plausibly increase taxpayer value while preserving transparency and due process?</w:t>
      </w:r>
    </w:p>
    <w:p>
      <w:pPr>
        <w:ind w:firstLine="720"/>
      </w:pPr>
      <w:r>
        <w:t>This is an integrative question that draws on the empirical findings from RQ1 through RQ6, combined with the theoretical framework and institutional analysis, to identify policy recommendations. While the primary purpose of the dissertation is empirical rather than prescriptive, the research questions are motivated by a practical concern with improving procurement outcomes, and the final question provides a vehicle for translating findings into actionable guidance. The question is deliberately phrased in terms of "plausibility" rather than "proof," reflecting the reality that policy recommendations must weigh considerations—political feasibility, implementation cost, workforce capacity—that extend beyond the scope of any single empirical study. Nevertheless, evidence-based guidance, even when qualified, is preferable to the current state of affairs, in which source selection policy is shaped primarily by anecdote, tradition, and risk aversion.</w:t>
      </w:r>
    </w:p>
    <w:p>
      <w:pPr>
        <w:ind w:firstLine="720"/>
      </w:pPr>
      <w:r>
        <w:t>The seven research questions are designed to be mutually reinforcing. RQ1 establishes the baseline relationship; RQ2 through RQ6 probe the mechanisms, moderators, and boundary conditions; and RQ7 synthesizes the findings into actionable implications. Together, they represent a comprehensive examination of the source selection question that, to the author's knowledge, has not been attempted in the prior literature at this level of empirical rigor.</w:t>
      </w:r>
    </w:p>
    <w:p>
      <w:pPr>
        <w:pStyle w:val="Heading2"/>
      </w:pPr>
      <w:r>
        <w:rPr>
          <w:rFonts w:ascii="Times New Roman" w:hAnsi="Times New Roman"/>
          <w:color w:val="000000"/>
        </w:rPr>
        <w:t>1.5 Significance of the Study</w:t>
      </w:r>
    </w:p>
    <w:p>
      <w:pPr>
        <w:ind w:firstLine="720"/>
      </w:pPr>
      <w:r>
        <w:t>This study makes four principal contributions to the scholarly and practitioner communities.</w:t>
      </w:r>
    </w:p>
    <w:p>
      <w:pPr>
        <w:pStyle w:val="Heading3"/>
      </w:pPr>
      <w:r>
        <w:rPr>
          <w:rFonts w:ascii="Times New Roman" w:hAnsi="Times New Roman"/>
          <w:color w:val="000000"/>
        </w:rPr>
        <w:t>1.5.1 Theoretical Integration</w:t>
      </w:r>
    </w:p>
    <w:p>
      <w:pPr>
        <w:ind w:firstLine="720"/>
      </w:pPr>
      <w:r>
        <w:t>The first contribution is theoretical. The study integrates three bodies of theory that have developed largely in parallel: public value theory from public administration (Moore, 1995; Benington &amp; Moore, 2011), transaction cost economics from organizational economics (Williamson, 1985, 1996), and the economics of procurement contracts (Bajari &amp; Tadelis, 2001; Bajari et al., 2009; Laffont &amp; Tirole, 1993). Each of these traditions offers important but incomplete insight into the source selection question. Public value theory provides the normative framework—the definition of what "good" procurement outcomes look like—but is largely silent on the microeconomic mechanisms that produce them. Transaction cost economics explains why contractual governance structures matter and predicts when market-based (price-driven) mechanisms will fail, but it does not engage deeply with the distinctive institutional features of public procurement. Procurement economics offers rigorous models of auction design and contract incentives, but these models often assume away the institutional complexity—transparency mandates, protest rights, political oversight—that characterizes real government acquisitions.</w:t>
      </w:r>
    </w:p>
    <w:p>
      <w:pPr>
        <w:ind w:firstLine="720"/>
      </w:pPr>
      <w:r>
        <w:t>By bringing these three traditions into conversation, this dissertation develops a theoretical framework that is both normatively grounded and empirically tractable. The framework predicts not merely that best-value tradeoff "is better" than LPTA in some generic sense, but specifies the conditions—characterized by transaction complexity, asset specificity, uncertainty, and market structure—under which each method is more likely to maximize public value. This conditional prediction is the framework's central contribution, and it distinguishes this study from prior work that has tended to treat source selection method choice as a simple binary.</w:t>
      </w:r>
    </w:p>
    <w:p>
      <w:pPr>
        <w:pStyle w:val="Heading3"/>
      </w:pPr>
      <w:r>
        <w:rPr>
          <w:rFonts w:ascii="Times New Roman" w:hAnsi="Times New Roman"/>
          <w:color w:val="000000"/>
        </w:rPr>
        <w:t>1.5.2 Large-Scale Empirical Evidence</w:t>
      </w:r>
    </w:p>
    <w:p>
      <w:pPr>
        <w:ind w:firstLine="720"/>
      </w:pPr>
      <w:r>
        <w:t>The second contribution is empirical. To the author's knowledge, this is the first study to apply quasi-experimental identification strategies to a comprehensive dataset of federal service and technology contracts for the purpose of estimating the causal effect of source selection method on a multi-dimensional set of public-value outcomes. Prior quantitative studies of federal procurement have tended to focus on defense hardware acquisitions (e.g., Arena et al., 2006; RAND Corporation, 2013), to use simple regression without addressing selection bias (e.g., Dunn, 2009), or to examine single outcome dimensions such as cost growth without considering the full range of public-value indicators. This study's use of FPDS/USAspending data covering fiscal years 2020-2025, combined with propensity score matching, difference-in-differences analysis, and robustness checks, provides a level of empirical rigor that has been absent from the source selection debate.</w:t>
      </w:r>
    </w:p>
    <w:p>
      <w:pPr>
        <w:ind w:firstLine="720"/>
      </w:pPr>
      <w:r>
        <w:t>The dataset itself represents a contribution. The study constructs a research-ready analytic file from raw FPDS and USAspending records, with variables coded for source selection method, contract type, NAICS code, agency, competition level, modification history, and outcome indicators. This dataset, appropriately documented and (where permissible) shared, can support future research on a range of procurement questions beyond those addressed here.</w:t>
      </w:r>
    </w:p>
    <w:p>
      <w:pPr>
        <w:pStyle w:val="Heading3"/>
      </w:pPr>
      <w:r>
        <w:rPr>
          <w:rFonts w:ascii="Times New Roman" w:hAnsi="Times New Roman"/>
          <w:color w:val="000000"/>
        </w:rPr>
        <w:t>1.5.3 Quasi-Experimental Identification</w:t>
      </w:r>
    </w:p>
    <w:p>
      <w:pPr>
        <w:ind w:firstLine="720"/>
      </w:pPr>
      <w:r>
        <w:t>The third contribution is methodological. The study demonstrates the feasibility and value of applying quasi-experimental methods—specifically, propensity score matching and difference-in-differences—to federal procurement data. These methods are well established in economics, education, and health policy research (Angrist &amp; Pischke, 2009; Imbens &amp; Rubin, 2015), but they have been used only sparingly in the procurement context. The NDAA Section 813 policy restriction on LPTA for certain defense acquisitions provides a natural experiment that is particularly well suited to difference-in-differences analysis, because it created an exogenous shift in the source selection method used for affected contract categories while leaving unaffected categories as a comparison group. By exploiting this policy variation, the study can estimate the causal effect of shifting from LPTA to tradeoff in a way that is not confounded by the contracting officer's endogenous method choice.</w:t>
      </w:r>
    </w:p>
    <w:p>
      <w:pPr>
        <w:ind w:firstLine="720"/>
      </w:pPr>
      <w:r>
        <w:t>The methodological contribution extends to the operationalization of "public value" as an empirical construct. While public value theory has generated considerable conceptual discussion (Alford &amp; O'Flynn, 2009; Bryson et al., 2014; Hartley et al., 2017), efforts to measure public value quantitatively have been limited. This study's multi-dimensional outcome framework—combining cost, schedule, competition, protest, and performance indicators—offers one approach to operationalization that other researchers can adapt and extend.</w:t>
      </w:r>
    </w:p>
    <w:p>
      <w:pPr>
        <w:pStyle w:val="Heading3"/>
      </w:pPr>
      <w:r>
        <w:rPr>
          <w:rFonts w:ascii="Times New Roman" w:hAnsi="Times New Roman"/>
          <w:color w:val="000000"/>
        </w:rPr>
        <w:t>1.5.4 Triangulation of Quantitative and Field Evidence</w:t>
      </w:r>
    </w:p>
    <w:p>
      <w:pPr>
        <w:ind w:firstLine="720"/>
      </w:pPr>
      <w:r>
        <w:t>The fourth contribution is practical. The study is designed as the first phase of a larger mixed-methods research program. While this dissertation reports the quantitative, archival analysis, the research questions have been formulated with an eye toward subsequent qualitative investigation. The findings from this phase will inform the design of a second phase involving interviews with contracting officers, program managers, and industry proposal professionals to probe the mechanisms underlying the quantitative patterns. This triangulation strategy—using large-scale data to establish whether an effect exists and field evidence to explain how and why it operates—reflects best practice in applied organizational research (Creswell &amp; Creswell, 2018; Edmondson &amp; McManus, 2007) and enhances the practical relevance of the findings.</w:t>
      </w:r>
    </w:p>
    <w:p>
      <w:pPr>
        <w:ind w:firstLine="720"/>
      </w:pPr>
      <w:r>
        <w:t>For procurement policymakers, the study provides evidence-based guidance on when LPTA is appropriate and when tradeoff evaluation is worth the additional administrative investment. In a political environment in which procurement reform proposals are frequently debated but rarely grounded in rigorous empirical analysis, this evidence has the potential to shift the conversation from ideological preference to data-informed decision-making. For acquisition professionals—contracting officers, program managers, and industry capture and proposal teams—the study offers empirical benchmarks for the downstream costs associated with different source selection approaches, enabling more informed decisions at the critical moment when the acquisition strategy is being developed. For the academic community, it opens a research agenda at the intersection of public value theory, institutional economics, and procurement management that has been underexplored relative to its practical importance.</w:t>
      </w:r>
    </w:p>
    <w:p>
      <w:pPr>
        <w:ind w:firstLine="720"/>
      </w:pPr>
      <w:r>
        <w:t>The significance of this study extends beyond any single finding. Even if the empirical results are nuanced or conditional—as most honest social science is—the act of applying rigorous methods to a question that has been debated for decades on the basis of anecdote and professional judgment represents an advance. The procurement community needs not certainty but calibrated evidence: estimates of effect sizes, identification of boundary conditions, and transparent reporting of the assumptions and limitations that attend any empirical analysis. This dissertation is designed to provide exactly that.</w:t>
      </w:r>
    </w:p>
    <w:p>
      <w:pPr>
        <w:pStyle w:val="Heading2"/>
      </w:pPr>
      <w:r>
        <w:rPr>
          <w:rFonts w:ascii="Times New Roman" w:hAnsi="Times New Roman"/>
          <w:color w:val="000000"/>
        </w:rPr>
        <w:t>1.6 Researcher Positionality and Practical Motivation</w:t>
      </w:r>
    </w:p>
    <w:p>
      <w:pPr>
        <w:ind w:firstLine="720"/>
      </w:pPr>
      <w:r>
        <w:t>Transparency about the researcher's background, assumptions, and motivations is a hallmark of responsible scholarship, particularly when the research addresses questions that intersect with the investigator's professional experience (Creswell &amp; Creswell, 2018). I have spent more than 25 years working in and around government procurement, occupying positions on both the public and vendor sides of the acquisition process. On the government side, I have served in roles that involved developing requirements, participating in source evaluation boards, and managing contracts. On the industry side, I have led proposal strategy and managed the response to more than 20 major federal technology RFP competitions, working with capture teams to interpret solicitations, develop technical approaches, price solutions, and navigate the evaluation process.</w:t>
      </w:r>
    </w:p>
    <w:p>
      <w:pPr>
        <w:ind w:firstLine="720"/>
      </w:pPr>
      <w:r>
        <w:t>This experience gives me intimate familiarity with the phenomena under investigation. I have participated in procurements where a best-value tradeoff evaluation produced a thoughtful, well-reasoned award decision that selected a contractor whose technical approach was demonstrably superior to lower-priced alternatives. I have also participated in procurements where an LPTA evaluation reduced a complex technology requirement to a checklist exercise, eliminated meaningful technical differentiation, and awarded the contract to a bidder whose pricing rested on assumptions that proved untenable in execution. These experiences—and the frustration they engendered—are the practical motivation for this research.</w:t>
      </w:r>
    </w:p>
    <w:p>
      <w:pPr>
        <w:ind w:firstLine="720"/>
      </w:pPr>
      <w:r>
        <w:t>It is important, however, to distinguish between motivation and evidence. My professional experience has shaped the research questions I ask and the theoretical frameworks I find plausible, but it is not offered as evidence for any empirical claim. The dissertation is designed to test propositions about source selection method effects using publicly available archival data and transparent analytic methods that any qualified researcher could replicate. Where my professional knowledge informs the interpretation of results—for example, in understanding why certain patterns appear in the data—I identify those interpretive contributions explicitly and distinguish them from the empirical findings themselves.</w:t>
      </w:r>
    </w:p>
    <w:p>
      <w:pPr>
        <w:ind w:firstLine="720"/>
      </w:pPr>
      <w:r>
        <w:t>I also acknowledge several potential biases that my background may introduce. First, as someone who has spent much of my career on the industry side of procurement, I may be predisposed to view LPTA unfavorably, because LPTA evaluations limit the value that industry proposal teams can demonstrate. I guard against this bias by formulating testable hypotheses, using objective outcome measures derived from government administrative data, and subjecting my analyses to robustness checks designed to detect specification-dependent results. Second, my experience is concentrated in technology and professional services procurements, which may lead me to overgeneralize findings from these categories to procurement as a whole. I address this concern by delimiting the study's scope explicitly and by testing for heterogeneity across contract categories and complexity levels. Third, as a practitioner-scholar, I am motivated by a desire to produce research that is "useful"—that changes practice—which could, if unchecked, lead me to overstate the policy implications of findings that are statistically significant but substantively modest. I commit to reporting effect sizes alongside significance levels and to characterizing the practical significance of results honestly.</w:t>
      </w:r>
    </w:p>
    <w:p>
      <w:pPr>
        <w:ind w:firstLine="720"/>
      </w:pPr>
      <w:r>
        <w:t>The Executive PhD program at the University of Denver's Daniels College of Business is designed precisely for individuals who bring deep professional experience to doctoral research. The program's pedagogy recognizes that practitioner knowledge, when disciplined by rigorous methods and theoretical framing, can generate research questions and interpretive insights that purely academic researchers might miss. My positionality is therefore not a limitation to be apologized for but a resource to be leveraged—carefully, transparently, and in the service of evidence that meets the highest scholarly standards.</w:t>
      </w:r>
    </w:p>
    <w:p>
      <w:pPr>
        <w:pStyle w:val="Heading2"/>
      </w:pPr>
      <w:r>
        <w:rPr>
          <w:rFonts w:ascii="Times New Roman" w:hAnsi="Times New Roman"/>
          <w:color w:val="000000"/>
        </w:rPr>
        <w:t>1.7 Scope and Delimitations</w:t>
      </w:r>
    </w:p>
    <w:p>
      <w:pPr>
        <w:ind w:firstLine="720"/>
      </w:pPr>
      <w:r>
        <w:t>Every empirical study involves choices about what to include and exclude, and these choices have consequences for the generalizability of findings. This section describes the study's scope and the rationale for its delimitations.</w:t>
      </w:r>
    </w:p>
    <w:p>
      <w:pPr>
        <w:pStyle w:val="Heading3"/>
      </w:pPr>
      <w:r>
        <w:rPr>
          <w:rFonts w:ascii="Times New Roman" w:hAnsi="Times New Roman"/>
          <w:color w:val="000000"/>
        </w:rPr>
        <w:t>1.7.1 Federal Contracts Only</w:t>
      </w:r>
    </w:p>
    <w:p>
      <w:pPr>
        <w:ind w:firstLine="720"/>
      </w:pPr>
      <w:r>
        <w:t>The study is limited to contracts awarded by United States federal executive-branch agencies. State, local, and tribal government procurements are excluded, as are procurements by legislative and judicial branch entities. This delimitation is driven by data availability: FPDS-NG provides comprehensive, standardized data on federal contract actions, whereas state and local procurement data are fragmented across thousands of jurisdictions with inconsistent data standards. While the theoretical framework developed in Chapter 2 is applicable in principle to any public procurement context, the empirical tests are specific to the federal system, and readers should exercise caution in generalizing findings to other governmental levels.</w:t>
      </w:r>
    </w:p>
    <w:p>
      <w:pPr>
        <w:pStyle w:val="Heading3"/>
      </w:pPr>
      <w:r>
        <w:rPr>
          <w:rFonts w:ascii="Times New Roman" w:hAnsi="Times New Roman"/>
          <w:color w:val="000000"/>
        </w:rPr>
        <w:t>1.7.2 Fiscal Years 2020-2025</w:t>
      </w:r>
    </w:p>
    <w:p>
      <w:pPr>
        <w:ind w:firstLine="720"/>
      </w:pPr>
      <w:r>
        <w:t>The study examines contracts awarded between October 1, 2019 (the start of federal fiscal year 2020) and September 30, 2025 (the end of fiscal year 2025). This six-year window was selected for several reasons. First, it provides a sufficiently large sample to support the statistical methods employed, including subgroup analyses and interaction effects. Second, it encompasses the implementation period for NDAA Section 813 restrictions on LPTA, enabling the difference-in-differences analysis described above. Third, it captures a period of significant disruption and adaptation in federal procurement practices due to the COVID-19 pandemic, which introduced both exogenous shocks to procurement timelines and policy innovations (e.g., expanded use of emergency acquisition flexibilities) that provide additional variation for analysis. Fourth, the data quality and completeness of FPDS records have improved over time, and the post-2019 data are generally more reliable than earlier years.</w:t>
      </w:r>
    </w:p>
    <w:p>
      <w:pPr>
        <w:ind w:firstLine="720"/>
      </w:pPr>
      <w:r>
        <w:t>The choice of this window does, however, impose limitations. Contracts awarded before FY2020 are excluded, which means the study cannot examine long-term trends in source selection method usage or outcomes. Contracts whose performance periods extend beyond the data collection date may have incomplete modification and outcome data. The study addresses this limitation by conducting sensitivity analyses that restrict the sample to contracts with completed or substantially completed performance periods.</w:t>
      </w:r>
    </w:p>
    <w:p>
      <w:pPr>
        <w:pStyle w:val="Heading3"/>
      </w:pPr>
      <w:r>
        <w:rPr>
          <w:rFonts w:ascii="Times New Roman" w:hAnsi="Times New Roman"/>
          <w:color w:val="000000"/>
        </w:rPr>
        <w:t>1.7.3 Service and Technology Categories</w:t>
      </w:r>
    </w:p>
    <w:p>
      <w:pPr>
        <w:ind w:firstLine="720"/>
      </w:pPr>
      <w:r>
        <w:t>The study focuses on contracts in four NAICS code families: 541xxx (Professional, Scientific, and Technical Services), 518xxx (Computing Infrastructure Providers, Data Processing, Web Hosting, and Related Services), 511xxx (Publishing Industries, including software publishing), and 561xxx (Administrative and Support Services). These categories were selected because they represent the procurement domains in which the choice between LPTA and best-value tradeoff is most consequential and most contested. Technology and professional services contracts are characterized by high uncertainty, significant quality variation among contractors, substantial customization requirements, and considerable potential for post-award scope changes—precisely the conditions under which transaction cost economics predicts that price-based selection will be suboptimal (Williamson, 1985, 1996).</w:t>
      </w:r>
    </w:p>
    <w:p>
      <w:pPr>
        <w:ind w:firstLine="720"/>
      </w:pPr>
      <w:r>
        <w:t>The exclusion of other procurement categories—including construction, manufactured goods, weapons systems, and commodities—is intentional. These categories have different competitive dynamics, different sources of cost growth, and different relationships between source selection method and outcomes. While a comprehensive study of source selection across all procurement categories would be valuable, it would require a substantially different research design and is beyond the scope of a single dissertation.</w:t>
      </w:r>
    </w:p>
    <w:p>
      <w:pPr>
        <w:pStyle w:val="Heading3"/>
      </w:pPr>
      <w:r>
        <w:rPr>
          <w:rFonts w:ascii="Times New Roman" w:hAnsi="Times New Roman"/>
          <w:color w:val="000000"/>
        </w:rPr>
        <w:t>1.7.4 Competitive Procurements Above the Simplified Acquisition Threshold</w:t>
      </w:r>
    </w:p>
    <w:p>
      <w:pPr>
        <w:ind w:firstLine="720"/>
      </w:pPr>
      <w:r>
        <w:t>The study includes only competitive procurements—those in which two or more offerors submitted proposals in response to a solicitation—with initial award values above the simplified acquisition threshold (SAT) of $250,000. Sole-source contracts are excluded because the source selection method question is not applicable when there is only one offeror. Contracts below the SAT are excluded because they are subject to simplified acquisition procedures that do not involve formal source selection (FAR Part 13) and because the data quality for these smaller actions is less reliable.</w:t>
      </w:r>
    </w:p>
    <w:p>
      <w:pPr>
        <w:pStyle w:val="Heading3"/>
      </w:pPr>
      <w:r>
        <w:rPr>
          <w:rFonts w:ascii="Times New Roman" w:hAnsi="Times New Roman"/>
          <w:color w:val="000000"/>
        </w:rPr>
        <w:t>1.7.5 Archival Quantitative Analysis</w:t>
      </w:r>
    </w:p>
    <w:p>
      <w:pPr>
        <w:ind w:firstLine="720"/>
      </w:pPr>
      <w:r>
        <w:t>This dissertation reports the results of an archival quantitative analysis using secondary data from FPDS-NG and USAspending.gov. It does not include primary data collection through surveys, interviews, or experiments. As noted above, the study is designed as the first phase of a planned mixed-methods research program; subsequent phases will incorporate qualitative field evidence. The limitation of the current phase to quantitative archival analysis means that some constructs of theoretical interest—such as contracting officer decision-making processes, agency organizational culture, and industry perceptions of solicitation fairness—cannot be directly measured and must be either proxied by observable variables or deferred to future research.</w:t>
      </w:r>
    </w:p>
    <w:p>
      <w:pPr>
        <w:pStyle w:val="Heading3"/>
      </w:pPr>
      <w:r>
        <w:rPr>
          <w:rFonts w:ascii="Times New Roman" w:hAnsi="Times New Roman"/>
          <w:color w:val="000000"/>
        </w:rPr>
        <w:t>1.7.6 Generalizability Considerations</w:t>
      </w:r>
    </w:p>
    <w:p>
      <w:pPr>
        <w:ind w:firstLine="720"/>
      </w:pPr>
      <w:r>
        <w:t>Readers should be attentive to several boundaries on the generalizability of this study's findings. The restriction to federal contracts means that results may not transfer directly to state and local procurement, which operates under different legal frameworks and institutional constraints. The focus on service and technology categories means that findings should not be assumed to hold for construction, manufactured goods, or weapons systems procurement, where cost structures, quality metrics, and competitive dynamics differ substantially. The fiscal year 2020-2025 window encompasses a period marked by the COVID-19 pandemic, supply chain disruptions, and significant workforce changes in the federal acquisition corps; the extent to which findings from this period generalize to more stable conditions is an empirical question that only future research can answer. Finally, while the quasi-experimental methods employed in this study are substantially more rigorous than the descriptive and correlational approaches used in most prior work, they rely on assumptions (e.g., conditional independence in PSM, parallel trends in DiD) that, if violated, could bias the estimates. The robustness checks described in Chapter 3 are designed to probe the sensitivity of results to these assumptions, but no observational study can achieve the certainty of a randomized experiment.</w:t>
      </w:r>
    </w:p>
    <w:p>
      <w:pPr>
        <w:pStyle w:val="Heading2"/>
      </w:pPr>
      <w:r>
        <w:rPr>
          <w:rFonts w:ascii="Times New Roman" w:hAnsi="Times New Roman"/>
          <w:color w:val="000000"/>
        </w:rPr>
        <w:t>1.8 Definition of Key Terms</w:t>
      </w:r>
    </w:p>
    <w:p>
      <w:pPr>
        <w:ind w:firstLine="720"/>
      </w:pPr>
      <w:r>
        <w:t>The following definitions are provided to ensure clarity and consistency in the use of specialized terminology throughout the dissertation.</w:t>
      </w:r>
    </w:p>
    <w:p>
      <w:pPr>
        <w:ind w:firstLine="720"/>
      </w:pPr>
      <w:r>
        <w:rPr>
          <w:b/>
        </w:rPr>
        <w:t>Best-Value Tradeoff.</w:t>
      </w:r>
      <w:r>
        <w:t xml:space="preserve"> A source selection method, authorized under FAR 15.101-1, in which the government evaluates proposals against multiple factors (e.g., technical approach, management capability, past performance, and price) and selects the offeror whose proposal offers the best overall value, considering the relative importance of the evaluation factors. Under this method, the government may award to an offeror other than the one that proposed the lowest price, if the technical or other advantages of the higher-priced proposal are judged to be worth the price premium.</w:t>
      </w:r>
    </w:p>
    <w:p>
      <w:pPr>
        <w:ind w:firstLine="720"/>
      </w:pPr>
      <w:r>
        <w:rPr>
          <w:b/>
        </w:rPr>
        <w:t>Cost Growth.</w:t>
      </w:r>
      <w:r>
        <w:t xml:space="preserve"> The percentage increase in a contract's total obligated amount from the initial award value to the final obligated amount at contract completion. Formally, cost growth is calculated as: (Final Obligated Amount - Initial Award Value) / Initial Award Value x 100. Cost growth may result from contract modifications, change orders, scope changes, claims, or other post-award actions. It is a standard outcome measure in procurement research (Arena et al., 2006; GAO, 2020).</w:t>
      </w:r>
    </w:p>
    <w:p>
      <w:pPr>
        <w:ind w:firstLine="720"/>
      </w:pPr>
      <w:r>
        <w:rPr>
          <w:b/>
        </w:rPr>
        <w:t>Difference-in-Differences (DiD).</w:t>
      </w:r>
      <w:r>
        <w:t xml:space="preserve"> A quasi-experimental statistical method that estimates the causal effect of a treatment or policy change by comparing the change in outcomes over time between a treatment group (affected by the change) and a control group (not affected). In this study, DiD is applied to the NDAA Section 813 policy restricting LPTA in certain defense procurements, comparing outcomes for affected contract categories before and after the policy change to outcomes in unaffected categories over the same period (Angrist &amp; Pischke, 2009).</w:t>
      </w:r>
    </w:p>
    <w:p>
      <w:pPr>
        <w:ind w:firstLine="720"/>
      </w:pPr>
      <w:r>
        <w:rPr>
          <w:b/>
        </w:rPr>
        <w:t>Federal Acquisition Regulation (FAR).</w:t>
      </w:r>
      <w:r>
        <w:t xml:space="preserve"> The principal body of regulations governing the acquisition process for executive-branch federal agencies. The FAR is codified in Title 48 of the Code of Federal Regulations and is issued jointly by the Department of Defense, the General Services Administration, and the National Aeronautics and Space Administration. Part 15 of the FAR addresses contracting by negotiation, including source selection procedures.</w:t>
      </w:r>
    </w:p>
    <w:p>
      <w:pPr>
        <w:ind w:firstLine="720"/>
      </w:pPr>
      <w:r>
        <w:rPr>
          <w:b/>
        </w:rPr>
        <w:t>Federal Procurement Data System-Next Generation (FPDS-NG).</w:t>
      </w:r>
      <w:r>
        <w:t xml:space="preserve"> The U.S. government's central repository for information on federal contract actions. FPDS-NG captures detailed data on each contract award and modification, including the contracting agency, vendor, contract type, competition level, NAICS code, dollar value, and (since 2004) the source selection method used. Data from FPDS-NG are made publicly available through USAspending.gov.</w:t>
      </w:r>
    </w:p>
    <w:p>
      <w:pPr>
        <w:ind w:firstLine="720"/>
      </w:pPr>
      <w:r>
        <w:rPr>
          <w:b/>
        </w:rPr>
        <w:t>Lowest Price Technically Acceptable (LPTA).</w:t>
      </w:r>
      <w:r>
        <w:t xml:space="preserve"> A source selection method, authorized under FAR 15.101-2, in which the government establishes minimum technical requirements (acceptability standards) and awards the contract to the offeror that meets all requirements at the lowest evaluated price. Under LPTA, technical proposals are evaluated on a pass/fail basis; there is no comparative assessment of technical merit among offerors that meet the minimum standards. The method prioritizes price competition over technical differentiation.</w:t>
      </w:r>
    </w:p>
    <w:p>
      <w:pPr>
        <w:ind w:firstLine="720"/>
      </w:pPr>
      <w:r>
        <w:rPr>
          <w:b/>
        </w:rPr>
        <w:t>Modification Intensity.</w:t>
      </w:r>
      <w:r>
        <w:t xml:space="preserve"> The frequency and cumulative dollar value of post-award contract modifications. Modification intensity serves as a proxy for post-award contractual disruption, including scope changes, renegotiations, and change orders. High modification intensity may indicate initial contract incompleteness, post-award opportunism, or unforeseen changes in requirements.</w:t>
      </w:r>
    </w:p>
    <w:p>
      <w:pPr>
        <w:ind w:firstLine="720"/>
      </w:pPr>
      <w:r>
        <w:rPr>
          <w:b/>
        </w:rPr>
        <w:t>Procurement Administrative Lead Time (PALT).</w:t>
      </w:r>
      <w:r>
        <w:t xml:space="preserve"> The elapsed time from the issuance of a solicitation to the award of a contract. PALT is a measure of the efficiency of the procurement process. While longer PALT is not inherently undesirable (a more thorough evaluation may take more time and produce better outcomes), excessive PALT imposes costs on both the government and industry, including delayed capability delivery, increased proposal costs, and workforce planning uncertainty. The Office of Federal Procurement Policy tracks PALT as a key procurement performance metric.</w:t>
      </w:r>
    </w:p>
    <w:p>
      <w:pPr>
        <w:ind w:firstLine="720"/>
      </w:pPr>
      <w:r>
        <w:rPr>
          <w:b/>
        </w:rPr>
        <w:t>Propensity Score Matching (PSM).</w:t>
      </w:r>
      <w:r>
        <w:t xml:space="preserve"> A statistical technique used to reduce selection bias in observational studies by matching treated and untreated observations on their estimated probability (propensity score) of receiving the treatment, conditional on observed covariates. In this study, PSM is used to match LPTA-awarded contracts with best-value tradeoff-awarded contracts that have similar observable characteristics (agency, NAICS code, contract value, competition level, and year), so that differences in outcomes can be more credibly attributed to the source selection method rather than to confounding factors (Rosenbaum &amp; Rubin, 1983).</w:t>
      </w:r>
    </w:p>
    <w:p>
      <w:pPr>
        <w:ind w:firstLine="720"/>
      </w:pPr>
      <w:r>
        <w:rPr>
          <w:b/>
        </w:rPr>
        <w:t>Public Value.</w:t>
      </w:r>
      <w:r>
        <w:t xml:space="preserve"> The net benefit that a government action, policy, or program creates for the citizenry. The concept, introduced by Moore (1995) and elaborated by Benington and Moore (2011), extends beyond economic efficiency to encompass fairness, accountability, trust, and the substantive quality of public services. In the procurement context, public value encompasses not only cost economy but also contract performance quality, competitive access, procedural fairness, and the alignment of procurement outcomes with broader public interests. This study operationalizes public value through a multi-dimensional outcome framework that captures these diverse elements.</w:t>
      </w:r>
    </w:p>
    <w:p>
      <w:pPr>
        <w:ind w:firstLine="720"/>
      </w:pPr>
      <w:r>
        <w:rPr>
          <w:b/>
        </w:rPr>
        <w:t>Source Selection.</w:t>
      </w:r>
      <w:r>
        <w:t xml:space="preserve"> The process by which the government evaluates competing proposals or bids and selects a contractor for award. Source selection is governed by FAR Part 15 for negotiated procurements and includes the appointment of a source selection authority (SSA), the establishment of evaluation criteria, the evaluation of proposals, and the award decision. The two principal source selection methods for negotiated procurements are best-value tradeoff and LPTA.</w:t>
      </w:r>
    </w:p>
    <w:p>
      <w:pPr>
        <w:ind w:firstLine="720"/>
      </w:pPr>
      <w:r>
        <w:rPr>
          <w:b/>
        </w:rPr>
        <w:t>USAspending.gov.</w:t>
      </w:r>
      <w:r>
        <w:t xml:space="preserve"> The official public database of federal spending information, mandated by the Federal Funding Accountability and Transparency Act of 2006 and the Digital Accountability and Transparency Act (DATA Act) of 2014. USAspending.gov integrates data from FPDS-NG with other federal financial data sources and provides a publicly accessible interface for searching and downloading federal contract, grant, loan, and other spending data.</w:t>
      </w:r>
    </w:p>
    <w:p>
      <w:pPr>
        <w:pStyle w:val="Heading2"/>
      </w:pPr>
      <w:r>
        <w:rPr>
          <w:rFonts w:ascii="Times New Roman" w:hAnsi="Times New Roman"/>
          <w:color w:val="000000"/>
        </w:rPr>
        <w:t>1.9 Organization of the Dissertation</w:t>
      </w:r>
    </w:p>
    <w:p>
      <w:pPr>
        <w:ind w:firstLine="720"/>
      </w:pPr>
      <w:r>
        <w:t>The remainder of this dissertation is organized into four chapters.</w:t>
      </w:r>
    </w:p>
    <w:p>
      <w:pPr>
        <w:ind w:firstLine="720"/>
      </w:pPr>
      <w:r>
        <w:rPr>
          <w:b/>
        </w:rPr>
        <w:t>Chapter 2: Literature Review and Theoretical Framework.</w:t>
      </w:r>
      <w:r>
        <w:t xml:space="preserve"> Chapter 2 reviews the scholarly literatures on public value theory, transaction cost economics, procurement contract design, and public procurement institutions, with particular attention to the empirical evidence on source selection method effects. The review is organized into four major streams: (a) the public value literature, tracing the concept from Moore's (1995) original formulation through subsequent elaborations and critiques; (b) transaction cost economics as applied to contractual governance, with emphasis on Williamson's (1985, 1996) framework and its predictions about the conditions under which market-based versus hierarchy-based governance mechanisms are efficient; (c) the economics of procurement contracts, including auction theory, contract design, and the empirical work of Bajari and Tadelis (2001) and Bajari et al. (2009) on the choice between competitive bidding and negotiation; and (d) the institutional and regulatory context of federal procurement, including the FAR framework, the bid protest system, and recent reform efforts. The chapter develops an integrated theoretical framework that combines insights from these traditions to generate testable predictions about when and why best-value tradeoff should outperform LPTA. It also identifies the gaps in the existing literature that the study's research questions are designed to address. The chapter concludes with the formal hypotheses that the empirical analysis will test.</w:t>
      </w:r>
    </w:p>
    <w:p>
      <w:pPr>
        <w:ind w:firstLine="720"/>
      </w:pPr>
      <w:r>
        <w:rPr>
          <w:b/>
        </w:rPr>
        <w:t>Chapter 3: Research Methodology.</w:t>
      </w:r>
      <w:r>
        <w:t xml:space="preserve"> Chapter 3 describes the research design, data sources, sample construction, variable operationalization, and analytic methods in detail. The chapter begins by situating the study within the post-positivist research paradigm and justifying the quantitative, archival approach. It then describes the FPDS-NG and USAspending.gov data sources, the procedures used to construct the analytic sample, and the operationalization of all independent, dependent, moderating, and control variables. The core of the chapter explains the rationale for the quasi-experimental approach, describes the propensity score matching and difference-in-differences strategies, presents the regression specifications, and discusses threats to internal and external validity. Particular attention is given to the assumptions underlying each identification strategy and the sensitivity analyses designed to assess whether violations of those assumptions could alter the substantive conclusions. The chapter also addresses the ethical considerations associated with the use of publicly available administrative data and the study's compliance with the University of Denver's Institutional Review Board requirements.</w:t>
      </w:r>
    </w:p>
    <w:p>
      <w:pPr>
        <w:ind w:firstLine="720"/>
      </w:pPr>
      <w:r>
        <w:rPr>
          <w:b/>
        </w:rPr>
        <w:t>Chapter 4: Results.</w:t>
      </w:r>
      <w:r>
        <w:t xml:space="preserve"> Chapter 4 presents the empirical findings, organized by research question. The chapter begins with descriptive statistics and visualizations that characterize the sample and illustrate key patterns in the data, including the distribution of source selection methods across agencies, NAICS codes, and fiscal years, and the univariate relationships between method choice and outcome variables. It then reports the results of the propensity score matching analysis, including covariate balance diagnostics and average treatment effect estimates; the difference-in-differences estimates exploiting the NDAA Section 813 policy change; and the regression models with interaction terms that test the moderating hypotheses. Sensitivity analyses and robustness checks—including alternative matching specifications, placebo tests, and subgroup analyses—are presented alongside the primary results. Each set of results is interpreted in relation to the theoretical predictions and research hypotheses developed in Chapter 2.</w:t>
      </w:r>
    </w:p>
    <w:p>
      <w:pPr>
        <w:ind w:firstLine="720"/>
      </w:pPr>
      <w:r>
        <w:rPr>
          <w:b/>
        </w:rPr>
        <w:t>Chapter 5: Discussion and Conclusions.</w:t>
      </w:r>
      <w:r>
        <w:t xml:space="preserve"> Chapter 5 synthesizes the empirical findings, discusses their implications for theory, policy, and practice, acknowledges the study's limitations, and identifies directions for future research. The chapter returns to the research questions posed in this introduction and provides integrated answers based on the totality of the evidence. It discusses the theoretical implications for public value theory, transaction cost economics, and procurement contract design, identifying areas where the findings confirm, extend, or challenge existing theory. It also offers specific, evidence-based recommendations for acquisition policymakers and practitioners, addressing Research Question 7. The chapter discusses the study's limitations with candor, distinguishing between limitations that can be addressed in future research and those that are inherent to the archival quantitative approach. It concludes with a reflection on the study's contribution to the broader project of improving public procurement and enhancing public value, and outlines a research agenda for the next phase of investigation.</w:t>
      </w:r>
    </w:p>
    <w:p>
      <w:pPr>
        <w:pStyle w:val="Heading2"/>
      </w:pPr>
      <w:r>
        <w:rPr>
          <w:rFonts w:ascii="Times New Roman" w:hAnsi="Times New Roman"/>
          <w:color w:val="000000"/>
        </w:rPr>
        <w:t>References</w:t>
      </w:r>
    </w:p>
    <w:p>
      <w:pPr>
        <w:ind w:firstLine="720"/>
      </w:pPr>
      <w:r>
        <w:t xml:space="preserve">Alford, J. (2009). </w:t>
      </w:r>
      <w:r>
        <w:rPr>
          <w:i/>
        </w:rPr>
        <w:t>Engaging public sector clients: From service delivery to co-production</w:t>
      </w:r>
      <w:r>
        <w:t>. Palgrave Macmillan.</w:t>
      </w:r>
    </w:p>
    <w:p>
      <w:pPr>
        <w:ind w:firstLine="720"/>
      </w:pPr>
      <w:r>
        <w:t xml:space="preserve">Alford, J., &amp; O'Flynn, J. (2009). Making sense of public value: Concepts, critiques and emergent meanings. </w:t>
      </w:r>
      <w:r>
        <w:rPr>
          <w:i/>
        </w:rPr>
        <w:t>International Journal of Public Administration</w:t>
      </w:r>
      <w:r>
        <w:t xml:space="preserve">, </w:t>
      </w:r>
      <w:r>
        <w:rPr>
          <w:i/>
        </w:rPr>
        <w:t>32</w:t>
      </w:r>
      <w:r>
        <w:t>(3-4), 171-207. https://doi.org/10.1080/01900690902732731</w:t>
      </w:r>
    </w:p>
    <w:p>
      <w:pPr>
        <w:ind w:firstLine="720"/>
      </w:pPr>
      <w:r>
        <w:t xml:space="preserve">Angrist, J. D., &amp; Pischke, J.-S. (2009). </w:t>
      </w:r>
      <w:r>
        <w:rPr>
          <w:i/>
        </w:rPr>
        <w:t>Mostly harmless econometrics: An empiricist's companion</w:t>
      </w:r>
      <w:r>
        <w:t>. Princeton University Press.</w:t>
      </w:r>
    </w:p>
    <w:p>
      <w:pPr>
        <w:ind w:firstLine="720"/>
      </w:pPr>
      <w:r>
        <w:t xml:space="preserve">Arena, M. V., Leonard, R. S., Murray, S. E., &amp; Younossi, O. (2006). </w:t>
      </w:r>
      <w:r>
        <w:rPr>
          <w:i/>
        </w:rPr>
        <w:t>Historical cost growth of completed weapon system programs</w:t>
      </w:r>
      <w:r>
        <w:t>. RAND Corporation.</w:t>
      </w:r>
    </w:p>
    <w:p>
      <w:pPr>
        <w:ind w:firstLine="720"/>
      </w:pPr>
      <w:r>
        <w:t xml:space="preserve">Bajari, P., McMillan, R., &amp; Tadelis, S. (2009). Auctions versus negotiations in procurement: An empirical analysis. </w:t>
      </w:r>
      <w:r>
        <w:rPr>
          <w:i/>
        </w:rPr>
        <w:t>Journal of Law, Economics, and Organization</w:t>
      </w:r>
      <w:r>
        <w:t xml:space="preserve">, </w:t>
      </w:r>
      <w:r>
        <w:rPr>
          <w:i/>
        </w:rPr>
        <w:t>25</w:t>
      </w:r>
      <w:r>
        <w:t>(2), 372-399. https://doi.org/10.1093/jleo/ewn002</w:t>
      </w:r>
    </w:p>
    <w:p>
      <w:pPr>
        <w:ind w:firstLine="720"/>
      </w:pPr>
      <w:r>
        <w:t xml:space="preserve">Bajari, P., &amp; Tadelis, S. (2001). Incentives versus transaction costs: A theory of procurement contracts. </w:t>
      </w:r>
      <w:r>
        <w:rPr>
          <w:i/>
        </w:rPr>
        <w:t>RAND Journal of Economics</w:t>
      </w:r>
      <w:r>
        <w:t xml:space="preserve">, </w:t>
      </w:r>
      <w:r>
        <w:rPr>
          <w:i/>
        </w:rPr>
        <w:t>32</w:t>
      </w:r>
      <w:r>
        <w:t>(3), 387-407. https://doi.org/10.2307/2696361</w:t>
      </w:r>
    </w:p>
    <w:p>
      <w:pPr>
        <w:ind w:firstLine="720"/>
      </w:pPr>
      <w:r>
        <w:t xml:space="preserve">Benington, J., &amp; Moore, M. H. (Eds.). (2011). </w:t>
      </w:r>
      <w:r>
        <w:rPr>
          <w:i/>
        </w:rPr>
        <w:t>Public value: Theory and practice</w:t>
      </w:r>
      <w:r>
        <w:t>. Palgrave Macmillan.</w:t>
      </w:r>
    </w:p>
    <w:p>
      <w:pPr>
        <w:ind w:firstLine="720"/>
      </w:pPr>
      <w:r>
        <w:t xml:space="preserve">Bozeman, B. (2007). </w:t>
      </w:r>
      <w:r>
        <w:rPr>
          <w:i/>
        </w:rPr>
        <w:t>Public values and public interest: Counterbalancing economic individualism</w:t>
      </w:r>
      <w:r>
        <w:t>. Georgetown University Press.</w:t>
      </w:r>
    </w:p>
    <w:p>
      <w:pPr>
        <w:ind w:firstLine="720"/>
      </w:pPr>
      <w:r>
        <w:t xml:space="preserve">Bryson, J. M., Crosby, B. C., &amp; Bloomberg, L. (2014). Public value governance: Moving beyond traditional public administration and the new public management. </w:t>
      </w:r>
      <w:r>
        <w:rPr>
          <w:i/>
        </w:rPr>
        <w:t>Public Administration Review</w:t>
      </w:r>
      <w:r>
        <w:t xml:space="preserve">, </w:t>
      </w:r>
      <w:r>
        <w:rPr>
          <w:i/>
        </w:rPr>
        <w:t>74</w:t>
      </w:r>
      <w:r>
        <w:t>(4), 445-456. https://doi.org/10.1111/puar.12238</w:t>
      </w:r>
    </w:p>
    <w:p>
      <w:pPr>
        <w:ind w:firstLine="720"/>
      </w:pPr>
      <w:r>
        <w:t xml:space="preserve">Calvo, E., Cui, R., &amp; Serpa, J. C. (2019). Oversight and efficiency in public projects: A regression discontinuity analysis. </w:t>
      </w:r>
      <w:r>
        <w:rPr>
          <w:i/>
        </w:rPr>
        <w:t>Management Science</w:t>
      </w:r>
      <w:r>
        <w:t xml:space="preserve">, </w:t>
      </w:r>
      <w:r>
        <w:rPr>
          <w:i/>
        </w:rPr>
        <w:t>65</w:t>
      </w:r>
      <w:r>
        <w:t>(12), 5651-5675. https://doi.org/10.1287/mnsc.2018.3214</w:t>
      </w:r>
    </w:p>
    <w:p>
      <w:pPr>
        <w:ind w:firstLine="720"/>
      </w:pPr>
      <w:r>
        <w:t xml:space="preserve">Congressional Research Service. (2024). </w:t>
      </w:r>
      <w:r>
        <w:rPr>
          <w:i/>
        </w:rPr>
        <w:t>Lowest price technically acceptable source selection in federal procurement</w:t>
      </w:r>
      <w:r>
        <w:t xml:space="preserve"> (Report No. R45860). https://crsreports.congress.gov</w:t>
      </w:r>
    </w:p>
    <w:p>
      <w:pPr>
        <w:ind w:firstLine="720"/>
      </w:pPr>
      <w:r>
        <w:t xml:space="preserve">Creswell, J. W., &amp; Creswell, J. D. (2018). </w:t>
      </w:r>
      <w:r>
        <w:rPr>
          <w:i/>
        </w:rPr>
        <w:t>Research design: Qualitative, quantitative, and mixed methods approaches</w:t>
      </w:r>
      <w:r>
        <w:t xml:space="preserve"> (5th ed.). SAGE.</w:t>
      </w:r>
    </w:p>
    <w:p>
      <w:pPr>
        <w:ind w:firstLine="720"/>
      </w:pPr>
      <w:r>
        <w:t xml:space="preserve">Dunn, R. L. (2009). </w:t>
      </w:r>
      <w:r>
        <w:rPr>
          <w:i/>
        </w:rPr>
        <w:t>Best value versus lowest price: An analysis of source selection outcomes</w:t>
      </w:r>
      <w:r>
        <w:t>. Defense Acquisition University.</w:t>
      </w:r>
    </w:p>
    <w:p>
      <w:pPr>
        <w:ind w:firstLine="720"/>
      </w:pPr>
      <w:r>
        <w:t xml:space="preserve">Dyer, J. H., &amp; Singh, H. (1998). The relational view: Cooperative strategy and sources of interorganizational competitive advantage. </w:t>
      </w:r>
      <w:r>
        <w:rPr>
          <w:i/>
        </w:rPr>
        <w:t>Academy of Management Review</w:t>
      </w:r>
      <w:r>
        <w:t xml:space="preserve">, </w:t>
      </w:r>
      <w:r>
        <w:rPr>
          <w:i/>
        </w:rPr>
        <w:t>23</w:t>
      </w:r>
      <w:r>
        <w:t>(4), 660-679. https://doi.org/10.5465/amr.1998.1255632</w:t>
      </w:r>
    </w:p>
    <w:p>
      <w:pPr>
        <w:ind w:firstLine="720"/>
      </w:pPr>
      <w:r>
        <w:t xml:space="preserve">Edmondson, A. C., &amp; McManus, S. E. (2007). Methodological fit in management field research. </w:t>
      </w:r>
      <w:r>
        <w:rPr>
          <w:i/>
        </w:rPr>
        <w:t>Academy of Management Review</w:t>
      </w:r>
      <w:r>
        <w:t xml:space="preserve">, </w:t>
      </w:r>
      <w:r>
        <w:rPr>
          <w:i/>
        </w:rPr>
        <w:t>32</w:t>
      </w:r>
      <w:r>
        <w:t>(4), 1155-1179. https://doi.org/10.5465/amr.2007.26586086</w:t>
      </w:r>
    </w:p>
    <w:p>
      <w:pPr>
        <w:ind w:firstLine="720"/>
      </w:pPr>
      <w:r>
        <w:t>Federal Acquisition Regulation, 48 C.F.R. ch. 1 (2024).</w:t>
      </w:r>
    </w:p>
    <w:p>
      <w:pPr>
        <w:ind w:firstLine="720"/>
      </w:pPr>
      <w:r>
        <w:t xml:space="preserve">Girth, A. M. (2014). A closer look at contract accountability: Exploring the determinants of sanctions for unsatisfactory contract performance. </w:t>
      </w:r>
      <w:r>
        <w:rPr>
          <w:i/>
        </w:rPr>
        <w:t>Journal of Public Administration Research and Theory</w:t>
      </w:r>
      <w:r>
        <w:t xml:space="preserve">, </w:t>
      </w:r>
      <w:r>
        <w:rPr>
          <w:i/>
        </w:rPr>
        <w:t>24</w:t>
      </w:r>
      <w:r>
        <w:t>(2), 317-348. https://doi.org/10.1093/jopart/mus033</w:t>
      </w:r>
    </w:p>
    <w:p>
      <w:pPr>
        <w:ind w:firstLine="720"/>
      </w:pPr>
      <w:r>
        <w:t xml:space="preserve">Government Accountability Office. (2014). </w:t>
      </w:r>
      <w:r>
        <w:rPr>
          <w:i/>
        </w:rPr>
        <w:t>Federal contracting: Observations on the government's use of LPTA evaluation criteria</w:t>
      </w:r>
      <w:r>
        <w:t xml:space="preserve"> (GAO-14-408). https://www.gao.gov</w:t>
      </w:r>
    </w:p>
    <w:p>
      <w:pPr>
        <w:ind w:firstLine="720"/>
      </w:pPr>
      <w:r>
        <w:t xml:space="preserve">Government Accountability Office. (2020). </w:t>
      </w:r>
      <w:r>
        <w:rPr>
          <w:i/>
        </w:rPr>
        <w:t>Contracting data analysis: Assessment of government-wide trends</w:t>
      </w:r>
      <w:r>
        <w:t xml:space="preserve"> (GAO-20-468). https://www.gao.gov</w:t>
      </w:r>
    </w:p>
    <w:p>
      <w:pPr>
        <w:ind w:firstLine="720"/>
      </w:pPr>
      <w:r>
        <w:t xml:space="preserve">Government Accountability Office. (2025). </w:t>
      </w:r>
      <w:r>
        <w:rPr>
          <w:i/>
        </w:rPr>
        <w:t>Bid protests at GAO: A descriptive guide</w:t>
      </w:r>
      <w:r>
        <w:t xml:space="preserve"> (Annual Report). https://www.gao.gov</w:t>
      </w:r>
    </w:p>
    <w:p>
      <w:pPr>
        <w:ind w:firstLine="720"/>
      </w:pPr>
      <w:r>
        <w:t xml:space="preserve">Hartley, J., Alford, J., Knies, E., &amp; Douglas, S. (2017). Towards an empirical research agenda for public value theory. </w:t>
      </w:r>
      <w:r>
        <w:rPr>
          <w:i/>
        </w:rPr>
        <w:t>Public Management Review</w:t>
      </w:r>
      <w:r>
        <w:t xml:space="preserve">, </w:t>
      </w:r>
      <w:r>
        <w:rPr>
          <w:i/>
        </w:rPr>
        <w:t>19</w:t>
      </w:r>
      <w:r>
        <w:t>(5), 670-685. https://doi.org/10.1080/14719037.2016.1192166</w:t>
      </w:r>
    </w:p>
    <w:p>
      <w:pPr>
        <w:ind w:firstLine="720"/>
      </w:pPr>
      <w:r>
        <w:t xml:space="preserve">Hawkins, T. G., Gravier, M. J., &amp; Powley, E. H. (2011). Public versus private sector procurement ethics and strategy: What each sector can learn from the other. </w:t>
      </w:r>
      <w:r>
        <w:rPr>
          <w:i/>
        </w:rPr>
        <w:t>Journal of Business Ethics</w:t>
      </w:r>
      <w:r>
        <w:t xml:space="preserve">, </w:t>
      </w:r>
      <w:r>
        <w:rPr>
          <w:i/>
        </w:rPr>
        <w:t>103</w:t>
      </w:r>
      <w:r>
        <w:t>(4), 567-586. https://doi.org/10.1007/s10551-011-0881-2</w:t>
      </w:r>
    </w:p>
    <w:p>
      <w:pPr>
        <w:ind w:firstLine="720"/>
      </w:pPr>
      <w:r>
        <w:t xml:space="preserve">Imbens, G. W., &amp; Rubin, D. B. (2015). </w:t>
      </w:r>
      <w:r>
        <w:rPr>
          <w:i/>
        </w:rPr>
        <w:t>Causal inference for statistics, social, and biomedical sciences: An introduction</w:t>
      </w:r>
      <w:r>
        <w:t>. Cambridge University Press.</w:t>
      </w:r>
    </w:p>
    <w:p>
      <w:pPr>
        <w:ind w:firstLine="720"/>
      </w:pPr>
      <w:r>
        <w:t xml:space="preserve">Kelman, S. (2002). Remaking federal procurement. </w:t>
      </w:r>
      <w:r>
        <w:rPr>
          <w:i/>
        </w:rPr>
        <w:t>Public Contract Law Journal</w:t>
      </w:r>
      <w:r>
        <w:t xml:space="preserve">, </w:t>
      </w:r>
      <w:r>
        <w:rPr>
          <w:i/>
        </w:rPr>
        <w:t>31</w:t>
      </w:r>
      <w:r>
        <w:t>(4), 581-622.</w:t>
      </w:r>
    </w:p>
    <w:p>
      <w:pPr>
        <w:ind w:firstLine="720"/>
      </w:pPr>
      <w:r>
        <w:t xml:space="preserve">Laffont, J.-J., &amp; Tirole, J. (1993). </w:t>
      </w:r>
      <w:r>
        <w:rPr>
          <w:i/>
        </w:rPr>
        <w:t>A theory of incentives in procurement and regulation</w:t>
      </w:r>
      <w:r>
        <w:t>. MIT Press.</w:t>
      </w:r>
    </w:p>
    <w:p>
      <w:pPr>
        <w:ind w:firstLine="720"/>
      </w:pPr>
      <w:r>
        <w:t xml:space="preserve">Malacina, I., Karttunen, E., Bruijn, I., &amp; Gunasekaran, A. (2022). Value creation in public procurement: A conceptual framework. </w:t>
      </w:r>
      <w:r>
        <w:rPr>
          <w:i/>
        </w:rPr>
        <w:t>Journal of Purchasing and Supply Management</w:t>
      </w:r>
      <w:r>
        <w:t xml:space="preserve">, </w:t>
      </w:r>
      <w:r>
        <w:rPr>
          <w:i/>
        </w:rPr>
        <w:t>28</w:t>
      </w:r>
      <w:r>
        <w:t>(4), 100786. https://doi.org/10.1016/j.pursup.2022.100786</w:t>
      </w:r>
    </w:p>
    <w:p>
      <w:pPr>
        <w:ind w:firstLine="720"/>
      </w:pPr>
      <w:r>
        <w:t xml:space="preserve">Moore, M. H. (1995). </w:t>
      </w:r>
      <w:r>
        <w:rPr>
          <w:i/>
        </w:rPr>
        <w:t>Creating public value: Strategic management in government</w:t>
      </w:r>
      <w:r>
        <w:t>. Harvard University Press.</w:t>
      </w:r>
    </w:p>
    <w:p>
      <w:pPr>
        <w:ind w:firstLine="720"/>
      </w:pPr>
      <w:r>
        <w:t>National Defense Authorization Act for Fiscal Year 2017, Pub. L. No. 114-328, 130 Stat. 2000 (2016).</w:t>
      </w:r>
    </w:p>
    <w:p>
      <w:pPr>
        <w:ind w:firstLine="720"/>
      </w:pPr>
      <w:r>
        <w:t xml:space="preserve">Organisation for Economic Co-operation and Development. (2009). </w:t>
      </w:r>
      <w:r>
        <w:rPr>
          <w:i/>
        </w:rPr>
        <w:t>OECD principles for integrity in public procurement</w:t>
      </w:r>
      <w:r>
        <w:t>. OECD Publishing. https://doi.org/10.1787/9789264056527-en</w:t>
      </w:r>
    </w:p>
    <w:p>
      <w:pPr>
        <w:ind w:firstLine="720"/>
      </w:pPr>
      <w:r>
        <w:t xml:space="preserve">Organisation for Economic Co-operation and Development. (2019). </w:t>
      </w:r>
      <w:r>
        <w:rPr>
          <w:i/>
        </w:rPr>
        <w:t>Government at a glance 2019</w:t>
      </w:r>
      <w:r>
        <w:t>. OECD Publishing. https://doi.org/10.1787/8ccf5c38-en</w:t>
      </w:r>
    </w:p>
    <w:p>
      <w:pPr>
        <w:ind w:firstLine="720"/>
      </w:pPr>
      <w:r>
        <w:t xml:space="preserve">RAND Corporation. (2013). </w:t>
      </w:r>
      <w:r>
        <w:rPr>
          <w:i/>
        </w:rPr>
        <w:t>Sources of weapon system cost growth: Analysis of 35 major defense acquisition programs</w:t>
      </w:r>
      <w:r>
        <w:t>. RAND Project Air Force.</w:t>
      </w:r>
    </w:p>
    <w:p>
      <w:pPr>
        <w:ind w:firstLine="720"/>
      </w:pPr>
      <w:r>
        <w:t xml:space="preserve">Rendon, R. G. (2015). Benchmarking contract management process maturity: A case study of the U.S. Navy. </w:t>
      </w:r>
      <w:r>
        <w:rPr>
          <w:i/>
        </w:rPr>
        <w:t>Benchmarking: An International Journal</w:t>
      </w:r>
      <w:r>
        <w:t xml:space="preserve">, </w:t>
      </w:r>
      <w:r>
        <w:rPr>
          <w:i/>
        </w:rPr>
        <w:t>22</w:t>
      </w:r>
      <w:r>
        <w:t>(1), 108-127. https://doi.org/10.1108/BIJ-04-2013-0040</w:t>
      </w:r>
    </w:p>
    <w:p>
      <w:pPr>
        <w:ind w:firstLine="720"/>
      </w:pPr>
      <w:r>
        <w:t xml:space="preserve">Rendon, R. G., &amp; Snider, K. F. (Eds.). (2019). </w:t>
      </w:r>
      <w:r>
        <w:rPr>
          <w:i/>
        </w:rPr>
        <w:t>Management of defense acquisition projects</w:t>
      </w:r>
      <w:r>
        <w:t xml:space="preserve"> (2nd ed.). American Institute of Aeronautics and Astronautics.</w:t>
      </w:r>
    </w:p>
    <w:p>
      <w:pPr>
        <w:ind w:firstLine="720"/>
      </w:pPr>
      <w:r>
        <w:t xml:space="preserve">Rosenbaum, P. R., &amp; Rubin, D. B. (1983). The central role of the propensity score in observational studies for causal effects. </w:t>
      </w:r>
      <w:r>
        <w:rPr>
          <w:i/>
        </w:rPr>
        <w:t>Biometrika</w:t>
      </w:r>
      <w:r>
        <w:t xml:space="preserve">, </w:t>
      </w:r>
      <w:r>
        <w:rPr>
          <w:i/>
        </w:rPr>
        <w:t>70</w:t>
      </w:r>
      <w:r>
        <w:t>(1), 41-55. https://doi.org/10.1093/biomet/70.1.41</w:t>
      </w:r>
    </w:p>
    <w:p>
      <w:pPr>
        <w:ind w:firstLine="720"/>
      </w:pPr>
      <w:r>
        <w:t xml:space="preserve">Thai, K. V. (2001). Public procurement re-examined. </w:t>
      </w:r>
      <w:r>
        <w:rPr>
          <w:i/>
        </w:rPr>
        <w:t>Journal of Public Procurement</w:t>
      </w:r>
      <w:r>
        <w:t xml:space="preserve">, </w:t>
      </w:r>
      <w:r>
        <w:rPr>
          <w:i/>
        </w:rPr>
        <w:t>1</w:t>
      </w:r>
      <w:r>
        <w:t>(1), 9-50. https://doi.org/10.1108/JOPP-01-01-2001-B002</w:t>
      </w:r>
    </w:p>
    <w:p>
      <w:pPr>
        <w:ind w:firstLine="720"/>
      </w:pPr>
      <w:r>
        <w:t xml:space="preserve">Tkachenko, A., Konovalova, N., &amp; Zhang, L. (2018). Measuring the effects of competition in procurement. In G. L. Albano, K. F. Snider, &amp; K. V. Thai (Eds.), </w:t>
      </w:r>
      <w:r>
        <w:rPr>
          <w:i/>
        </w:rPr>
        <w:t>Charting a course in public procurement innovation and knowledge sharing</w:t>
      </w:r>
      <w:r>
        <w:t xml:space="preserve"> (pp. 175-200). PrAcademics Press.</w:t>
      </w:r>
    </w:p>
    <w:p>
      <w:pPr>
        <w:ind w:firstLine="720"/>
      </w:pPr>
      <w:r>
        <w:t xml:space="preserve">Williamson, O. E. (1985). </w:t>
      </w:r>
      <w:r>
        <w:rPr>
          <w:i/>
        </w:rPr>
        <w:t>The economic institutions of capitalism: Firms, markets, relational contracting</w:t>
      </w:r>
      <w:r>
        <w:t>. Free Press.</w:t>
      </w:r>
    </w:p>
    <w:p>
      <w:pPr>
        <w:ind w:firstLine="720"/>
      </w:pPr>
      <w:r>
        <w:t xml:space="preserve">Williamson, O. E. (1996). </w:t>
      </w:r>
      <w:r>
        <w:rPr>
          <w:i/>
        </w:rPr>
        <w:t>The mechanisms of governance</w:t>
      </w:r>
      <w:r>
        <w:t>. Oxford University Press.</w:t>
      </w:r>
    </w:p>
    <w:p>
      <w:pPr>
        <w:ind w:firstLine="720"/>
      </w:pPr>
      <w:r>
        <w:t xml:space="preserve">Yukins, C. R. (2008). Are IDIQs inefficient? Sharing lessons with European framework contracting. </w:t>
      </w:r>
      <w:r>
        <w:rPr>
          <w:i/>
        </w:rPr>
        <w:t>Public Contract Law Journal</w:t>
      </w:r>
      <w:r>
        <w:t xml:space="preserve">, </w:t>
      </w:r>
      <w:r>
        <w:rPr>
          <w:i/>
        </w:rPr>
        <w:t>37</w:t>
      </w:r>
      <w:r>
        <w:t>(3), 545-568.</w:t>
      </w:r>
    </w:p>
    <w:p>
      <w:r>
        <w:br w:type="page"/>
      </w:r>
    </w:p>
    <w:p>
      <w:pPr>
        <w:pStyle w:val="Heading1"/>
      </w:pPr>
      <w:r>
        <w:rPr>
          <w:rFonts w:ascii="Times New Roman" w:hAnsi="Times New Roman"/>
          <w:color w:val="000000"/>
        </w:rPr>
        <w:t>Chapter 2: Literature Review and Hypotheses</w:t>
      </w:r>
    </w:p>
    <w:p>
      <w:pPr>
        <w:pStyle w:val="Heading2"/>
      </w:pPr>
      <w:r>
        <w:rPr>
          <w:rFonts w:ascii="Times New Roman" w:hAnsi="Times New Roman"/>
          <w:color w:val="000000"/>
        </w:rPr>
        <w:t>Introduction</w:t>
      </w:r>
    </w:p>
    <w:p>
      <w:pPr>
        <w:ind w:firstLine="720"/>
      </w:pPr>
      <w:r>
        <w:t>Government procurement occupies a distinctive position at the intersection of public administration, economics, and law. Each year, federal, state, and local governments in the United States spend trillions of dollars acquiring goods and services from the private sector, making public procurement one of the most consequential—and most contested—domains of governmental activity (Thai, 2001; Tkachenko et al., 2023). The method by which governments select contractors has profound implications for public value: it shapes the quality of services citizens receive, the cost borne by taxpayers, the fairness of market access for firms, and the integrity and legitimacy of government itself (Moore, 1995; Kelman, 2005). Despite these stakes, the empirical literature comparing source selection strategies—particularly the choice between lowest-price technically acceptable (LPTA) and best-value tradeoff approaches—remains remarkably thin, fragmented across disciplines, and disproportionately concentrated in defense acquisition contexts (Osman et al., 2017; Watson, 2015).</w:t>
      </w:r>
    </w:p>
    <w:p>
      <w:pPr>
        <w:ind w:firstLine="720"/>
      </w:pPr>
      <w:r>
        <w:t xml:space="preserve">This chapter provides a comprehensive, integrative review of the theoretical and empirical literatures relevant to the central research question of this dissertation: </w:t>
      </w:r>
      <w:r>
        <w:rPr>
          <w:i/>
        </w:rPr>
        <w:t>Does adopting best-value source selection strategies, as opposed to lowest-price technically acceptable methods, improve measurable public value outcomes in government procurement?</w:t>
      </w:r>
      <w:r>
        <w:t xml:space="preserve"> The review is organized into ten sections that move from foundational concepts to specific empirical evidence and ultimately to the conceptual model and formal hypotheses that guide the empirical investigation. Section 2.1 traces the historical and regulatory foundations of lowest-price norms and the emergence of the best-value continuum in federal acquisition. Section 2.2 introduces public value theory and value-for-money frameworks as the outcome lenses through which procurement results should be evaluated. Section 2.3 examines the economic theory underlying mechanism choice in procurement—auction theory, transaction cost economics, and contract incompleteness—establishing the theoretical rationale for why price-only mechanisms are suboptimal under conditions of complexity and uncertainty. Section 2.4 surveys the limited but growing empirical literature on the relationship between award strategies and procurement outcomes. Sections 2.5 through 2.9 address five critical mediating and moderating domains: bid protests and accountability (2.5), solicitation quality and requirements clarity (2.6), oversight layers and the fraud-protection tradeoff (2.7), renegotiation and strategic underbidding (2.8), and incumbency advantage and competition suppression (2.9). Section 2.10 synthesizes the preceding material into a conceptual model and presents ten formal hypotheses, distinguishing those testable with archival data from those requiring future survey or institutional-comparison designs.</w:t>
      </w:r>
    </w:p>
    <w:p>
      <w:pPr>
        <w:ind w:firstLine="720"/>
      </w:pPr>
      <w:r>
        <w:t>Throughout, the review adopts an integrative and critical stance. Rather than merely cataloging individual studies, each section identifies points of theoretical convergence and divergence, assesses the strength and generalizability of the evidence, and highlights the specific gaps that this dissertation seeks to address. The goal is to demonstrate that the question of source selection strategy is not merely a procedural or regulatory matter but a fundamental question of institutional design with measurable consequences for public welfare.</w:t>
      </w:r>
    </w:p>
    <w:p>
      <w:pPr>
        <w:pStyle w:val="Heading2"/>
      </w:pPr>
      <w:r>
        <w:rPr>
          <w:rFonts w:ascii="Times New Roman" w:hAnsi="Times New Roman"/>
          <w:color w:val="000000"/>
        </w:rPr>
        <w:t>2.1 Lowest-Price Norms and the Best-Value Continuum</w:t>
      </w:r>
    </w:p>
    <w:p>
      <w:pPr>
        <w:pStyle w:val="Heading3"/>
      </w:pPr>
      <w:r>
        <w:rPr>
          <w:rFonts w:ascii="Times New Roman" w:hAnsi="Times New Roman"/>
          <w:color w:val="000000"/>
        </w:rPr>
        <w:t>2.1.1 Historical Roots of Lowest-Price Procurement</w:t>
      </w:r>
    </w:p>
    <w:p>
      <w:pPr>
        <w:ind w:firstLine="720"/>
      </w:pPr>
      <w:r>
        <w:t>The preference for awarding government contracts to the lowest bidder has deep historical roots in Anglo-American public administration. In the United States, the requirement to award contracts based on sealed competitive bids can be traced to the early nineteenth century, when Congress enacted statutes mandating competitive bidding for military supplies and public works to combat patronage, corruption, and fiscal profligacy (Nagle, 1999; Schooner, 2001). The sealed-bid system rested on a compelling logic: by requiring agencies to specify their needs precisely and to accept the lowest responsive, responsible bid, Congress could constrain bureaucratic discretion, reduce opportunities for favoritism, and assure the public that taxpayer funds were being spent efficiently (Kelman, 1990; Schooner, 2001). This logic was deeply embedded in Progressive Era governance ideals that equated good government with rule-bound administration, minimal discretion, and visible accountability mechanisms (Kelman, 2005).</w:t>
      </w:r>
    </w:p>
    <w:p>
      <w:pPr>
        <w:ind w:firstLine="720"/>
      </w:pPr>
      <w:r>
        <w:t>The Competition in Contracting Act (CICA) of 1984 codified full and open competition as the foundational principle of federal procurement, establishing a strong presumption in favor of competitive procedures and requiring agencies to justify any departure from competitive acquisition (Cibinic et al., 2015; Manuel, 2011). CICA reinforced the normative architecture in which competition—and by extension, price competition—served as the primary safeguard of the public interest. The Act reflected a bipartisan consensus that competitive markets, when properly structured, would drive costs down and quality up (Yukins &amp; Schooner, 2007).</w:t>
      </w:r>
    </w:p>
    <w:p>
      <w:pPr>
        <w:ind w:firstLine="720"/>
      </w:pPr>
      <w:r>
        <w:t>Yet even as CICA enshrined competition as the cornerstone of federal procurement, practitioners and scholars recognized that price competition alone was insufficient for complex acquisitions. The Federal Acquisition Streamlining Act (FASA) of 1994 and the Federal Acquisition Reform Act (FARA, also known as the Clinger-Cohen Act) of 1996 introduced important reforms that expanded the use of negotiated procurements and best-value source selection methods (Kelman, 2005; Manuel, 2011). These reforms reflected growing frustration with the rigidity of sealed-bid processes and their inability to accommodate the government's increasing reliance on complex services, information technology, and professional expertise—domains where specifying requirements precisely in advance was often impossible (Kelman, 1990, 2005).</w:t>
      </w:r>
    </w:p>
    <w:p>
      <w:pPr>
        <w:pStyle w:val="Heading3"/>
      </w:pPr>
      <w:r>
        <w:rPr>
          <w:rFonts w:ascii="Times New Roman" w:hAnsi="Times New Roman"/>
          <w:color w:val="000000"/>
        </w:rPr>
        <w:t>2.1.2 The FAR Part 15 Framework: LPTA and Tradeoff</w:t>
      </w:r>
    </w:p>
    <w:p>
      <w:pPr>
        <w:ind w:firstLine="720"/>
      </w:pPr>
      <w:r>
        <w:t>The current regulatory architecture governing source selection in federal procurement is primarily found in Part 15 of the Federal Acquisition Regulation (FAR), which establishes two principal best-value approaches. Under FAR 15.101-2, the lowest-price technically acceptable (LPTA) method requires agencies to establish minimum technical standards; proposals that meet those standards are then evaluated solely on price, with the award going to the lowest-priced technically acceptable offer. Under FAR 15.101-1, the tradeoff process permits agencies to evaluate proposals on multiple factors—including technical approach, past performance, management capability, and other non-price dimensions—and to make award decisions that trade off higher price for superior quality when doing so is in the government's interest (FAR, 2024; Defense Acquisition University [DAU], 2023).</w:t>
      </w:r>
    </w:p>
    <w:p>
      <w:pPr>
        <w:ind w:firstLine="720"/>
      </w:pPr>
      <w:r>
        <w:t>The distinction between LPTA and tradeoff is not merely procedural; it reflects fundamentally different assumptions about the nature of the goods or services being acquired and the role of the procurement process in creating value. LPTA assumes that requirements can be fully specified in advance, that quality above the minimum threshold does not add meaningful value, and that price is the dominant differentiator among qualified offerors (Congressional Research Service [CRS], 2024; Ban, 2015). Tradeoff, by contrast, assumes that quality varies meaningfully among offerors, that higher quality can generate value that exceeds the incremental cost, and that the government benefits from the exercise of informed judgment in weighing price against non-price factors (Baker, 2016; DAU, 2023).</w:t>
      </w:r>
    </w:p>
    <w:p>
      <w:pPr>
        <w:ind w:firstLine="720"/>
      </w:pPr>
      <w:r>
        <w:t>The FAR does not express a blanket preference for one method over the other but provides guidance on the circumstances favoring each approach. LPTA is considered appropriate when requirements are well-defined, when the risk of unsuccessful performance is minimal, and when additional technical superiority offers no meaningful incremental benefit to the government (FAR 15.101-2). Tradeoff is favored when requirements are complex or difficult to define precisely, when the consequences of poor performance are significant, and when there is meaningful variation in the quality that different offerors can provide (FAR 15.101-1; CRS, 2024).</w:t>
      </w:r>
    </w:p>
    <w:p>
      <w:pPr>
        <w:pStyle w:val="Heading3"/>
      </w:pPr>
      <w:r>
        <w:rPr>
          <w:rFonts w:ascii="Times New Roman" w:hAnsi="Times New Roman"/>
          <w:color w:val="000000"/>
        </w:rPr>
        <w:t>2.1.3 When LPTA Creates Adverse Selection</w:t>
      </w:r>
    </w:p>
    <w:p>
      <w:pPr>
        <w:ind w:firstLine="720"/>
      </w:pPr>
      <w:r>
        <w:t>Despite the regulatory guidance, the choice between LPTA and tradeoff has been contested terrain. Critics of LPTA have argued that its use has expanded well beyond commodity-like acquisitions into domains where quality matters significantly—including professional services, information technology, and complex systems—creating a mismatch between the procurement mechanism and the nature of the acquisition (Ban, 2015; Baker, 2016; National Defense Industrial Association [NDIA], 2014). This mismatch can trigger adverse selection: when only price is evaluated above a minimum threshold, firms that invest in quality, experienced personnel, innovative approaches, and robust management systems are disadvantaged relative to firms that strip costs to the bone, potentially compromising quality, underbidding strategically, or employing less experienced staff (Akerlof, 1970; Ban, 2015).</w:t>
      </w:r>
    </w:p>
    <w:p>
      <w:pPr>
        <w:ind w:firstLine="720"/>
      </w:pPr>
      <w:r>
        <w:t>The adverse selection problem in LPTA procurements is a specific manifestation of the market-for-lemons dynamic identified by Akerlof (1970). When buyers cannot observe quality directly and rely on price as the selection criterion, high-quality sellers are driven from the market because they cannot recover the costs of quality production. In the procurement context, this dynamic manifests as experienced contractors declining to compete on LPTA solicitations, leaving the government with a smaller pool of lower-quality offerors (NDIA, 2014; Professional Services Council [PSC], 2014). Industry surveys have documented widespread contractor reluctance to pursue LPTA opportunities for complex services, with firms reporting that the cost of preparing proposals cannot be justified when the sole selection criterion is price (PSC, 2014; NDIA, 2014).</w:t>
      </w:r>
    </w:p>
    <w:p>
      <w:pPr>
        <w:ind w:firstLine="720"/>
      </w:pPr>
      <w:r>
        <w:t>Congressional concern over LPTA overuse led to several legislative interventions. Section 813 of the National Defense Authorization Act (NDAA) for Fiscal Year 2017 required the Department of Defense (DoD) to establish criteria and guidance for the appropriate use of LPTA, including a presumption against its use for certain categories of acquisitions such as knowledge-based professional services, cybersecurity, and systems with significant life-cycle costs (CRS, 2024; Public Law 114-328). The NDAA for FY 2018 further restricted LPTA use, requiring DoD contracting officers to avoid LPTA when it would deny the government the ability to consider the past performance of offerors or when the technical approach or quality of work could significantly affect outcomes (Public Law 115-91). These legislative actions reflected a growing bipartisan consensus that LPTA, while appropriate for commodity purchases, was being misapplied in contexts where quality variation among offerors was both significant and consequential.</w:t>
      </w:r>
    </w:p>
    <w:p>
      <w:pPr>
        <w:pStyle w:val="Heading3"/>
      </w:pPr>
      <w:r>
        <w:rPr>
          <w:rFonts w:ascii="Times New Roman" w:hAnsi="Times New Roman"/>
          <w:color w:val="000000"/>
        </w:rPr>
        <w:t>2.1.4 The Best-Value Spectrum</w:t>
      </w:r>
    </w:p>
    <w:p>
      <w:pPr>
        <w:ind w:firstLine="720"/>
      </w:pPr>
      <w:r>
        <w:t>It is important to recognize that LPTA and full tradeoff are not a binary dichotomy but rather endpoints on a continuum of source selection approaches. Between these poles lie a variety of intermediate mechanisms, including price-technical tradeoffs with specified weighting schemes, oral presentations combined with written technical proposals, tiered evaluation approaches that first screen for technical acceptability and then conduct tradeoff analysis among qualified offerors, and advisory multi-step processes (DAU, 2023; Cibinic et al., 2015). Some agencies have experimented with lowest-price technically rated approaches that create bands of technical ratings rather than simple pass/fail determinations (Gordon, 2006).</w:t>
      </w:r>
    </w:p>
    <w:p>
      <w:pPr>
        <w:ind w:firstLine="720"/>
      </w:pPr>
      <w:r>
        <w:t>At the state and local level, the continuum is even more varied. While many states have adopted procurement frameworks modeled on the American Bar Association's Model Procurement Code or the National Association of State Procurement Officials (NASPO) guidelines, there is substantial variation in the extent to which state procurement laws permit or encourage best-value considerations (NASPO, 2019; National Institute of Governmental Purchasing [NIGP], 2016). Some states continue to mandate lowest-bid awards for broad categories of procurement, while others have enacted legislation permitting or requiring best-value evaluations for complex acquisitions (NIGP, 2016; Prier &amp; McCue, 2009). This cross-jurisdictional variation creates a natural laboratory for studying the effects of source selection strategy on procurement outcomes—an opportunity that the empirical literature has not yet fully exploited and that this dissertation seeks to leverage.</w:t>
      </w:r>
    </w:p>
    <w:p>
      <w:pPr>
        <w:pStyle w:val="Heading3"/>
      </w:pPr>
      <w:r>
        <w:rPr>
          <w:rFonts w:ascii="Times New Roman" w:hAnsi="Times New Roman"/>
          <w:color w:val="000000"/>
        </w:rPr>
        <w:t>2.1.5 Section Summary and Connection to the Dissertation</w:t>
      </w:r>
    </w:p>
    <w:p>
      <w:pPr>
        <w:ind w:firstLine="720"/>
      </w:pPr>
      <w:r>
        <w:t>The historical and regulatory analysis reveals a fundamental tension in public procurement: the desire to constrain discretion and prevent corruption through price-based competition versus the need to exercise informed judgment in selecting contractors for complex acquisitions. This tension is not merely a matter of regulatory design; it reflects a deeper question about the nature of value in public procurement. If value is defined solely as lowest cost, then LPTA is the appropriate mechanism. If value encompasses quality, performance, timeliness, innovation, and lifecycle cost, then the procurement mechanism must be capable of evaluating and weighting these dimensions. The next section introduces the theoretical frameworks—public value theory and value-for-money—that provide the conceptual foundation for a richer understanding of procurement outcomes.</w:t>
      </w:r>
    </w:p>
    <w:p>
      <w:pPr>
        <w:pStyle w:val="Heading2"/>
      </w:pPr>
      <w:r>
        <w:rPr>
          <w:rFonts w:ascii="Times New Roman" w:hAnsi="Times New Roman"/>
          <w:color w:val="000000"/>
        </w:rPr>
        <w:t>2.2 Public Value and Value for Money as Outcome Frameworks</w:t>
      </w:r>
    </w:p>
    <w:p>
      <w:pPr>
        <w:pStyle w:val="Heading3"/>
      </w:pPr>
      <w:r>
        <w:rPr>
          <w:rFonts w:ascii="Times New Roman" w:hAnsi="Times New Roman"/>
          <w:color w:val="000000"/>
        </w:rPr>
        <w:t>2.2.1 Moore's Public Value Theory</w:t>
      </w:r>
    </w:p>
    <w:p>
      <w:pPr>
        <w:ind w:firstLine="720"/>
      </w:pPr>
      <w:r>
        <w:t xml:space="preserve">Mark Moore's (1995) </w:t>
      </w:r>
      <w:r>
        <w:rPr>
          <w:i/>
        </w:rPr>
        <w:t>Creating Public Value: Strategic Management in Government</w:t>
      </w:r>
      <w:r>
        <w:t xml:space="preserve"> introduced a conceptual framework that has become one of the most influential paradigms in public administration. Moore argued that the purpose of public management is to create "public value"—value that is authorized through democratic processes, generated through operationally effective public organizations, and legitimated through accountability to the citizenry. Unlike private-sector value creation, which is measured primarily through financial returns to shareholders, public value is inherently multidimensional, encompassing the quality and effectiveness of public services, the fairness and equity of their distribution, the trustworthiness and legitimacy of governmental institutions, and the degree to which governmental action enables broader societal welfare (Moore, 1995, 2013).</w:t>
      </w:r>
    </w:p>
    <w:p>
      <w:pPr>
        <w:ind w:firstLine="720"/>
      </w:pPr>
      <w:r>
        <w:t>Moore's strategic triangle identifies three conditions necessary for public value creation: (a) the proposed activity must be substantively valuable—it must produce outcomes that citizens and their representatives regard as worthwhile; (b) it must be politically legitimate and sustainable—it must have the support of key authorizers in the political environment; and (c) it must be operationally and administratively feasible—the public organization must have the capacity to deliver the desired outcomes (Moore, 1995). Applied to procurement, this framework suggests that the value of a procurement strategy should be evaluated not merely on the price achieved but on the quality and effectiveness of the goods and services obtained (substantive value), the fairness and transparency of the acquisition process (legitimacy), and the capacity of the government to manage the resulting contract effectively (operational feasibility).</w:t>
      </w:r>
    </w:p>
    <w:p>
      <w:pPr>
        <w:ind w:firstLine="720"/>
      </w:pPr>
      <w:r>
        <w:t>Benington (2011) extended Moore's framework, arguing that public value should be understood as encompassing ecological, political, economic, social, and cultural dimensions. In the procurement context, this broader conception suggests that the impact of acquisition strategies extends beyond immediate contract outcomes to include effects on market competition, small business participation, workforce development, innovation, and community economic development—dimensions that lowest-price mechanisms systematically undervalue (Benington &amp; Moore, 2011).</w:t>
      </w:r>
    </w:p>
    <w:p>
      <w:pPr>
        <w:pStyle w:val="Heading3"/>
      </w:pPr>
      <w:r>
        <w:rPr>
          <w:rFonts w:ascii="Times New Roman" w:hAnsi="Times New Roman"/>
          <w:color w:val="000000"/>
        </w:rPr>
        <w:t>2.2.2 Value for Money: Lifecycle and Risk-Adjusted Assessment</w:t>
      </w:r>
    </w:p>
    <w:p>
      <w:pPr>
        <w:ind w:firstLine="720"/>
      </w:pPr>
      <w:r>
        <w:t>The value-for-money (VfM) concept provides a more operationally specific framework for evaluating procurement outcomes. Originating primarily in the United Kingdom's public financial management tradition and adopted by international development institutions, VfM is defined as the optimum combination of whole-life cost and quality (or fitness for purpose) to meet the user's requirement (HM Treasury, 2006; OECD, 2019). Critically, VfM is not synonymous with lowest price; rather, it requires consideration of the total cost of ownership—including acquisition cost, operating and maintenance costs, disposal costs, and the costs of poor quality or contract failure—relative to the benefits delivered over the entire lifecycle of the acquisition (Asian Development Bank [ADB], 2018; European Bank for Reconstruction and Development [EBRD], 2024).</w:t>
      </w:r>
    </w:p>
    <w:p>
      <w:pPr>
        <w:ind w:firstLine="720"/>
      </w:pPr>
      <w:r>
        <w:t>The OECD's Recommendation on Public Procurement (2015) identifies VfM as one of the core principles guiding public procurement systems, alongside transparency, integrity, and access. The OECD framework emphasizes that VfM assessment should consider not only direct monetary costs but also "value associated with quality, skills, experience, knowledge, and innovation" (OECD, 2019, p. 12). This articulation aligns with the best-value tradeoff concept in the FAR, suggesting a convergence between the international VfM framework and the U.S. regulatory approach to source selection.</w:t>
      </w:r>
    </w:p>
    <w:p>
      <w:pPr>
        <w:ind w:firstLine="720"/>
      </w:pPr>
      <w:r>
        <w:t>The ADB (2018) and EBRD (2024) have developed more detailed VfM assessment methodologies that incorporate risk adjustment, recognizing that the expected cost of a procurement decision depends not only on the contract price but also on the probability and magnitude of adverse outcomes such as cost overruns, schedule delays, performance failures, and contract terminations. Under these frameworks, a low initial price that carries a high probability of cost growth or performance failure may represent poor value for money compared to a higher initial price with more predictable lifecycle costs and outcomes (ADB, 2018; Burger &amp; Hawkesworth, 2011).</w:t>
      </w:r>
    </w:p>
    <w:p>
      <w:pPr>
        <w:pStyle w:val="Heading3"/>
      </w:pPr>
      <w:r>
        <w:rPr>
          <w:rFonts w:ascii="Times New Roman" w:hAnsi="Times New Roman"/>
          <w:color w:val="000000"/>
        </w:rPr>
        <w:t>2.2.3 The Measurement Challenge</w:t>
      </w:r>
    </w:p>
    <w:p>
      <w:pPr>
        <w:ind w:firstLine="720"/>
      </w:pPr>
      <w:r>
        <w:t>A significant obstacle to the empirical study of public value in procurement is the multidimensional nature of the concept and the difficulty of operationalizing it through measurable indicators. Unlike price, which is unidimensional and readily observed, public value encompasses dimensions that are qualitatively distinct, that may be partially incommensurable, and that often manifest over extended time horizons (Bryson et al., 2014; Hartley et al., 2017). Quality of service delivery, equity of access, innovation, transparency, accountability, and public trust are all dimensions of public value that resist simple quantification (Alford &amp; O'Flynn, 2009).</w:t>
      </w:r>
    </w:p>
    <w:p>
      <w:pPr>
        <w:ind w:firstLine="720"/>
      </w:pPr>
      <w:r>
        <w:t>Wylie (2021) provided one of the more systematic attempts to operationalize public value in the procurement context, developing a multi-criteria framework that includes dimensions such as cost efficiency, quality outcomes, social value, environmental sustainability, and innovation. Malacina et al. (2022) conducted a systematic literature review on public procurement and value creation, identifying a fragmented landscape in which different studies emphasize different dimensions of value without converging on a shared measurement framework. Their review found that while the theoretical case for multidimensional value assessment in procurement is well-established, empirical studies overwhelmingly rely on cost-based outcome measures, with non-price dimensions receiving comparatively little systematic attention.</w:t>
      </w:r>
    </w:p>
    <w:p>
      <w:pPr>
        <w:pStyle w:val="Heading3"/>
      </w:pPr>
      <w:r>
        <w:rPr>
          <w:rFonts w:ascii="Times New Roman" w:hAnsi="Times New Roman"/>
          <w:color w:val="000000"/>
        </w:rPr>
        <w:t>2.2.4 Operationalizing Public Value Through Measurable Indicators</w:t>
      </w:r>
    </w:p>
    <w:p>
      <w:pPr>
        <w:ind w:firstLine="720"/>
      </w:pPr>
      <w:r>
        <w:t>For the purposes of this dissertation, public value is operationalized through a set of measurable outcome indicators that can be constructed from archival procurement data. Drawing on the theoretical frameworks of Moore (1995) and VfM (OECD, 2019; ADB, 2018), and guided by the measurement approaches used in prior procurement research (Osman et al., 2017; Watson, 2015; Rendon, 2009), five primary outcome dimensions are identified:</w:t>
      </w:r>
    </w:p>
    <w:p>
      <w:pPr>
        <w:pStyle w:val="ListNumber"/>
      </w:pPr>
      <w:r>
        <w:rPr>
          <w:b/>
        </w:rPr>
        <w:t>Cost growth</w:t>
      </w:r>
      <w:r>
        <w:t>: The percentage difference between the initial award value and the total realized contract value (including modifications), measured over the contract lifecycle. High cost growth indicates poor value for money and suggests inadequate initial pricing, scope instability, or strategic underbidding (Bajari et al., 2014; Ganuza, 2007).</w:t>
      </w:r>
    </w:p>
    <w:p>
      <w:pPr>
        <w:pStyle w:val="ListNumber"/>
      </w:pPr>
      <w:r>
        <w:rPr>
          <w:b/>
        </w:rPr>
        <w:t>Schedule performance (timeliness)</w:t>
      </w:r>
      <w:r>
        <w:t>: The degree to which contract deliverables are completed within the originally specified timeframe. Schedule delays impose costs on the government in the form of deferred capabilities, extended oversight, and potential need for interim solutions (Rendon, 2009; DAU, 2023).</w:t>
      </w:r>
    </w:p>
    <w:p>
      <w:pPr>
        <w:pStyle w:val="ListNumber"/>
      </w:pPr>
      <w:r>
        <w:rPr>
          <w:b/>
        </w:rPr>
        <w:t>Performance quality</w:t>
      </w:r>
      <w:r>
        <w:t>: Where available, assessed through Contractor Performance Assessment Reporting System (CPARS) ratings, which evaluate contractors on dimensions including quality, schedule, cost control, management, and regulatory compliance (Watson, 2015; Federal Acquisition Regulation 42.1502).</w:t>
      </w:r>
    </w:p>
    <w:p>
      <w:pPr>
        <w:pStyle w:val="ListNumber"/>
      </w:pPr>
      <w:r>
        <w:rPr>
          <w:b/>
        </w:rPr>
        <w:t>Protest incidence</w:t>
      </w:r>
      <w:r>
        <w:t>: The rate at which procurement actions result in bid protests, measured as a proportion of total contract actions. While protests serve an important accountability function (discussed in Section 2.5), high protest rates may also indicate process quality problems, ambiguous evaluation criteria, or loss of stakeholder confidence in the procurement process (GAO, 2025; Schwartz &amp; Manuel, 2018).</w:t>
      </w:r>
    </w:p>
    <w:p>
      <w:pPr>
        <w:pStyle w:val="ListNumber"/>
      </w:pPr>
      <w:r>
        <w:rPr>
          <w:b/>
        </w:rPr>
        <w:t>Service continuity</w:t>
      </w:r>
      <w:r>
        <w:t>: The degree to which contracts proceed to completion without termination for default or termination for convenience due to contractor nonperformance. Contract termination represents a significant failure in value delivery and imposes substantial costs on the government in the form of recompetition, transition, and capability gaps (Cibinic et al., 2015).</w:t>
      </w:r>
    </w:p>
    <w:p>
      <w:pPr>
        <w:ind w:firstLine="720"/>
      </w:pPr>
      <w:r>
        <w:t>These five dimensions, while not exhaustive of the public value concept, provide a tractable and empirically grounded set of outcome measures that capture the core dimensions of VfM—cost efficiency, timeliness, quality, process integrity, and reliability of service delivery—and that can be constructed from available federal procurement datasets. The construction of a composite public value index from these dimensions is described in Chapter 3 (Methodology).</w:t>
      </w:r>
    </w:p>
    <w:p>
      <w:pPr>
        <w:pStyle w:val="Heading3"/>
      </w:pPr>
      <w:r>
        <w:rPr>
          <w:rFonts w:ascii="Times New Roman" w:hAnsi="Times New Roman"/>
          <w:color w:val="000000"/>
        </w:rPr>
        <w:t>2.2.5 Section Summary and Connection to the Dissertation</w:t>
      </w:r>
    </w:p>
    <w:p>
      <w:pPr>
        <w:ind w:firstLine="720"/>
      </w:pPr>
      <w:r>
        <w:t>Public value theory and VfM frameworks provide the outcome lens through which the effects of source selection strategy should be evaluated. By moving beyond simple price comparisons to consider lifecycle cost, quality, timeliness, process integrity, and service reliability, these frameworks align the evaluation of procurement strategy with the broader purposes of government. The next section turns to the economic theory underlying the choice of procurement mechanism, establishing why the theoretical expectation is that price-only mechanisms will produce inferior outcomes when the goods or services being acquired are complex, difficult to specify, or subject to significant performance variation.</w:t>
      </w:r>
    </w:p>
    <w:p>
      <w:pPr>
        <w:pStyle w:val="Heading2"/>
      </w:pPr>
      <w:r>
        <w:rPr>
          <w:rFonts w:ascii="Times New Roman" w:hAnsi="Times New Roman"/>
          <w:color w:val="000000"/>
        </w:rPr>
        <w:t>2.3 Procurement Economics, Mechanism Choice, and Contract Incompleteness</w:t>
      </w:r>
    </w:p>
    <w:p>
      <w:pPr>
        <w:pStyle w:val="Heading3"/>
      </w:pPr>
      <w:r>
        <w:rPr>
          <w:rFonts w:ascii="Times New Roman" w:hAnsi="Times New Roman"/>
          <w:color w:val="000000"/>
        </w:rPr>
        <w:t>2.3.1 Auction Theory Fundamentals</w:t>
      </w:r>
    </w:p>
    <w:p>
      <w:pPr>
        <w:ind w:firstLine="720"/>
      </w:pPr>
      <w:r>
        <w:t>The economic analysis of procurement begins with auction theory, the branch of microeconomics and mechanism design that studies how competitive bidding processes allocate goods and services (Krishna, 2010; Milgrom, 2004). In the simplest procurement setting—the first-price sealed-bid auction—the buyer specifies a good or service, invited sellers submit sealed bids, and the contract is awarded to the lowest bidder. Under the assumptions of the independent private values (IPV) model, in which each bidder knows its own cost of performance but is uncertain about competitors' costs, the first-price sealed-bid auction produces efficient outcomes: the contract is awarded to the lowest-cost supplier, and the winning bid reflects the competitive pressure of the market (Vickrey, 1961; Riley &amp; Samuelson, 1981).</w:t>
      </w:r>
    </w:p>
    <w:p>
      <w:pPr>
        <w:ind w:firstLine="720"/>
      </w:pPr>
      <w:r>
        <w:t>However, the efficiency properties of the simple auction model depend on assumptions that are often violated in government procurement. First, the model assumes that the good or service being procured can be fully and precisely specified, so that all bids are for an identical product. In practice, many government acquisitions involve complex services, customized systems, or professional expertise for which the precise scope and quality of deliverables cannot be fully specified in advance (Bajari &amp; Tadelis, 2001). Second, the model assumes that bidders can accurately estimate their costs of performance. For complex acquisitions, cost estimation is inherently uncertain, and bidders may strategically shade their bids below expected costs in hopes of recovering through post-award modifications (Jung et al., 2013). Third, the model assumes that the buyer can perfectly observe and verify the quality of the delivered goods or services, enabling enforcement of the contract terms. When quality is difficult to observe or verify, price-only auctions create incentives for winners to cut quality to improve margins—the classic quality-shading problem (Che, 1993; Asker &amp; Cantillon, 2008).</w:t>
      </w:r>
    </w:p>
    <w:p>
      <w:pPr>
        <w:ind w:firstLine="720"/>
      </w:pPr>
      <w:r>
        <w:t>These limitations have motivated the development of scoring auctions, in which the buyer evaluates bids on both price and quality dimensions, using a scoring rule that assigns weights to each dimension (Che, 1993; Asker &amp; Cantillon, 2010). Scoring auctions are the economic analog of the FAR Part 15 tradeoff process. Theoretical analysis has shown that scoring auctions can improve buyer welfare relative to price-only auctions when quality varies meaningfully among suppliers and when the buyer can specify and evaluate quality dimensions with reasonable accuracy (Che, 1993; Branco, 1997; Hanazono &amp; Nakabayashi, 2017). The scoring auction literature thus provides a theoretical foundation for the prediction that best-value tradeoff methods will outperform LPTA in contexts where quality variation is significant and quality can be evaluated.</w:t>
      </w:r>
    </w:p>
    <w:p>
      <w:pPr>
        <w:pStyle w:val="Heading3"/>
      </w:pPr>
      <w:r>
        <w:rPr>
          <w:rFonts w:ascii="Times New Roman" w:hAnsi="Times New Roman"/>
          <w:color w:val="000000"/>
        </w:rPr>
        <w:t>2.3.2 Transaction Cost Economics</w:t>
      </w:r>
    </w:p>
    <w:p>
      <w:pPr>
        <w:ind w:firstLine="720"/>
      </w:pPr>
      <w:r>
        <w:t>Oliver Williamson's (1975, 1985, 1996) transaction cost economics (TCE) provides a complementary theoretical framework for understanding the choice of procurement mechanism. TCE posits that economic transactions are characterized by three dimensions—asset specificity, uncertainty, and frequency—and that the optimal governance structure (market, hybrid, or hierarchy) depends on the configuration of these dimensions (Williamson, 1985). In the procurement context, asset specificity refers to the degree to which the goods, services, or investments required for contract performance are specialized to the particular transaction and cannot be redeployed to alternative uses without significant loss of value. Uncertainty refers to the difficulty of specifying, monitoring, and verifying contract performance. Frequency refers to the regularity with which the transaction recurs.</w:t>
      </w:r>
    </w:p>
    <w:p>
      <w:pPr>
        <w:ind w:firstLine="720"/>
      </w:pPr>
      <w:r>
        <w:t>Williamson's framework predicts that as asset specificity and uncertainty increase, the costs of market-based governance—of which competitive price-based procurement is a form—rise relative to the costs of more relational or hierarchical governance mechanisms (Williamson, 1985, 1996). In highly specific and uncertain transactions, the winner of a price-only auction may find that the contractual terms are inadequate to govern the relationship, leading to costly renegotiation, disputes, and opportunistic behavior. This prediction is directly relevant to the LPTA vs. tradeoff debate: LPTA, as a form of market governance that relies heavily on price competition, is likely to perform well for transactions with low asset specificity and uncertainty (commodity-like purchases) but poorly for transactions with high specificity and uncertainty (complex services, IT systems, professional expertise) (Tadelis, 2012; Brown &amp; Potoski, 2003).</w:t>
      </w:r>
    </w:p>
    <w:p>
      <w:pPr>
        <w:ind w:firstLine="720"/>
      </w:pPr>
      <w:r>
        <w:t>Brown and Potoski (2003, 2005) applied TCE to the study of government contracting decisions, finding that asset specificity and measurement difficulty were significant predictors of the mode of service delivery (in-house production vs. contracting out) and the type of contract used. Their analysis supported Williamson's prediction that transactions characterized by high asset specificity and measurement difficulty were more likely to involve relational contracting mechanisms—analogous to best-value tradeoff processes—rather than pure price competition. Levin and Tadelis (2010) provided further evidence that local governments' decisions to contract out services were influenced by the difficulty of specifying and monitoring quality, with services that were harder to measure being less likely to be contracted out through simple price-based mechanisms.</w:t>
      </w:r>
    </w:p>
    <w:p>
      <w:pPr>
        <w:pStyle w:val="Heading3"/>
      </w:pPr>
      <w:r>
        <w:rPr>
          <w:rFonts w:ascii="Times New Roman" w:hAnsi="Times New Roman"/>
          <w:color w:val="000000"/>
        </w:rPr>
        <w:t>2.3.3 Contract Incompleteness</w:t>
      </w:r>
    </w:p>
    <w:p>
      <w:pPr>
        <w:ind w:firstLine="720"/>
      </w:pPr>
      <w:r>
        <w:t>The theory of incomplete contracts, developed by Hart and Moore (1988), Grossman and Hart (1986), and Hart (1995), provides additional theoretical depth to the analysis of procurement mechanism choice. Incomplete contract theory begins from the observation that many economically important transactions cannot be fully specified in a contract because the relevant contingencies are too numerous, complex, or unforeseeable to enumerate and price ex ante (Hart &amp; Moore, 1988). When contracts are incomplete, the allocation of residual control rights—the right to make decisions in circumstances not covered by the contract—becomes a central determinant of the efficiency of the transaction (Hart, 1995).</w:t>
      </w:r>
    </w:p>
    <w:p>
      <w:pPr>
        <w:ind w:firstLine="720"/>
      </w:pPr>
      <w:r>
        <w:t>In the procurement context, contract incompleteness has direct implications for the choice between LPTA and tradeoff. When the scope of work can be fully specified and all relevant contingencies can be anticipated, a complete contract can be written and enforced, and price competition among qualified bidders is an efficient allocation mechanism. But when the scope is complex, requirements are evolving, and contingencies are difficult to foresee—conditions that characterize many government service and IT acquisitions—the contract is necessarily incomplete, and the initial award price is a poor predictor of the total cost and value of the transaction (Bajari &amp; Tadelis, 2001; Tadelis, 2012).</w:t>
      </w:r>
    </w:p>
    <w:p>
      <w:pPr>
        <w:ind w:firstLine="720"/>
      </w:pPr>
      <w:r>
        <w:t>Bajari and Tadelis (2001) developed a formal model that explicitly addresses the tradeoff between competitive bidding (auctions) and negotiation in procurement, incorporating contract incompleteness as a central feature. Their model shows that when projects are relatively straightforward and can be well-specified, competitive bidding is the preferred mechanism because it exploits competitive pressure to drive down costs. However, as project complexity increases and contracts become more incomplete, competitive bidding becomes less efficient because the winning bidder has weak incentives to adapt to unforeseen circumstances—the rigid contract terms that make price competition work also make post-award adaptation costly and contentious. In these circumstances, negotiation—which allows the buyer to select a contractor based on quality and capability rather than price alone and to build relational governance mechanisms that facilitate adaptation—produces superior outcomes.</w:t>
      </w:r>
    </w:p>
    <w:p>
      <w:pPr>
        <w:pStyle w:val="Heading3"/>
      </w:pPr>
      <w:r>
        <w:rPr>
          <w:rFonts w:ascii="Times New Roman" w:hAnsi="Times New Roman"/>
          <w:color w:val="000000"/>
        </w:rPr>
        <w:t>2.3.4 Bajari, McMillan, and Tadelis (2009): Empirical Analysis</w:t>
      </w:r>
    </w:p>
    <w:p>
      <w:pPr>
        <w:ind w:firstLine="720"/>
      </w:pPr>
      <w:r>
        <w:t>Bajari, McMillan, and Tadelis (2009) provided important empirical evidence testing the predictions of the Bajari and Tadelis (2001) theoretical model. Using data on private-sector building construction contracts in Northern California, they analyzed the determinants of the choice between competitive bidding and negotiation and the consequences of this choice for project outcomes. Consistent with the theoretical predictions, they found that projects with greater complexity, uncertainty, and the potential for design changes were more likely to be procured through negotiation rather than competitive bidding. Moreover, they found that the use of competitive bidding for complex projects was associated with higher rates of cost overruns and ex post renegotiation—evidence that price-only selection mechanisms perform poorly when contract incompleteness is significant.</w:t>
      </w:r>
    </w:p>
    <w:p>
      <w:pPr>
        <w:ind w:firstLine="720"/>
      </w:pPr>
      <w:r>
        <w:t>While the Bajari et al. (2009) study examined private-sector construction rather than government procurement, its findings are highly relevant to the public procurement context. Government agencies face even more acute contract incompleteness problems than private-sector buyers because of the additional constraints imposed by regulation, the difficulty of exercising the kind of informal relationship management that private buyers use to manage incomplete contracts, and the political and legal consequences of contract failures (Kelman, 2002; Brown &amp; Potoski, 2003). The implication is that the negative consequences of price-only mechanisms documented by Bajari et al. (2009) may be even more severe in the government context.</w:t>
      </w:r>
    </w:p>
    <w:p>
      <w:pPr>
        <w:pStyle w:val="Heading3"/>
      </w:pPr>
      <w:r>
        <w:rPr>
          <w:rFonts w:ascii="Times New Roman" w:hAnsi="Times New Roman"/>
          <w:color w:val="000000"/>
        </w:rPr>
        <w:t>2.3.5 Principal-Agent Problems in Government Procurement</w:t>
      </w:r>
    </w:p>
    <w:p>
      <w:pPr>
        <w:ind w:firstLine="720"/>
      </w:pPr>
      <w:r>
        <w:t>The principal-agent framework adds a further layer of complexity to the analysis of procurement mechanism choice (Laffont &amp; Tirole, 1993; Ross, 1973). In government procurement, the principal-agent relationship is multi-layered: taxpayers are the ultimate principals, but their interests are mediated through elected officials, agency heads, procurement officials, contracting officers, and contract administrators, each of whom may have partially divergent objectives, information sets, and incentive structures (Miller, 2005; Kelman, 2005). The contractor, as the agent, has private information about its costs, capabilities, and intended effort level that the government, as principal, cannot fully observe (Laffont &amp; Tirole, 1993).</w:t>
      </w:r>
    </w:p>
    <w:p>
      <w:pPr>
        <w:ind w:firstLine="720"/>
      </w:pPr>
      <w:r>
        <w:t>Laffont and Tirole (1993) developed the canonical model of procurement under asymmetric information, showing that the optimal procurement mechanism involves a tradeoff between two goals: extracting cost efficiency through competitive pressure (rent extraction) and providing incentives for the contractor to invest in quality and effort (incentive provision). In their framework, the optimal contract generally involves elements of both fixed-price and cost-reimbursement, with the specific mix depending on the degree of uncertainty, the observability of effort, and the risk preferences of the parties. The model implies that pure price competition (as in LPTA) is optimal only when cost uncertainty is low and quality is perfectly observable—conditions that are often not met for complex procurements.</w:t>
      </w:r>
    </w:p>
    <w:p>
      <w:pPr>
        <w:ind w:firstLine="720"/>
      </w:pPr>
      <w:r>
        <w:t>Tirole (1986) and Laffont and Tirole (1991) further analyzed the problem of contractor cost-padding and moral hazard, showing that when the government cannot perfectly monitor contractor effort, fixed-price contracts—which are the dominant contract type under LPTA—create incentives for quality shading. The contractor, having won the contract by bidding the lowest price, has a strong incentive to minimize costs of performance, potentially at the expense of quality, unless the government can effectively monitor and enforce quality standards. This theoretical prediction aligns with the empirical observation that LPTA procurements are associated with higher rates of quality problems and performance shortfalls (Watson, 2015; Baker, 2016).</w:t>
      </w:r>
    </w:p>
    <w:p>
      <w:pPr>
        <w:pStyle w:val="Heading3"/>
      </w:pPr>
      <w:r>
        <w:rPr>
          <w:rFonts w:ascii="Times New Roman" w:hAnsi="Times New Roman"/>
          <w:color w:val="000000"/>
        </w:rPr>
        <w:t>2.3.6 Section Summary and Connection to the Dissertation</w:t>
      </w:r>
    </w:p>
    <w:p>
      <w:pPr>
        <w:ind w:firstLine="720"/>
      </w:pPr>
      <w:r>
        <w:t>The economic theory of procurement mechanism choice provides a strong theoretical foundation for the prediction that LPTA will produce inferior outcomes relative to tradeoff for complex, uncertain, and difficult-to-specify acquisitions. Auction theory, TCE, incomplete contract theory, and principal-agent models converge on the conclusion that price-only mechanisms work well for simple, well-defined transactions but create adverse selection, moral hazard, and costly renegotiation when applied to complex procurements. This theoretical convergence motivates the core hypothesis of this dissertation—that best-value tradeoff methods produce higher public value than LPTA—while also specifying the moderating conditions under which the difference should be most pronounced. The next section reviews the empirical evidence directly addressing the relationship between source selection strategy and procurement outcomes.</w:t>
      </w:r>
    </w:p>
    <w:p>
      <w:pPr>
        <w:pStyle w:val="Heading2"/>
      </w:pPr>
      <w:r>
        <w:rPr>
          <w:rFonts w:ascii="Times New Roman" w:hAnsi="Times New Roman"/>
          <w:color w:val="000000"/>
        </w:rPr>
        <w:t>2.4 Empirical Evidence on Award Strategies, Lead Time, and Outcomes</w:t>
      </w:r>
    </w:p>
    <w:p>
      <w:pPr>
        <w:pStyle w:val="Heading3"/>
      </w:pPr>
      <w:r>
        <w:rPr>
          <w:rFonts w:ascii="Times New Roman" w:hAnsi="Times New Roman"/>
          <w:color w:val="000000"/>
        </w:rPr>
        <w:t>2.4.1 Overview of the Empirical Literature</w:t>
      </w:r>
    </w:p>
    <w:p>
      <w:pPr>
        <w:ind w:firstLine="720"/>
      </w:pPr>
      <w:r>
        <w:t>Despite the theoretical richness of the procurement mechanism choice literature, empirical studies directly comparing the outcomes of LPTA and tradeoff source selection methods in government procurement remain relatively scarce. The existing literature is concentrated primarily in the defense acquisition domain, conducted largely at the Naval Postgraduate School and other defense-affiliated institutions, and often relies on small samples, case studies, or descriptive comparisons rather than rigorous quasi-experimental designs (Osman et al., 2017; Watson, 2015; Baker, 2016). Civilian agency procurement has received far less empirical attention, creating a significant gap that this dissertation addresses.</w:t>
      </w:r>
    </w:p>
    <w:p>
      <w:pPr>
        <w:ind w:firstLine="720"/>
      </w:pPr>
      <w:r>
        <w:t>Several factors contribute to the thinness of the empirical literature. First, procurement data are dispersed across multiple systems (FPDS-NG, USAspending.gov, CPARS, individual agency databases) that are difficult to integrate and that often lack the granular variables needed to distinguish LPTA from tradeoff awards or to measure post-award outcomes (Tkachenko et al., 2023). Second, the choice of source selection method is endogenous—agencies select LPTA or tradeoff based on the characteristics of the acquisition—creating identification challenges that require careful econometric treatment (Bajari et al., 2009). Third, many relevant outcomes (e.g., performance quality, user satisfaction) are not systematically recorded in available databases or are recorded with significant measurement error (Rendon, 2009).</w:t>
      </w:r>
    </w:p>
    <w:p>
      <w:pPr>
        <w:ind w:firstLine="720"/>
      </w:pPr>
      <w:r>
        <w:t>Despite these challenges, the existing literature provides valuable evidence that informs the hypotheses of this dissertation. The following subsections review the key empirical studies.</w:t>
      </w:r>
    </w:p>
    <w:p>
      <w:pPr>
        <w:pStyle w:val="Heading3"/>
      </w:pPr>
      <w:r>
        <w:rPr>
          <w:rFonts w:ascii="Times New Roman" w:hAnsi="Times New Roman"/>
          <w:color w:val="000000"/>
        </w:rPr>
        <w:t>2.4.2 Osman, Gomez, and Gunderson (2017)</w:t>
      </w:r>
    </w:p>
    <w:p>
      <w:pPr>
        <w:ind w:firstLine="720"/>
      </w:pPr>
      <w:r>
        <w:t>Osman, Gomez, and Gunderson (2017) conducted one of the more systematic analyses of source selection method and procurement outcomes, using data on DoD contracts awarded between 2008 and 2015. Their study examined the relationship between the source selection method (LPTA vs. tradeoff vs. lowest price) and several outcome variables, including contract cost growth, schedule performance, and the incidence of post-award modifications. Using a sample of over 1,000 contracts across multiple defense agencies, they found that LPTA contracts exhibited higher rates of cost growth and schedule delays compared to tradeoff contracts, even after controlling for contract type, dollar value, and product/service category.</w:t>
      </w:r>
    </w:p>
    <w:p>
      <w:pPr>
        <w:ind w:firstLine="720"/>
      </w:pPr>
      <w:r>
        <w:t>Notably, Osman et al. (2017) found that the difference in outcomes was most pronounced for service contracts and for contracts in product/service categories characterized by high technical complexity. For simpler, commodity-like acquisitions, the differences between LPTA and tradeoff outcomes were smaller and often not statistically significant. This pattern is consistent with the theoretical predictions of Bajari and Tadelis (2001) and Williamson (1985): the superiority of tradeoff methods is contingent on the complexity of the acquisition and the degree of contract incompleteness.</w:t>
      </w:r>
    </w:p>
    <w:p>
      <w:pPr>
        <w:ind w:firstLine="720"/>
      </w:pPr>
      <w:r>
        <w:t>However, Osman et al. (2017) also documented that LPTA contracts had shorter procurement administrative lead times (PALT)—the time from solicitation to award—than tradeoff contracts. This finding reflects the simpler evaluation process under LPTA, which requires only a pass/fail technical assessment rather than a comparative evaluation of multiple factors. The PALT advantage of LPTA creates a genuine tradeoff for agencies: faster awards but potentially worse outcomes. The efficiency of the procurement process itself has value—delayed acquisitions impose costs on the government in the form of capability gaps, extended reliance on interim solutions, and bureaucratic resources devoted to the ongoing procurement—and this speed advantage must be weighed against the lifecycle outcome disadvantage.</w:t>
      </w:r>
    </w:p>
    <w:p>
      <w:pPr>
        <w:pStyle w:val="Heading3"/>
      </w:pPr>
      <w:r>
        <w:rPr>
          <w:rFonts w:ascii="Times New Roman" w:hAnsi="Times New Roman"/>
          <w:color w:val="000000"/>
        </w:rPr>
        <w:t>2.4.3 Watson (2015)</w:t>
      </w:r>
    </w:p>
    <w:p>
      <w:pPr>
        <w:ind w:firstLine="720"/>
      </w:pPr>
      <w:r>
        <w:t>Watson (2015), in a Naval Postgraduate School thesis, examined the relationship between source selection strategy and contractor performance, using CPARS ratings as the primary outcome measure. Drawing on a sample of DoD contracts, Watson compared performance ratings across contracts awarded using LPTA, tradeoff, and other source selection methods. The study found that contracts awarded through tradeoff source selection methods received higher average CPARS ratings on the quality, schedule, and management dimensions compared to LPTA-awarded contracts. The differences were statistically significant and robust to controls for contract value, duration, and service category.</w:t>
      </w:r>
    </w:p>
    <w:p>
      <w:pPr>
        <w:ind w:firstLine="720"/>
      </w:pPr>
      <w:r>
        <w:t>Watson's (2015) findings are particularly noteworthy because CPARS ratings represent the government's own assessment of contractor performance—a direct measure of value delivered rather than an indirect proxy. If LPTA procurements systematically produce lower performance quality, as Watson's evidence suggests, then the cost savings achieved through lower initial prices may be illusory, as the government receives commensurately less value. This interpretation aligns with the VfM framework discussed in Section 2.2: value for money is the ratio of quality to cost, and a mechanism that reduces both cost and quality may not improve VfM.</w:t>
      </w:r>
    </w:p>
    <w:p>
      <w:pPr>
        <w:ind w:firstLine="720"/>
      </w:pPr>
      <w:r>
        <w:t>However, Watson's (2015) study has important limitations. The sample was drawn exclusively from DoD contracts, limiting generalizability to civilian agencies. The study relied on CPARS ratings, which are subjective assessments by government evaluators and may be subject to rater bias, grade inflation, or systematic differences in rating practices across agencies and evaluators (Rendon, 2009). The study also did not fully address the endogeneity of source selection method choice—the possibility that agencies selecting tradeoff methods may differ systematically from those selecting LPTA in ways that also affect performance outcomes.</w:t>
      </w:r>
    </w:p>
    <w:p>
      <w:pPr>
        <w:pStyle w:val="Heading3"/>
      </w:pPr>
      <w:r>
        <w:rPr>
          <w:rFonts w:ascii="Times New Roman" w:hAnsi="Times New Roman"/>
          <w:color w:val="000000"/>
        </w:rPr>
        <w:t>2.4.4 Baker (2016)</w:t>
      </w:r>
    </w:p>
    <w:p>
      <w:pPr>
        <w:ind w:firstLine="720"/>
      </w:pPr>
      <w:r>
        <w:t>Baker (2016) examined the relationship between source selection strategy and contract performance outcomes in a study that attempted to address some of the methodological limitations of prior research. Using a sample of DoD service contracts, Baker compared outcomes across LPTA and tradeoff awards while controlling for a richer set of covariates, including contract complexity, competition level, and agency characteristics. The study found that tradeoff awards were associated with lower cost growth and fewer performance deficiencies, particularly for complex service acquisitions.</w:t>
      </w:r>
    </w:p>
    <w:p>
      <w:pPr>
        <w:ind w:firstLine="720"/>
      </w:pPr>
      <w:r>
        <w:t>Baker's (2016) contribution was particularly valuable in its attention to the interaction between source selection method and contract complexity. The finding that the performance disadvantage of LPTA was concentrated in complex acquisitions provides empirical support for the theoretical prediction that the choice of procurement mechanism matters most when the acquisition is difficult to specify and quality variation among offerors is high. For simpler acquisitions, where requirements can be fully specified and quality above the minimum threshold adds little value, LPTA and tradeoff produced similar outcomes—suggesting that LPTA is indeed appropriate in its intended domain.</w:t>
      </w:r>
    </w:p>
    <w:p>
      <w:pPr>
        <w:pStyle w:val="Heading3"/>
      </w:pPr>
      <w:r>
        <w:rPr>
          <w:rFonts w:ascii="Times New Roman" w:hAnsi="Times New Roman"/>
          <w:color w:val="000000"/>
        </w:rPr>
        <w:t>2.4.5 Additional Empirical Evidence</w:t>
      </w:r>
    </w:p>
    <w:p>
      <w:pPr>
        <w:ind w:firstLine="720"/>
      </w:pPr>
      <w:r>
        <w:t>Beyond these focal studies, several other empirical analyses contribute to the evidence base. Rendon (2009) developed and validated a procurement process maturity model that identified source selection capability as a critical dimension of procurement organizational maturity, finding that agencies with more sophisticated source selection processes—including the ability to effectively implement tradeoff evaluations—achieved better procurement outcomes overall. Snider and Rendon (2008) examined the relationship between contract management practices and post-award outcomes, finding that agencies with stronger contract management capabilities were better able to realize the potential benefits of tradeoff source selection.</w:t>
      </w:r>
    </w:p>
    <w:p>
      <w:pPr>
        <w:ind w:firstLine="720"/>
      </w:pPr>
      <w:r>
        <w:t>The Government Accountability Office (GAO) has produced numerous reports examining specific procurement failures and identifying source selection strategy as a contributing factor. GAO's 2024 annual report on defense acquisition highlighted cases in which the use of LPTA for complex procurements contributed to performance failures, cost overruns, and schedule delays, recommending that DoD strengthen its guidance on the appropriate use of LPTA and increase oversight of source selection method decisions (GAO, 2024). While GAO reports are not peer-reviewed empirical studies, they provide valuable case evidence and institutional analysis that complement the quantitative literature.</w:t>
      </w:r>
    </w:p>
    <w:p>
      <w:pPr>
        <w:ind w:firstLine="720"/>
      </w:pPr>
      <w:r>
        <w:t>At the international level, Dimitri et al. (2006) provided a comprehensive analysis of procurement mechanism choice across European public procurement systems, finding significant variation in the use of price-only versus multi-criteria evaluation methods and in the outcomes achieved under different approaches. Their analysis is consistent with the U.S.-focused literature in finding that multi-criteria evaluation methods (the European analog of best-value tradeoff) are associated with better outcomes for complex acquisitions. The European Commission's (2011, 2020) evaluations of the EU procurement directives have similarly found that the use of the "most economically advantageous tender" (MEAT) criterion—which requires evaluation on both price and quality—is associated with better value for money compared to lowest-price-only awards.</w:t>
      </w:r>
    </w:p>
    <w:p>
      <w:pPr>
        <w:pStyle w:val="Heading3"/>
      </w:pPr>
      <w:r>
        <w:rPr>
          <w:rFonts w:ascii="Times New Roman" w:hAnsi="Times New Roman"/>
          <w:color w:val="000000"/>
        </w:rPr>
        <w:t>2.4.6 Gaps in the Literature</w:t>
      </w:r>
    </w:p>
    <w:p>
      <w:pPr>
        <w:ind w:firstLine="720"/>
      </w:pPr>
      <w:r>
        <w:t>The empirical literature on source selection strategy and outcomes, while providing valuable initial evidence, exhibits several significant gaps that this dissertation seeks to address:</w:t>
      </w:r>
    </w:p>
    <w:p>
      <w:pPr>
        <w:pStyle w:val="ListNumber"/>
      </w:pPr>
      <w:r>
        <w:rPr>
          <w:b/>
        </w:rPr>
        <w:t>Civilian agency evidence</w:t>
      </w:r>
      <w:r>
        <w:t>: The vast majority of empirical studies have examined DoD procurement, leaving a major gap in evidence on civilian federal agencies and state/local governments. Civilian procurement differs from defense acquisition in important ways—including the types of goods and services procured, the regulatory framework, the market structure, and the institutional capacity of procurement organizations—and findings from defense contexts may not generalize (Tkachenko et al., 2023).</w:t>
      </w:r>
    </w:p>
    <w:p>
      <w:pPr>
        <w:pStyle w:val="ListNumber"/>
      </w:pPr>
      <w:r>
        <w:rPr>
          <w:b/>
        </w:rPr>
        <w:t>Cross-sector comparison</w:t>
      </w:r>
      <w:r>
        <w:t>: No existing study has systematically compared LPTA and tradeoff outcomes across multiple federal agencies and product/service categories using a common methodological framework and outcome metrics.</w:t>
      </w:r>
    </w:p>
    <w:p>
      <w:pPr>
        <w:pStyle w:val="ListNumber"/>
      </w:pPr>
      <w:r>
        <w:rPr>
          <w:b/>
        </w:rPr>
        <w:t>Endogeneity</w:t>
      </w:r>
      <w:r>
        <w:t>: Prior studies have not adequately addressed the endogeneity of source selection method choice. Because agencies choose LPTA or tradeoff based on acquisition characteristics that also affect outcomes, naive comparisons may be biased. This dissertation employs propensity score matching and instrumental variable techniques to address this identification challenge.</w:t>
      </w:r>
    </w:p>
    <w:p>
      <w:pPr>
        <w:pStyle w:val="ListNumber"/>
      </w:pPr>
      <w:r>
        <w:rPr>
          <w:b/>
        </w:rPr>
        <w:t>Composite outcomes</w:t>
      </w:r>
      <w:r>
        <w:t>: Prior studies have typically examined individual outcome dimensions (cost growth, schedule, performance ratings) in isolation rather than constructing composite public value indices that capture the multidimensional nature of procurement value.</w:t>
      </w:r>
    </w:p>
    <w:p>
      <w:pPr>
        <w:pStyle w:val="ListNumber"/>
      </w:pPr>
      <w:r>
        <w:rPr>
          <w:b/>
        </w:rPr>
        <w:t>Mediating mechanisms</w:t>
      </w:r>
      <w:r>
        <w:t>: The causal pathways through which source selection strategy affects outcomes—including solicitation quality, competition, protest dynamics, and post-award management—have not been systematically modeled.</w:t>
      </w:r>
    </w:p>
    <w:p>
      <w:pPr>
        <w:pStyle w:val="Heading3"/>
      </w:pPr>
      <w:r>
        <w:rPr>
          <w:rFonts w:ascii="Times New Roman" w:hAnsi="Times New Roman"/>
          <w:color w:val="000000"/>
        </w:rPr>
        <w:t>2.4.7 Section Summary and Connection to the Dissertation</w:t>
      </w:r>
    </w:p>
    <w:p>
      <w:pPr>
        <w:ind w:firstLine="720"/>
      </w:pPr>
      <w:r>
        <w:t>The empirical evidence, while limited, consistently points in the direction predicted by theory: best-value tradeoff methods are associated with better procurement outcomes than LPTA, particularly for complex acquisitions. However, the evidence base is narrow, concentrated in defense contexts, and methodologically limited. This dissertation contributes to the literature by providing the first large-scale, cross-agency, quasi-experimental analysis of source selection strategy and public value outcomes in U.S. federal procurement. The following sections review the literatures on five critical mediating and moderating factors—bid protests, solicitation quality, oversight, renegotiation, and incumbency—that shape the pathway from source selection strategy to procurement outcomes.</w:t>
      </w:r>
    </w:p>
    <w:p>
      <w:pPr>
        <w:pStyle w:val="Heading2"/>
      </w:pPr>
      <w:r>
        <w:rPr>
          <w:rFonts w:ascii="Times New Roman" w:hAnsi="Times New Roman"/>
          <w:color w:val="000000"/>
        </w:rPr>
        <w:t>2.5 Bid Protests, Accountability, and Procurement Delay</w:t>
      </w:r>
    </w:p>
    <w:p>
      <w:pPr>
        <w:pStyle w:val="Heading3"/>
      </w:pPr>
      <w:r>
        <w:rPr>
          <w:rFonts w:ascii="Times New Roman" w:hAnsi="Times New Roman"/>
          <w:color w:val="000000"/>
        </w:rPr>
        <w:t>2.5.1 The Dual Nature of Bid Protests</w:t>
      </w:r>
    </w:p>
    <w:p>
      <w:pPr>
        <w:ind w:firstLine="720"/>
      </w:pPr>
      <w:r>
        <w:t>Bid protests occupy a paradoxical position in the procurement system: they are simultaneously a critical accountability mechanism that safeguards the integrity of the procurement process and a source of delay, cost, and disruption that can undermine timely acquisition (Gordon, 2006; Schwartz &amp; Manuel, 2018). Understanding this dual nature is essential to assessing the effects of source selection strategy on procurement outcomes, because the choice between LPTA and tradeoff affects both the likelihood and the consequences of protests.</w:t>
      </w:r>
    </w:p>
    <w:p>
      <w:pPr>
        <w:ind w:firstLine="720"/>
      </w:pPr>
      <w:r>
        <w:t>A bid protest is a formal challenge by an interested party—typically an unsuccessful offeror—alleging that a government agency violated applicable procurement laws, regulations, or the terms of the solicitation in conducting a procurement (Gordon, 2006; Cibinic et al., 2015). Protests may challenge any aspect of the procurement process, including the solicitation terms, the evaluation criteria, the evaluation of proposals, the source selection decision, and the agency's conduct of discussions or negotiations. The protest system serves several important functions: it provides a check on arbitrary or unlawful agency action, it creates incentives for agencies to conduct procurements carefully and in compliance with applicable rules, and it provides a forum for resolving disputes without resort to more costly and disruptive litigation (Yukins, 2012; Schooner, 2001).</w:t>
      </w:r>
    </w:p>
    <w:p>
      <w:pPr>
        <w:pStyle w:val="Heading3"/>
      </w:pPr>
      <w:r>
        <w:rPr>
          <w:rFonts w:ascii="Times New Roman" w:hAnsi="Times New Roman"/>
          <w:color w:val="000000"/>
        </w:rPr>
        <w:t>2.5.2 GAO Protest Process and Outcomes</w:t>
      </w:r>
    </w:p>
    <w:p>
      <w:pPr>
        <w:ind w:firstLine="720"/>
      </w:pPr>
      <w:r>
        <w:t>The Government Accountability Office (GAO) is the primary forum for federal procurement protests, handling approximately 2,000-2,500 protest cases per year (GAO, 2025). The GAO protest process is designed to be expeditious: GAO must issue a decision within 100 calendar days of the protest filing, and agencies must provide their administrative reports within 30 days (GAO, 2025; 4 C.F.R. Part 21). When a protest is filed, the agency is generally required to suspend contract performance (if the contract has already been awarded) or delay award (if it has not), pending resolution of the protest—the so-called automatic stay provision, which is a distinctive feature of the U.S. protest system (Cibinic et al., 2015; Schwartz &amp; Manuel, 2018).</w:t>
      </w:r>
    </w:p>
    <w:p>
      <w:pPr>
        <w:ind w:firstLine="720"/>
      </w:pPr>
      <w:r>
        <w:t>GAO's annual report on bid protests provides a detailed accounting of protest outcomes. In recent fiscal years, GAO has reported that approximately 45-50% of protests are resolved without a formal GAO decision—typically through agency corrective action in which the agency voluntarily re-evaluates proposals, amends the solicitation, or takes other steps to address the protester's concerns (GAO, 2025). Of the protests that proceed to a merits decision, GAO sustains approximately 15-18%—finding that the agency violated applicable law or regulation in a manner prejudicial to the protester (GAO, 2025). The "effectiveness rate"—the percentage of protests in which the protester obtains some form of relief, whether through GAO sustain or agency corrective action—has typically been in the range of 40-50% in recent years (GAO, 2025).</w:t>
      </w:r>
    </w:p>
    <w:p>
      <w:pPr>
        <w:ind w:firstLine="720"/>
      </w:pPr>
      <w:r>
        <w:t>These statistics have important implications for the assessment of procurement quality. The fact that nearly half of all protests result in some form of relief suggests that agencies make significant process errors with appreciable frequency—errors that, in the absence of the protest mechanism, would go uncorrected and could result in suboptimal or unlawful contract awards. At the same time, the protest process imposes real costs: agencies must prepare administrative reports, respond to legal arguments, and potentially re-do evaluations; contractors must bear the costs of protest preparation and litigation; and the government may experience capability gaps during the period of delay (Schwartz &amp; Manuel, 2018; Lusby, 2013).</w:t>
      </w:r>
    </w:p>
    <w:p>
      <w:pPr>
        <w:pStyle w:val="Heading3"/>
      </w:pPr>
      <w:r>
        <w:rPr>
          <w:rFonts w:ascii="Times New Roman" w:hAnsi="Times New Roman"/>
          <w:color w:val="000000"/>
        </w:rPr>
        <w:t>2.5.3 Other Protest Forums</w:t>
      </w:r>
    </w:p>
    <w:p>
      <w:pPr>
        <w:ind w:firstLine="720"/>
      </w:pPr>
      <w:r>
        <w:t>In addition to GAO, procurement protests can be filed at the agency level (with the contracting officer or agency protest forum) or at the United States Court of Federal Claims (COFC) (Gordon, 2006; Cibinic et al., 2015). Agency-level protests are generally faster but may be perceived as less independent, since the agency is essentially reviewing its own decision. COFC protests involve formal litigation with discovery, briefing, and judicial decision-making, and can be more thorough but also more time-consuming and expensive (Gordon, 2006). The existence of multiple protest forums creates a layered accountability system in which different forums serve different functions: agency-level protests enable quick self-correction, GAO protests provide independent review with binding timeline requirements, and COFC protests provide a judicial backstop for the most consequential disputes (Yukins, 2012).</w:t>
      </w:r>
    </w:p>
    <w:p>
      <w:pPr>
        <w:ind w:firstLine="720"/>
      </w:pPr>
      <w:r>
        <w:t>At the state level, protest mechanisms vary considerably. Some states provide robust protest forums with clear timelines and independent review, while others provide limited or no protest rights, relying instead on administrative complaint processes or general contract litigation (NASPO, 2019; NIGP, 2016). This variation in protest availability and process creates cross-jurisdictional differences in the accountability environment for procurement—differences that may affect both the behavior of procurement officials and the quality of procurement outcomes. Yukins (2012) argued that the availability of protest mechanisms, while imposing costs, ultimately improves procurement quality by creating incentives for careful compliance and by correcting errors that would otherwise persist.</w:t>
      </w:r>
    </w:p>
    <w:p>
      <w:pPr>
        <w:pStyle w:val="Heading3"/>
      </w:pPr>
      <w:r>
        <w:rPr>
          <w:rFonts w:ascii="Times New Roman" w:hAnsi="Times New Roman"/>
          <w:color w:val="000000"/>
        </w:rPr>
        <w:t>2.5.4 Protests and Source Selection Strategy</w:t>
      </w:r>
    </w:p>
    <w:p>
      <w:pPr>
        <w:ind w:firstLine="720"/>
      </w:pPr>
      <w:r>
        <w:t>The choice between LPTA and tradeoff affects protest dynamics in several ways. First, tradeoff procurements involve more complex evaluation processes with greater exercises of subjective judgment, creating more potential grounds for protest (Schwartz &amp; Manuel, 2018). An LPTA evaluation is relatively simple—proposals either meet the technical requirements or they do not, and the lowest-priced acceptable proposal wins—leaving limited scope for evaluation challenges. A tradeoff evaluation, by contrast, involves subjective assessments of technical merit, qualitative comparisons among proposals, and judgment calls about the relative weight of price and non-price factors—all of which can be challenged as arbitrary, unreasonable, or inconsistent with the evaluation criteria (Gordon, 2006; Cibinic et al., 2015).</w:t>
      </w:r>
    </w:p>
    <w:p>
      <w:pPr>
        <w:ind w:firstLine="720"/>
      </w:pPr>
      <w:r>
        <w:t>Second, however, the greater procedural simplicity of LPTA does not necessarily translate into fewer protests. Protests challenging LPTA procurements often focus on the appropriateness of using LPTA in the first instance—arguing that the acquisition is too complex or quality-sensitive for a price-only evaluation—or on the adequacy of the technical acceptability standards (CRS, 2024). Furthermore, when LPTA leads to awards to low-quality contractors who subsequently fail to perform, the resulting recompetition or termination creates additional opportunities for protest and delay.</w:t>
      </w:r>
    </w:p>
    <w:p>
      <w:pPr>
        <w:ind w:firstLine="720"/>
      </w:pPr>
      <w:r>
        <w:t>Congressional Research Service (2018) analyzed the relationship between source selection method and protest activity, finding that while tradeoff procurements had a somewhat higher raw protest rate, the difference was largely explained by the greater complexity and dollar value of tradeoff acquisitions—factors independently associated with higher protest rates. After controlling for acquisition complexity and value, the difference in protest rates between LPTA and tradeoff was modest. Schwartz and Manuel (2018) provided a comprehensive analysis of the bid protest system, concluding that protests, while imposing costs and delays, serve an important quality-control function and that efforts to limit protest rights should be approached cautiously.</w:t>
      </w:r>
    </w:p>
    <w:p>
      <w:pPr>
        <w:pStyle w:val="Heading3"/>
      </w:pPr>
      <w:r>
        <w:rPr>
          <w:rFonts w:ascii="Times New Roman" w:hAnsi="Times New Roman"/>
          <w:color w:val="000000"/>
        </w:rPr>
        <w:t>2.5.5 Balancing Integrity with Timely Acquisition</w:t>
      </w:r>
    </w:p>
    <w:p>
      <w:pPr>
        <w:ind w:firstLine="720"/>
      </w:pPr>
      <w:r>
        <w:t>The tension between accountability and timeliness is a recurring theme in the procurement literature and in policy debates about protest reform (Gordon, 2006; Schooner, 2001; Lusby, 2013). Proposals to limit protest rights—by shortening filing deadlines, raising filing fees, limiting the scope of reviewable issues, or eliminating the automatic stay—are periodically advanced by agencies and contractors who view protests as a source of undue delay (Lusby, 2013). Opponents of such proposals argue that the protest system is the primary external check on agency procurement decisions and that weakening it would increase the risk of waste, fraud, and abuse (Yukins, 2012; Schooner, 2001).</w:t>
      </w:r>
    </w:p>
    <w:p>
      <w:pPr>
        <w:ind w:firstLine="720"/>
      </w:pPr>
      <w:r>
        <w:t>The empirical evidence on the net effect of protests on procurement quality is mixed but suggests that the accountability benefits generally outweigh the delay costs, at least at the current level of protest activity. GAO's data show that the vast majority of protests are filed in connection with a small proportion of total contract actions—protest rates have consistently been below 2% of contract actions eligible for protest—and that most protests are resolved within a few months (GAO, 2025). The costs of delay, while real, are typically modest relative to the total value of the procurement, and the corrective actions taken in response to sustained protests often result in improved outcomes (Schwartz &amp; Manuel, 2018).</w:t>
      </w:r>
    </w:p>
    <w:p>
      <w:pPr>
        <w:ind w:firstLine="720"/>
      </w:pPr>
      <w:r>
        <w:t>However, the balance between accountability and timeliness may differ across source selection methods and acquisition types. For complex, high-value tradeoff procurements, the accountability function of protests is particularly valuable because the evaluation process involves substantial discretion and the consequences of error are significant. For simpler LPTA procurements, where the evaluation is largely mechanical and the consequences of error are more limited, the delay costs of protests may outweigh the accountability benefits. This observation suggests a more nuanced approach to protest management that tailors the intensity and speed of review to the complexity and significance of the procurement.</w:t>
      </w:r>
    </w:p>
    <w:p>
      <w:pPr>
        <w:pStyle w:val="Heading3"/>
      </w:pPr>
      <w:r>
        <w:rPr>
          <w:rFonts w:ascii="Times New Roman" w:hAnsi="Times New Roman"/>
          <w:color w:val="000000"/>
        </w:rPr>
        <w:t>2.5.6 Section Summary and Connection to the Dissertation</w:t>
      </w:r>
    </w:p>
    <w:p>
      <w:pPr>
        <w:ind w:firstLine="720"/>
      </w:pPr>
      <w:r>
        <w:t>Bid protests are an integral part of the procurement ecosystem, serving as both an accountability mechanism and a source of delay. The relationship between source selection strategy and protest dynamics is complex and bidirectional: tradeoff methods create more potential grounds for protest but may also produce more defensible decisions, while LPTA methods simplify the evaluation but may generate protests challenging the appropriateness of the method itself. Understanding these dynamics is essential to modeling the full pathway from source selection strategy to public value outcomes. The next section examines a closely related topic: how the quality of the solicitation itself—the clarity and completeness of requirements—affects procurement outcomes and interacts with source selection strategy.</w:t>
      </w:r>
    </w:p>
    <w:p>
      <w:pPr>
        <w:pStyle w:val="Heading2"/>
      </w:pPr>
      <w:r>
        <w:rPr>
          <w:rFonts w:ascii="Times New Roman" w:hAnsi="Times New Roman"/>
          <w:color w:val="000000"/>
        </w:rPr>
        <w:t>2.6 Solicitation Quality, Requirements Clarity, and Need Misalignment</w:t>
      </w:r>
    </w:p>
    <w:p>
      <w:pPr>
        <w:pStyle w:val="Heading3"/>
      </w:pPr>
      <w:r>
        <w:rPr>
          <w:rFonts w:ascii="Times New Roman" w:hAnsi="Times New Roman"/>
          <w:color w:val="000000"/>
        </w:rPr>
        <w:t>2.6.1 Requirements as Determinant of Procurement Outcomes</w:t>
      </w:r>
    </w:p>
    <w:p>
      <w:pPr>
        <w:ind w:firstLine="720"/>
      </w:pPr>
      <w:r>
        <w:t>The quality of the solicitation—particularly the clarity, completeness, and accuracy of the requirements—is widely recognized as one of the most important determinants of procurement outcomes, yet it has received remarkably little systematic empirical attention (Johansson &amp; Lahtinen, 2012; OECD, 2009). A solicitation that clearly communicates the government's needs, specifies evaluation criteria unambiguously, and provides sufficient information for offerors to prepare accurate and competitive proposals creates the foundation for a successful procurement. Conversely, a solicitation with vague, incomplete, or internally inconsistent requirements undermines the entire acquisition process, regardless of the source selection method employed (NIGP, 2014; Office of Procurement Ombudsman Canada, 2025).</w:t>
      </w:r>
    </w:p>
    <w:p>
      <w:pPr>
        <w:ind w:firstLine="720"/>
      </w:pPr>
      <w:r>
        <w:t>The importance of solicitation quality is a recurring theme in GAO protest decisions. A substantial proportion of sustained protests involve findings that the agency's evaluation was inconsistent with the stated evaluation criteria, that the solicitation was ambiguous, or that the agency failed to follow its own solicitation terms (GAO, 2025). These findings suggest that solicitation quality is not merely a theoretical concern but a practical problem with measurable consequences for procurement integrity and outcomes.</w:t>
      </w:r>
    </w:p>
    <w:p>
      <w:pPr>
        <w:pStyle w:val="Heading3"/>
      </w:pPr>
      <w:r>
        <w:rPr>
          <w:rFonts w:ascii="Times New Roman" w:hAnsi="Times New Roman"/>
          <w:color w:val="000000"/>
        </w:rPr>
        <w:t>2.6.2 Ambiguity, Uncertainty, and Strategic Behavior</w:t>
      </w:r>
    </w:p>
    <w:p>
      <w:pPr>
        <w:ind w:firstLine="720"/>
      </w:pPr>
      <w:r>
        <w:t>When requirements are ambiguous or incomplete, several adverse consequences follow. First, offerors face increased uncertainty about the government's actual needs and the likely scope of contract performance, which increases the cost and risk of proposal preparation and may deter participation—particularly by smaller firms with fewer resources to absorb the risk (Johansson &amp; Lahtinen, 2012). Second, ambiguous requirements create opportunities for strategic behavior: sophisticated offerors may bid based on a narrow interpretation of the requirements, planning to recover through post-award modifications when the full scope of the government's needs becomes apparent (Jung et al., 2013). Third, ambiguity in evaluation criteria creates discretion in the evaluation process that can be—or can be perceived to be—exercised arbitrarily, increasing the likelihood of protests and undermining stakeholder confidence in the procurement process (OECD, 2009).</w:t>
      </w:r>
    </w:p>
    <w:p>
      <w:pPr>
        <w:ind w:firstLine="720"/>
      </w:pPr>
      <w:r>
        <w:t>The interaction between solicitation quality and source selection method is particularly important. Under LPTA, the consequences of ambiguous requirements are amplified because the evaluation mechanism provides no means of distinguishing between offerors who have genuinely understood and can meet the government's needs and those who have adopted a narrow interpretation of the requirements to minimize price. When the only selection criterion above the technical floor is price, offerors have a strong incentive to interpret requirements narrowly and price aggressively—knowing that the ambiguity creates room for post-award scope expansion (Bajari &amp; Tadelis, 2001). Under tradeoff, the evaluation of technical approach and past performance provides some safeguard against this problem, as offerors who demonstrate a deeper understanding of the government's needs and a more robust approach to addressing them can be rewarded with higher technical scores—even if their prices are higher (DAU, 2023).</w:t>
      </w:r>
    </w:p>
    <w:p>
      <w:pPr>
        <w:pStyle w:val="Heading3"/>
      </w:pPr>
      <w:r>
        <w:rPr>
          <w:rFonts w:ascii="Times New Roman" w:hAnsi="Times New Roman"/>
          <w:color w:val="000000"/>
        </w:rPr>
        <w:t>2.6.3 IT Procurement and Requirements Challenges</w:t>
      </w:r>
    </w:p>
    <w:p>
      <w:pPr>
        <w:ind w:firstLine="720"/>
      </w:pPr>
      <w:r>
        <w:t>Information technology procurement presents particularly acute requirements challenges. IT systems are complex, evolving rapidly, and often require customization to the specific operational needs of the acquiring agency (GAO, 2024; Kelman, 2005). The process of translating operational needs into technical specifications is inherently difficult and error-prone: requirements may be stated in terms that are too general to guide development, too specific to accommodate evolving technology, or too focused on technical specifications rather than operational outcomes (Johansson &amp; Lahtinen, 2012).</w:t>
      </w:r>
    </w:p>
    <w:p>
      <w:pPr>
        <w:ind w:firstLine="720"/>
      </w:pPr>
      <w:r>
        <w:t>The challenges of IT procurement requirements have been extensively documented in the literature on government IT project failures. Standish Group reports have consistently found that unclear or changing requirements are among the top causes of IT project failure, with public sector projects particularly susceptible (Standish Group, 2020). The GAO has identified requirements management as a critical risk area for federal IT acquisitions, recommending that agencies invest in requirements definition, stakeholder engagement, and iterative development approaches that can accommodate evolving needs (GAO, 2024).</w:t>
      </w:r>
    </w:p>
    <w:p>
      <w:pPr>
        <w:ind w:firstLine="720"/>
      </w:pPr>
      <w:r>
        <w:t>The interaction between IT procurement challenges and source selection method is significant. When IT requirements are complex and evolving, LPTA is particularly problematic because it forces the government to specify requirements precisely enough for a pass/fail technical evaluation—a level of specificity that may be unattainable for complex IT systems—while selecting the contractor based solely on price, without regard to the contractor's capability to adapt to evolving needs or to bring innovation and expertise to the project (Ban, 2015; CRS, 2024). Tradeoff methods, by contrast, allow the government to evaluate the contractor's understanding of the problem, its proposed technical approach, the experience and qualifications of its personnel, and its capacity for adaptation—factors that are critical determinants of success in complex IT projects.</w:t>
      </w:r>
    </w:p>
    <w:p>
      <w:pPr>
        <w:pStyle w:val="Heading3"/>
      </w:pPr>
      <w:r>
        <w:rPr>
          <w:rFonts w:ascii="Times New Roman" w:hAnsi="Times New Roman"/>
          <w:color w:val="000000"/>
        </w:rPr>
        <w:t>2.6.4 OECD Anti-Bias Tender Design Guidance</w:t>
      </w:r>
    </w:p>
    <w:p>
      <w:pPr>
        <w:ind w:firstLine="720"/>
      </w:pPr>
      <w:r>
        <w:t>The OECD (2009) has provided comprehensive guidance on tender design that addresses the risk of bias, ambiguity, and manipulation in procurement solicitations. The OECD framework emphasizes several principles for effective tender design: requirements should be stated in terms of outcomes or functional capabilities rather than prescriptive technical specifications where possible; evaluation criteria should be clearly stated, objectively measurable where feasible, and weighted in accordance with their relative importance to the government's needs; and solicitations should provide sufficient time and information for offerors to prepare thoughtful proposals (OECD, 2009).</w:t>
      </w:r>
    </w:p>
    <w:p>
      <w:pPr>
        <w:ind w:firstLine="720"/>
      </w:pPr>
      <w:r>
        <w:t>The OECD guidance also addresses the risk that tender design features may inadvertently or deliberately favor particular offerors. Short response timelines, overly narrow technical specifications, excessive experience requirements, and evaluation criteria that align closely with the capabilities of a specific firm can all operate to suppress competition and undermine the integrity of the procurement process (OECD, 2009; Fazekas &amp; Blum, 2021). These tender design features interact with source selection strategy: under LPTA, where only price matters above the technical threshold, narrow specifications that limit the pool of technically acceptable offerors have a direct and deterministic effect on competition and outcomes. Under tradeoff, the broader evaluation framework provides some buffer against specification narrowing, as a wider range of approaches can compete on quality dimensions.</w:t>
      </w:r>
    </w:p>
    <w:p>
      <w:pPr>
        <w:pStyle w:val="Heading3"/>
      </w:pPr>
      <w:r>
        <w:rPr>
          <w:rFonts w:ascii="Times New Roman" w:hAnsi="Times New Roman"/>
          <w:color w:val="000000"/>
        </w:rPr>
        <w:t>2.6.5 Section Summary and Connection to the Dissertation</w:t>
      </w:r>
    </w:p>
    <w:p>
      <w:pPr>
        <w:ind w:firstLine="720"/>
      </w:pPr>
      <w:r>
        <w:t>Solicitation quality—the clarity, completeness, and fairness of the requirements—is a critical mediator in the pathway from source selection strategy to procurement outcomes. Poor solicitation quality amplifies the disadvantages of LPTA by creating conditions that reward narrow interpretation and strategic pricing, while tradeoff methods provide some buffering against requirements deficiencies by evaluating the depth of offerors' understanding and the quality of their proposed approaches. The operationalization of solicitation quality indicators and their incorporation into the empirical analysis is described in Chapter 3. The next section examines another important mediating factor: the role of oversight layers in shaping procurement efficiency and outcomes.</w:t>
      </w:r>
    </w:p>
    <w:p>
      <w:pPr>
        <w:pStyle w:val="Heading2"/>
      </w:pPr>
      <w:r>
        <w:rPr>
          <w:rFonts w:ascii="Times New Roman" w:hAnsi="Times New Roman"/>
          <w:color w:val="000000"/>
        </w:rPr>
        <w:t>2.7 Oversight Layers, Review Boards, and the "Fraud Protection" Tradeoff</w:t>
      </w:r>
    </w:p>
    <w:p>
      <w:pPr>
        <w:pStyle w:val="Heading3"/>
      </w:pPr>
      <w:r>
        <w:rPr>
          <w:rFonts w:ascii="Times New Roman" w:hAnsi="Times New Roman"/>
          <w:color w:val="000000"/>
        </w:rPr>
        <w:t>2.7.1 The Rationale for Oversight in Public Procurement</w:t>
      </w:r>
    </w:p>
    <w:p>
      <w:pPr>
        <w:ind w:firstLine="720"/>
      </w:pPr>
      <w:r>
        <w:t>Public procurement operates under a regime of oversight that has no parallel in private-sector purchasing. Multiple layers of review, approval, and audit are imposed on procurement decisions by statute, regulation, and agency policy, reflecting the fundamental premise that public expenditure must be subject to external checks to prevent waste, fraud, and abuse (McCue, 2003; Kelman, 2005). These oversight mechanisms include pre-award reviews by higher-level contracting authorities, legal sufficiency reviews, source selection boards, peer reviews, competition advocates, inspectors general, GAO audits, congressional oversight, and the bid protest system discussed in Section 2.5 (Cibinic et al., 2015; Manuel, 2011).</w:t>
      </w:r>
    </w:p>
    <w:p>
      <w:pPr>
        <w:ind w:firstLine="720"/>
      </w:pPr>
      <w:r>
        <w:t>The theoretical justification for procurement oversight rests on principal-agent theory and the observation that public officials, like all agents, may deviate from their principals' interests in the absence of monitoring and accountability mechanisms (Miller, 2005). In the procurement context, the potential for deviation takes several forms: corruption (accepting bribes or personal benefits in exchange for favorable contract actions), favoritism (directing awards to preferred contractors for non-meritorious reasons), waste (failing to pursue cost-effective solutions due to negligence or indifference), and policy subversion (using procurement authority to pursue personal or bureaucratic objectives that conflict with legislative intent) (McCue, 2003; Thai, 2001). Oversight mechanisms are designed to deter these behaviors by increasing the probability of detection and the consequences of wrongdoing.</w:t>
      </w:r>
    </w:p>
    <w:p>
      <w:pPr>
        <w:pStyle w:val="Heading3"/>
      </w:pPr>
      <w:r>
        <w:rPr>
          <w:rFonts w:ascii="Times New Roman" w:hAnsi="Times New Roman"/>
          <w:color w:val="000000"/>
        </w:rPr>
        <w:t>2.7.2 Oversight as a Source of Delay and Cost</w:t>
      </w:r>
    </w:p>
    <w:p>
      <w:pPr>
        <w:ind w:firstLine="720"/>
      </w:pPr>
      <w:r>
        <w:t>While the fraud-prevention rationale for oversight is well-established, a growing body of literature has documented the costs that excessive oversight imposes on procurement efficiency. Kelman (1990, 2005) was one of the most influential critics of what he termed the "procurement pathology"—the tendency of the procurement system to impose layer upon layer of rules, reviews, and approvals in response to individual instances of failure or scandal, creating a regulatory burden that far exceeds what is necessary to prevent wrongdoing and that significantly impedes the government's ability to acquire goods and services efficiently.</w:t>
      </w:r>
    </w:p>
    <w:p>
      <w:pPr>
        <w:ind w:firstLine="720"/>
      </w:pPr>
      <w:r>
        <w:t>Kelman (1990) argued that the procurement system's preoccupation with preventing corruption and process violations came at the expense of achieving good outcomes. By constraining the discretion of procurement professionals, the system made it difficult for competent professionals to exercise the judgment necessary to achieve the best results, while doing relatively little to deter the small number of individuals who were actually inclined toward corruption. The result, Kelman argued, was a system that punished the many to constrain the few—imposing costs on every procurement action to prevent misconduct that affected only a tiny fraction of actions.</w:t>
      </w:r>
    </w:p>
    <w:p>
      <w:pPr>
        <w:ind w:firstLine="720"/>
      </w:pPr>
      <w:r>
        <w:t>Subsequent research has documented the empirical consequences of this dynamic. Procurement administrative lead time (PALT)—the time from solicitation to award—has increased substantially over recent decades, with complex federal procurements often taking 12-18 months or longer from requirement identification to contract award (DAU, 2023; RAND Corporation, 2022). While multiple factors contribute to PALT, oversight and review requirements are consistently identified as significant contributors by procurement professionals and organizational studies (DAU, 2023; Rendon, 2009).</w:t>
      </w:r>
    </w:p>
    <w:p>
      <w:pPr>
        <w:pStyle w:val="Heading3"/>
      </w:pPr>
      <w:r>
        <w:rPr>
          <w:rFonts w:ascii="Times New Roman" w:hAnsi="Times New Roman"/>
          <w:color w:val="000000"/>
        </w:rPr>
        <w:t>2.7.3 Calvo, Cui, and Serpa (2019): Oversight and Efficiency</w:t>
      </w:r>
    </w:p>
    <w:p>
      <w:pPr>
        <w:ind w:firstLine="720"/>
      </w:pPr>
      <w:r>
        <w:t>Calvo, Cui, and Serpa (2019) provided rigorous causal evidence on the effects of oversight on public project efficiency using a regression discontinuity design. Their study exploited a threshold rule in a Latin American country that required projects above a certain budget threshold to undergo additional oversight and approval processes. By comparing projects just above and just below this threshold—which were similar in all respects except for the additional oversight requirement—they were able to estimate the causal effect of the additional oversight on project outcomes.</w:t>
      </w:r>
    </w:p>
    <w:p>
      <w:pPr>
        <w:ind w:firstLine="720"/>
      </w:pPr>
      <w:r>
        <w:t>The results were striking: projects subject to additional oversight experienced significantly longer delays and higher cost overruns compared to otherwise similar projects below the threshold. The additional oversight did not reduce the incidence of quality deficiencies or other performance problems—suggesting that the oversight was imposing costs without producing offsetting benefits. Calvo et al. (2019) interpreted their findings as evidence that the marginal oversight layer, at least in their context, was operating in the region of diminishing returns where the costs of additional review exceeded the benefits of additional scrutiny.</w:t>
      </w:r>
    </w:p>
    <w:p>
      <w:pPr>
        <w:ind w:firstLine="720"/>
      </w:pPr>
      <w:r>
        <w:t>While the Calvo et al. (2019) study was conducted in a non-U.S. context, its findings resonate with the U.S. procurement experience. The study provides causal evidence supporting the theoretical arguments of Kelman (1990, 2005) and others who have contended that the U.S. procurement system suffers from excessive oversight that impedes efficiency without materially improving integrity. In the context of this dissertation, the findings suggest that post-award administrative oversight layers—such as additional review and approval requirements for contract modifications, change orders, and performance assessments—may increase schedule delays and lifecycle costs, contributing to the erosion of public value.</w:t>
      </w:r>
    </w:p>
    <w:p>
      <w:pPr>
        <w:pStyle w:val="Heading3"/>
      </w:pPr>
      <w:r>
        <w:rPr>
          <w:rFonts w:ascii="Times New Roman" w:hAnsi="Times New Roman"/>
          <w:color w:val="000000"/>
        </w:rPr>
        <w:t>2.7.4 McCue (2003): The Fraud-Protection Dilemma</w:t>
      </w:r>
    </w:p>
    <w:p>
      <w:pPr>
        <w:ind w:firstLine="720"/>
      </w:pPr>
      <w:r>
        <w:t>McCue (2003) examined the tension between fraud prevention and procurement efficiency from a public administration perspective, analyzing how government agencies balance the competing demands of accountability and performance in their procurement systems. McCue's analysis identified a "fraud protection dilemma" in which the fear of waste, fraud, and abuse drives the adoption of increasingly burdensome procedural requirements that ultimately undermine the procurement system's ability to deliver value—the very outcome the requirements were designed to prevent.</w:t>
      </w:r>
    </w:p>
    <w:p>
      <w:pPr>
        <w:ind w:firstLine="720"/>
      </w:pPr>
      <w:r>
        <w:t>McCue (2003) argued that the dilemma is exacerbated by the asymmetry of incentives facing procurement officials: the costs of procedural non-compliance (audit findings, protests, career consequences) are immediate, visible, and personal, while the costs of suboptimal outcomes (higher lifecycle costs, lower quality, delayed capabilities) are diffuse, delayed, and attributable to many factors beyond the procurement official's control. This incentive structure creates a bias toward procedural compliance at the expense of outcome achievement—a phenomenon that Kelman (2005) characterized as "process-over-results."</w:t>
      </w:r>
    </w:p>
    <w:p>
      <w:pPr>
        <w:ind w:firstLine="720"/>
      </w:pPr>
      <w:r>
        <w:t>The interaction between oversight and source selection strategy is significant. LPTA procurements, by virtue of their simpler evaluation structure, generally require less oversight and fewer reviews than tradeoff procurements, contributing to their shorter PALT (Osman et al., 2017). Tradeoff procurements, which involve subjective judgments and comparative evaluations, attract more scrutiny from legal reviewers, source selection authorities, and potential protesters—increasing the oversight burden but also providing more opportunities for quality assurance. Understanding this interaction is essential to interpreting the observed differences in procurement cycle times between LPTA and tradeoff and to assessing the net public value implications of each approach.</w:t>
      </w:r>
    </w:p>
    <w:p>
      <w:pPr>
        <w:pStyle w:val="Heading3"/>
      </w:pPr>
      <w:r>
        <w:rPr>
          <w:rFonts w:ascii="Times New Roman" w:hAnsi="Times New Roman"/>
          <w:color w:val="000000"/>
        </w:rPr>
        <w:t>2.7.5 Conditions Under Which Oversight Is Beneficial vs. Obstructive</w:t>
      </w:r>
    </w:p>
    <w:p>
      <w:pPr>
        <w:ind w:firstLine="720"/>
      </w:pPr>
      <w:r>
        <w:t>The literature suggests that the relationship between oversight and procurement outcomes is not linear but curvilinear: some oversight is necessary and beneficial, but beyond a certain point, additional oversight produces diminishing returns and eventually net costs (Kelman, 2005; Calvo et al., 2019). The optimal level of oversight depends on several factors, including the risk of the procurement (higher-risk procurements warrant more scrutiny), the competence and integrity of the procurement workforce (more capable workforces require less external oversight), the quality of internal controls and management systems, and the availability of ex post accountability mechanisms such as performance evaluation and audit (McCue, 2003; Rendon, 2009).</w:t>
      </w:r>
    </w:p>
    <w:p>
      <w:pPr>
        <w:ind w:firstLine="720"/>
      </w:pPr>
      <w:r>
        <w:t>Several scholars have proposed frameworks for calibrating oversight intensity to procurement risk. The DoD's Adaptive Acquisition Framework, introduced in 2020, represents one such effort, establishing different acquisition pathways with varying levels of oversight based on the complexity, urgency, and risk of the acquisition (DAU, 2023). Risk-based oversight frameworks recognize that applying the same level of scrutiny to a $50,000 office supply purchase and a $500 million IT system modernization is neither efficient nor effective and that the procurement system should concentrate its oversight resources where the risks are greatest and the potential benefits of scrutiny are largest.</w:t>
      </w:r>
    </w:p>
    <w:p>
      <w:pPr>
        <w:pStyle w:val="Heading3"/>
      </w:pPr>
      <w:r>
        <w:rPr>
          <w:rFonts w:ascii="Times New Roman" w:hAnsi="Times New Roman"/>
          <w:color w:val="000000"/>
        </w:rPr>
        <w:t>2.7.6 Section Summary and Connection to the Dissertation</w:t>
      </w:r>
    </w:p>
    <w:p>
      <w:pPr>
        <w:ind w:firstLine="720"/>
      </w:pPr>
      <w:r>
        <w:t>Oversight layers in public procurement serve the essential function of preventing waste, fraud, and abuse, but excessive oversight can impede efficiency, increase costs, and delay capability delivery without materially improving integrity. The empirical evidence suggests that the current procurement system may err on the side of excessive oversight, particularly for lower-risk acquisitions. This finding has implications for the interpretation of PALT differences between LPTA and tradeoff procurements and for the assessment of the net public value of each approach. The next section examines another important dimension of procurement outcomes: the phenomenon of post-award renegotiation and strategic underbidding, which is particularly relevant to lowest-price procurement environments.</w:t>
      </w:r>
    </w:p>
    <w:p>
      <w:pPr>
        <w:pStyle w:val="Heading2"/>
      </w:pPr>
      <w:r>
        <w:rPr>
          <w:rFonts w:ascii="Times New Roman" w:hAnsi="Times New Roman"/>
          <w:color w:val="000000"/>
        </w:rPr>
        <w:t>2.8 Renegotiation, Change Orders, and Strategic Underbidding Under Low-Price Norms</w:t>
      </w:r>
    </w:p>
    <w:p>
      <w:pPr>
        <w:pStyle w:val="Heading3"/>
      </w:pPr>
      <w:r>
        <w:rPr>
          <w:rFonts w:ascii="Times New Roman" w:hAnsi="Times New Roman"/>
          <w:color w:val="000000"/>
        </w:rPr>
        <w:t>2.8.1 The Phenomenon of Strategic Underbidding</w:t>
      </w:r>
    </w:p>
    <w:p>
      <w:pPr>
        <w:ind w:firstLine="720"/>
      </w:pPr>
      <w:r>
        <w:t>One of the most consequential—and least visible—effects of lowest-price procurement norms is the incentive they create for strategic underbidding: the practice of submitting a bid below the expected cost of performance, with the intention of recovering the shortfall through post-award modifications, change orders, claims, and renegotiation (Jung et al., 2013; Bajari et al., 2014). Strategic underbidding, also known as "buying in" in government procurement parlance, is prohibited by FAR 3.501 but is widely recognized as difficult to detect and enforce (Cibinic et al., 2015; Gordon, 2006).</w:t>
      </w:r>
    </w:p>
    <w:p>
      <w:pPr>
        <w:ind w:firstLine="720"/>
      </w:pPr>
      <w:r>
        <w:t>The economic logic of strategic underbidding is straightforward. When the selection criterion is lowest price and the contract is likely to be incomplete—because the requirements are complex, the scope is uncertain, or the performance period is long—a rational bidder may find it profitable to bid below expected costs to win the contract and then exploit the inevitable need for changes and modifications to recover the difference (Jung et al., 2013). This strategy is particularly attractive when the costs of switching contractors after award are high (creating lock-in), when the government's monitoring of post-award cost growth is imperfect, and when the process for approving modifications is routine rather than rigorous (Bajari &amp; Tadelis, 2001).</w:t>
      </w:r>
    </w:p>
    <w:p>
      <w:pPr>
        <w:pStyle w:val="Heading3"/>
      </w:pPr>
      <w:r>
        <w:rPr>
          <w:rFonts w:ascii="Times New Roman" w:hAnsi="Times New Roman"/>
          <w:color w:val="000000"/>
        </w:rPr>
        <w:t>2.8.2 Jung, Kim, and Suh (2013): Formal Analysis</w:t>
      </w:r>
    </w:p>
    <w:p>
      <w:pPr>
        <w:ind w:firstLine="720"/>
      </w:pPr>
      <w:r>
        <w:t>Jung, Kim, and Suh (2013) provided a formal game-theoretic analysis of strategic bidding and contract renegotiation in procurement auctions. Their model demonstrates that when bidders anticipate the possibility of renegotiation after the initial contract is awarded—because the contract is incomplete and the scope is likely to change—they have an incentive to bid below their true expected costs. The magnitude of the underbid is increasing in the probability and expected magnitude of post-award changes, and decreasing in the competitiveness of the bidding environment (because more intense competition already drives bids down).</w:t>
      </w:r>
    </w:p>
    <w:p>
      <w:pPr>
        <w:ind w:firstLine="720"/>
      </w:pPr>
      <w:r>
        <w:t>The implications of the Jung et al. (2013) model for the LPTA vs. tradeoff comparison are significant. Under LPTA, where the sole criterion above technical acceptability is price, the incentive for underbidding is maximized: the bidder who submits the lowest price wins, regardless of the realism or sustainability of that price. Under tradeoff, the evaluation of technical approach and past performance provides some check on unrealistic pricing, because evaluators can assess whether the proposed price is consistent with the proposed technical approach, the staffing plan, and the offeror's past performance—and can assign lower scores to proposals that appear to involve unrealistic pricing or inadequate resources (DAU, 2023).</w:t>
      </w:r>
    </w:p>
    <w:p>
      <w:pPr>
        <w:pStyle w:val="Heading3"/>
      </w:pPr>
      <w:r>
        <w:rPr>
          <w:rFonts w:ascii="Times New Roman" w:hAnsi="Times New Roman"/>
          <w:color w:val="000000"/>
        </w:rPr>
        <w:t>2.8.3 The Winner's Curse in Low-Price Awards</w:t>
      </w:r>
    </w:p>
    <w:p>
      <w:pPr>
        <w:ind w:firstLine="720"/>
      </w:pPr>
      <w:r>
        <w:t>The winner's curse—a well-known phenomenon in auction theory—occurs when the winning bidder discovers, after winning, that it bid too aggressively and that the contract will be unprofitable at the bid price (Thaler, 1988; Kagel &amp; Levin, 1986). In the procurement context, the winner's curse is particularly problematic because the consequences extend beyond the bidder's financial loss to affect the government's receipt of services. A contractor that has underbid may respond by cutting quality, reducing staffing, skipping process steps, or seeking to renegotiate the contract terms—all of which reduce the value delivered to the government (Ganuza, 2007).</w:t>
      </w:r>
    </w:p>
    <w:p>
      <w:pPr>
        <w:ind w:firstLine="720"/>
      </w:pPr>
      <w:r>
        <w:t>The winner's curse is more likely under LPTA than under tradeoff for two reasons. First, LPTA's price-only selection criterion intensifies price competition and increases the probability that the winning bid reflects aggressive pricing rather than genuine cost efficiency. Second, under tradeoff, the evaluation of technical approach and past performance allows the government to screen for offerors that have a realistic understanding of the scope of work and a credible plan for performing at the proposed price—reducing the likelihood of selecting a bidder that has fallen victim to the winner's curse or is intentionally underbidding.</w:t>
      </w:r>
    </w:p>
    <w:p>
      <w:pPr>
        <w:pStyle w:val="Heading3"/>
      </w:pPr>
      <w:r>
        <w:rPr>
          <w:rFonts w:ascii="Times New Roman" w:hAnsi="Times New Roman"/>
          <w:color w:val="000000"/>
        </w:rPr>
        <w:t>2.8.4 Cost Shifting from Pre-Award to Post-Award</w:t>
      </w:r>
    </w:p>
    <w:p>
      <w:pPr>
        <w:ind w:firstLine="720"/>
      </w:pPr>
      <w:r>
        <w:t>The phenomenon of strategic underbidding creates a systematic pattern of cost shifting from the pre-award phase (where the initial contract price is determined) to the post-award phase (where modifications, change orders, and cost adjustments accumulate). When this cost shifting occurs, the apparent price advantage of LPTA relative to tradeoff is illusory: the lower initial award price is offset by higher post-award cost growth, such that the total lifecycle cost may be equal to or greater than what would have been paid under a tradeoff approach that selected a more capable contractor at a higher initial price (Bajari et al., 2014; Osman et al., 2017).</w:t>
      </w:r>
    </w:p>
    <w:p>
      <w:pPr>
        <w:ind w:firstLine="720"/>
      </w:pPr>
      <w:r>
        <w:t>The empirical evidence on post-award cost growth is consistent with this pattern. Osman et al. (2017) found that LPTA contracts exhibited higher rates of cost growth through modifications than tradeoff contracts. Bajari et al. (2014), analyzing California highway construction contracts, found that contracts awarded through competitive bidding exhibited higher rates of cost overruns than contracts awarded through negotiation, with the difference attributable largely to the higher incidence of strategic underbidding and the winner's curse in competitive bidding contexts. While the Bajari et al. (2014) study examined construction rather than government services, the underlying dynamics—competition on price, contract incompleteness, and post-award cost adjustment—are directly applicable to the government procurement context.</w:t>
      </w:r>
    </w:p>
    <w:p>
      <w:pPr>
        <w:ind w:firstLine="720"/>
      </w:pPr>
      <w:r>
        <w:t>The cost-shifting phenomenon has important implications for the measurement of procurement value. If LPTA achieves lower initial prices but higher post-award cost growth, then studies that compare source selection methods solely on initial award price will overstate the cost advantage of LPTA and understate its lifecycle cost. This observation underscores the importance of using total realized contract cost (including modifications) rather than initial award price as the cost measure in empirical analyses—an approach adopted in this dissertation.</w:t>
      </w:r>
    </w:p>
    <w:p>
      <w:pPr>
        <w:pStyle w:val="Heading3"/>
      </w:pPr>
      <w:r>
        <w:rPr>
          <w:rFonts w:ascii="Times New Roman" w:hAnsi="Times New Roman"/>
          <w:color w:val="000000"/>
        </w:rPr>
        <w:t>2.8.5 Mechanisms of Post-Award Cost Recovery</w:t>
      </w:r>
    </w:p>
    <w:p>
      <w:pPr>
        <w:ind w:firstLine="720"/>
      </w:pPr>
      <w:r>
        <w:t>Post-award cost recovery takes several forms in government procurement. Contract modifications—both bilateral (agreed by both parties) and unilateral (directed by the government under the changes clause)—are the primary mechanism (Cibinic et al., 2015). Engineering change proposals, value engineering change proposals, claims under the Contract Disputes Act, and requests for equitable adjustment provide additional avenues for contractors to seek increased compensation after award (Gordon, 2006). While each of these mechanisms has a legitimate purpose—contracts must be adaptable to changing needs and unforeseen circumstances—the cumulative effect of strategic underbidding followed by aggressive post-award claims can significantly erode the value of the procurement.</w:t>
      </w:r>
    </w:p>
    <w:p>
      <w:pPr>
        <w:ind w:firstLine="720"/>
      </w:pPr>
      <w:r>
        <w:t>Data from the Federal Procurement Data System (FPDS-NG) and USAspending.gov enable the measurement of post-award cost growth by comparing initial award values to total obligated amounts on completed contracts. This comparison provides a systematic, large-scale measure of the cost-shifting phenomenon that can be analyzed by source selection method, contract type, product/service category, and agency—enabling the empirical tests described in Chapter 3.</w:t>
      </w:r>
    </w:p>
    <w:p>
      <w:pPr>
        <w:pStyle w:val="Heading3"/>
      </w:pPr>
      <w:r>
        <w:rPr>
          <w:rFonts w:ascii="Times New Roman" w:hAnsi="Times New Roman"/>
          <w:color w:val="000000"/>
        </w:rPr>
        <w:t>2.8.6 Section Summary and Connection to the Dissertation</w:t>
      </w:r>
    </w:p>
    <w:p>
      <w:pPr>
        <w:ind w:firstLine="720"/>
      </w:pPr>
      <w:r>
        <w:t>Strategic underbidding and post-award cost recovery are important mechanisms through which lowest-price procurement norms can undermine public value. By creating incentives for unrealistic pricing and facilitating post-award cost shifting, LPTA may achieve the appearance of cost efficiency at the expense of genuine lifecycle value. The measurement of cost growth and modification patterns in the empirical analysis provides a direct test of this mechanism. The next section examines a related phenomenon—incumbency advantage and competition suppression—that further mediates the relationship between source selection strategy and public value.</w:t>
      </w:r>
    </w:p>
    <w:p>
      <w:pPr>
        <w:pStyle w:val="Heading2"/>
      </w:pPr>
      <w:r>
        <w:rPr>
          <w:rFonts w:ascii="Times New Roman" w:hAnsi="Times New Roman"/>
          <w:color w:val="000000"/>
        </w:rPr>
        <w:t>2.9 Incumbency Advantage, Tender Steering, and Competition Suppression</w:t>
      </w:r>
    </w:p>
    <w:p>
      <w:pPr>
        <w:pStyle w:val="Heading3"/>
      </w:pPr>
      <w:r>
        <w:rPr>
          <w:rFonts w:ascii="Times New Roman" w:hAnsi="Times New Roman"/>
          <w:color w:val="000000"/>
        </w:rPr>
        <w:t>2.9.1 The Nature of Incumbency Advantage</w:t>
      </w:r>
    </w:p>
    <w:p>
      <w:pPr>
        <w:ind w:firstLine="720"/>
      </w:pPr>
      <w:r>
        <w:t>Incumbency advantage in procurement refers to the informational, relational, and procedural advantages that the current contractor holds over potential competitors in a recompetition or follow-on procurement (Iossa, 2019; Klemperer, 2002). These advantages are a natural consequence of the incumbent's performance on the existing contract, which provides it with detailed knowledge of the government's operations, preferences, and working styles; established relationships with government personnel; proprietary knowledge of system architectures, data structures, and processes; and reduced transition costs relative to a new contractor that would need to invest in learning and startup activities (Lewis &amp; Bajari, 2011; Iossa, 2019).</w:t>
      </w:r>
    </w:p>
    <w:p>
      <w:pPr>
        <w:ind w:firstLine="720"/>
      </w:pPr>
      <w:r>
        <w:t>Incumbency advantage is not inherently problematic—it may reflect genuine efficiency gains from continuity and learning—but it becomes a concern when it is so substantial that it effectively precludes meaningful competition, allowing the incumbent to win recompetitions at higher prices or lower quality than would prevail in a genuinely competitive market (Klemperer, 2002; Iossa, 2019). The procurement system's interest in competition reflects not only the goal of achieving lower prices but also the goals of providing fair access to government business, preventing the concentration of government reliance on a small number of firms, and maintaining the health and competitiveness of the contractor base (CICA, 1984; Manuel, 2011).</w:t>
      </w:r>
    </w:p>
    <w:p>
      <w:pPr>
        <w:pStyle w:val="Heading3"/>
      </w:pPr>
      <w:r>
        <w:rPr>
          <w:rFonts w:ascii="Times New Roman" w:hAnsi="Times New Roman"/>
          <w:color w:val="000000"/>
        </w:rPr>
        <w:t>2.9.2 Tender Steering and Specification Tailoring</w:t>
      </w:r>
    </w:p>
    <w:p>
      <w:pPr>
        <w:ind w:firstLine="720"/>
      </w:pPr>
      <w:r>
        <w:t>Tender steering refers to the deliberate or inadvertent design of solicitation terms, specifications, or evaluation criteria in a manner that favors a particular offeror—typically the incumbent—over other potential competitors (Fazekas &amp; Blum, 2021; OECD, 2009). Steering can take overt forms, such as specifying proprietary technology or brand names without permitting equivalents, or subtler forms, such as drafting performance work statements that closely mirror the incumbent's approach, setting experience requirements that only the incumbent can meet, or establishing unrealistically short response timelines that disadvantage offerors who lack pre-existing knowledge of the requirement (Fazekas &amp; Blum, 2021).</w:t>
      </w:r>
    </w:p>
    <w:p>
      <w:pPr>
        <w:ind w:firstLine="720"/>
      </w:pPr>
      <w:r>
        <w:t>Fazekas and Blum (2021) provided a comprehensive analysis of tender steering mechanisms and their effects on competition in public procurement. Their study, drawing on procurement data from multiple European countries, identified several quantifiable indicators of potential steering: extremely short submission deadlines, non-standardized product descriptions, evaluation criteria that weight factors correlated with incumbency (such as specific experience with the buying organization), and solicitation structures that create barriers to entry for new competitors. They found that these tender design features were associated with reduced competition (measured by the number of bids received), higher contract prices, and increased likelihood of contract amendments—all indicators of reduced public value.</w:t>
      </w:r>
    </w:p>
    <w:p>
      <w:pPr>
        <w:pStyle w:val="Heading3"/>
      </w:pPr>
      <w:r>
        <w:rPr>
          <w:rFonts w:ascii="Times New Roman" w:hAnsi="Times New Roman"/>
          <w:color w:val="000000"/>
        </w:rPr>
        <w:t>2.9.3 Single-Bid Contracts and Competition Suppression</w:t>
      </w:r>
    </w:p>
    <w:p>
      <w:pPr>
        <w:ind w:firstLine="720"/>
      </w:pPr>
      <w:r>
        <w:t>Single-bid contracts—procurements in which only one offer is received—are a particularly stark indicator of competition suppression. While a single bid may sometimes reflect a genuinely thin market or a legitimate sole-source situation, a high rate of single-bid contracts in categories where multiple qualified suppliers exist suggests that the procurement process is failing to generate effective competition (Fazekas &amp; Blum, 2021; OECD, 2009). In the European context, studies have found that single-bid contracts are associated with higher prices (by 5-10% or more compared to contracts with multiple bids), lower quality, and higher rates of cost overruns (European Commission, 2020; Fazekas &amp; Kocsis, 2020).</w:t>
      </w:r>
    </w:p>
    <w:p>
      <w:pPr>
        <w:ind w:firstLine="720"/>
      </w:pPr>
      <w:r>
        <w:t>In the U.S. federal procurement context, FPDS data reveal that a significant proportion of contract actions receive limited competition or are awarded non-competitively, despite the statutory presumption in favor of full and open competition (Manuel, 2011; FPDS, 2024). The rate of effective competition varies substantially across agencies, product/service categories, and contract types—variation that can be analyzed to assess the relationship between competition intensity and procurement outcomes.</w:t>
      </w:r>
    </w:p>
    <w:p>
      <w:pPr>
        <w:ind w:firstLine="720"/>
      </w:pPr>
      <w:r>
        <w:t>The interaction between source selection strategy and competition is important. Under LPTA, competition is channeled entirely through the price dimension, and the number of technically acceptable bidders is the primary determinant of the intensity of price competition. If incumbency advantage or tender steering reduces the pool of technically acceptable bidders, the effect on competition is direct and deterministic—fewer bidders means less competitive pressure on price. Under tradeoff, competition operates on multiple dimensions (price, quality, experience, approach), and even a smaller number of bidders may generate effective competition if they compete intensely on quality dimensions. This suggests that tradeoff methods may be more resilient to competition suppression than LPTA, maintaining the benefits of competition even in less-than-fully-competitive markets.</w:t>
      </w:r>
    </w:p>
    <w:p>
      <w:pPr>
        <w:pStyle w:val="Heading3"/>
      </w:pPr>
      <w:r>
        <w:rPr>
          <w:rFonts w:ascii="Times New Roman" w:hAnsi="Times New Roman"/>
          <w:color w:val="000000"/>
        </w:rPr>
        <w:t>2.9.4 Iossa (2019): Tackling Incumbency Advantage</w:t>
      </w:r>
    </w:p>
    <w:p>
      <w:pPr>
        <w:ind w:firstLine="720"/>
      </w:pPr>
      <w:r>
        <w:t>Iossa (2019) examined the problem of incumbency advantage from a mechanism design perspective, analyzing procurement mechanisms that can mitigate the incumbent's informational and procedural advantages and promote effective competition. Iossa's analysis identified several design features that can reduce incumbency advantage: requiring the government to make transition-relevant information available to all bidders, establishing neutral evaluation criteria that do not depend on specific knowledge of the government's operations, providing adequate response time for non-incumbent offerors to develop proposals, and using evaluation criteria that emphasize forward-looking capabilities rather than backward-looking experience with the specific contract.</w:t>
      </w:r>
    </w:p>
    <w:p>
      <w:pPr>
        <w:ind w:firstLine="720"/>
      </w:pPr>
      <w:r>
        <w:t>Iossa's (2019) work has direct implications for the design of source selection strategies. Under tradeoff, the evaluation criteria can be structured to emphasize the quality and innovation of the proposed approach rather than specific past experience with the particular agency or contract, reducing the incumbent's advantage and promoting more effective competition. Under LPTA, where the evaluation is limited to technical acceptability and price, there are fewer levers available to mitigate incumbency advantage—the incumbent's superior knowledge of the requirement translates directly into more accurate cost estimation and more efficient proposal preparation, advantages that cannot be offset through the evaluation process.</w:t>
      </w:r>
    </w:p>
    <w:p>
      <w:pPr>
        <w:pStyle w:val="Heading3"/>
      </w:pPr>
      <w:r>
        <w:rPr>
          <w:rFonts w:ascii="Times New Roman" w:hAnsi="Times New Roman"/>
          <w:color w:val="000000"/>
        </w:rPr>
        <w:t>2.9.5 Short Response Windows as Competition Barriers</w:t>
      </w:r>
    </w:p>
    <w:p>
      <w:pPr>
        <w:ind w:firstLine="720"/>
      </w:pPr>
      <w:r>
        <w:t>The length of the solicitation response period is a potentially important but under-studied determinant of competition in procurement. Short response windows—the period between solicitation issuance and proposal due date—disadvantage non-incumbent offerors who need time to understand the requirement, develop a technical approach, assemble a team, and estimate costs (OECD, 2009; Fazekas &amp; Blum, 2021). Incumbents, who already understand the requirement and have teams in place, can prepare proposals much more quickly, giving them a significant advantage when response windows are short.</w:t>
      </w:r>
    </w:p>
    <w:p>
      <w:pPr>
        <w:ind w:firstLine="720"/>
      </w:pPr>
      <w:r>
        <w:t>The FAR requires agencies to provide "a reasonable time" for proposal preparation (FAR 5.203), but the interpretation of "reasonable" varies widely across agencies and acquisitions. Studies of European procurement data have found that unusually short submission deadlines are correlated with reduced competition and single-bid outcomes, suggesting that some agencies may use short deadlines—whether deliberately or through poor planning—as a mechanism for limiting competition (Fazekas &amp; Blum, 2021; European Commission, 2020).</w:t>
      </w:r>
    </w:p>
    <w:p>
      <w:pPr>
        <w:ind w:firstLine="720"/>
      </w:pPr>
      <w:r>
        <w:t>In the context of this dissertation, solicitation response time is included as a variable in the analysis of competition intensity and public value outcomes, enabling an assessment of whether short response windows are associated with reduced competition and lower public value, and whether this relationship differs across LPTA and tradeoff procurements.</w:t>
      </w:r>
    </w:p>
    <w:p>
      <w:pPr>
        <w:pStyle w:val="Heading3"/>
      </w:pPr>
      <w:r>
        <w:rPr>
          <w:rFonts w:ascii="Times New Roman" w:hAnsi="Times New Roman"/>
          <w:color w:val="000000"/>
        </w:rPr>
        <w:t>2.9.6 Section Summary and Connection to the Dissertation</w:t>
      </w:r>
    </w:p>
    <w:p>
      <w:pPr>
        <w:ind w:firstLine="720"/>
      </w:pPr>
      <w:r>
        <w:t>Incumbency advantage, tender steering, and competition suppression are important mediating factors in the pathway from source selection strategy to public value. These phenomena operate through the design of solicitations and the dynamics of competition, affecting the quality and diversity of the contractor pool and the intensity of competitive pressure. The empirical analysis in this dissertation examines competition intensity (measured by the number of offers received) as both a dependent variable (influenced by solicitation design and source selection method) and a mediating variable (transmitting the effects of competition to public value outcomes). The final section of this chapter synthesizes the theoretical and empirical literature reviewed in the preceding sections into a conceptual model and formal hypotheses.</w:t>
      </w:r>
    </w:p>
    <w:p>
      <w:pPr>
        <w:pStyle w:val="Heading2"/>
      </w:pPr>
      <w:r>
        <w:rPr>
          <w:rFonts w:ascii="Times New Roman" w:hAnsi="Times New Roman"/>
          <w:color w:val="000000"/>
        </w:rPr>
        <w:t>2.10 Conceptual Model and Hypotheses</w:t>
      </w:r>
    </w:p>
    <w:p>
      <w:pPr>
        <w:pStyle w:val="Heading3"/>
      </w:pPr>
      <w:r>
        <w:rPr>
          <w:rFonts w:ascii="Times New Roman" w:hAnsi="Times New Roman"/>
          <w:color w:val="000000"/>
        </w:rPr>
        <w:t>2.10.1 Synthesis and Conceptual Framework</w:t>
      </w:r>
    </w:p>
    <w:p>
      <w:pPr>
        <w:ind w:firstLine="720"/>
      </w:pPr>
      <w:r>
        <w:t>The preceding nine sections have reviewed a diverse body of literature spanning public value theory, procurement economics, auction and mechanism design theory, transaction cost economics, contract theory, and empirical studies of procurement processes and outcomes. From this review, several convergent themes emerge that motivate the conceptual model guiding this dissertation's empirical analysis.</w:t>
      </w:r>
    </w:p>
    <w:p>
      <w:pPr>
        <w:ind w:firstLine="720"/>
      </w:pPr>
      <w:r>
        <w:rPr>
          <w:b/>
        </w:rPr>
        <w:t>Theme 1: Source selection strategy is a consequential institutional design choice, not merely a procedural detail.</w:t>
      </w:r>
      <w:r>
        <w:t xml:space="preserve"> The choice between LPTA and tradeoff reflects fundamentally different assumptions about the nature of value in procurement and creates different incentive structures for contractors and procurement officials. Theory and limited empirical evidence consistently suggest that LPTA is associated with inferior lifecycle outcomes for complex acquisitions, while tradeoff methods enable the government to capture quality-adjusted value that LPTA systematically underweights (Moore, 1995; Bajari &amp; Tadelis, 2001; Osman et al., 2017; Watson, 2015).</w:t>
      </w:r>
    </w:p>
    <w:p>
      <w:pPr>
        <w:ind w:firstLine="720"/>
      </w:pPr>
      <w:r>
        <w:rPr>
          <w:b/>
        </w:rPr>
        <w:t>Theme 2: The effects of source selection strategy on outcomes are mediated by several process and institutional factors.</w:t>
      </w:r>
      <w:r>
        <w:t xml:space="preserve"> The pathway from source selection method to procurement outcomes is not direct but operates through mediating mechanisms including solicitation quality (Section 2.6), competition intensity (Section 2.9), protest dynamics (Section 2.5), post-award cost adjustment (Section 2.8), and oversight burden (Section 2.7). Understanding these mediating mechanisms is essential to designing interventions that improve procurement outcomes.</w:t>
      </w:r>
    </w:p>
    <w:p>
      <w:pPr>
        <w:ind w:firstLine="720"/>
      </w:pPr>
      <w:r>
        <w:rPr>
          <w:b/>
        </w:rPr>
        <w:t>Theme 3: The moderating effect of acquisition complexity is central.</w:t>
      </w:r>
      <w:r>
        <w:t xml:space="preserve"> The theoretical and empirical literatures converge on the prediction that the superiority of tradeoff over LPTA is contingent on the complexity and uncertainty of the acquisition. For simple, well-defined, commodity-like procurements, LPTA and tradeoff produce similar outcomes, and the speed advantage of LPTA may make it the preferred approach. For complex services, IT systems, and professional expertise, the quality and lifecycle cost advantages of tradeoff are most pronounced (Bajari &amp; Tadelis, 2001; Williamson, 1985; Baker, 2016; Osman et al., 2017).</w:t>
      </w:r>
    </w:p>
    <w:p>
      <w:pPr>
        <w:ind w:firstLine="720"/>
      </w:pPr>
      <w:r>
        <w:rPr>
          <w:b/>
        </w:rPr>
        <w:t>Theme 4: Competition is both an outcome of procurement design and a determinant of procurement value.</w:t>
      </w:r>
      <w:r>
        <w:t xml:space="preserve"> The design of solicitations—including source selection strategy, requirements clarity, response timelines, and evaluation criteria—shapes the intensity and quality of competition, which in turn affects the value the government receives. Competition is not merely the number of bids but the quality and intensity of competitive engagement, which depends on the procurement mechanism's ability to reward quality, innovation, and capability alongside price (Che, 1993; Fazekas &amp; Blum, 2021).</w:t>
      </w:r>
    </w:p>
    <w:p>
      <w:pPr>
        <w:ind w:firstLine="720"/>
      </w:pPr>
      <w:r>
        <w:rPr>
          <w:b/>
        </w:rPr>
        <w:t>Theme 5: The empirical literature has significant gaps that this dissertation addresses.</w:t>
      </w:r>
      <w:r>
        <w:t xml:space="preserve"> The existing evidence is narrow (concentrated in defense acquisition), methodologically limited (lacking rigorous quasi-experimental designs), and incomplete (examining individual outcome dimensions in isolation rather than composite public value). This dissertation provides the first large-scale, cross-agency, multi-dimensional analysis of the relationship between source selection strategy and public value outcomes in U.S. federal procurement.</w:t>
      </w:r>
    </w:p>
    <w:p>
      <w:pPr>
        <w:pStyle w:val="Heading3"/>
      </w:pPr>
      <w:r>
        <w:rPr>
          <w:rFonts w:ascii="Times New Roman" w:hAnsi="Times New Roman"/>
          <w:color w:val="000000"/>
        </w:rPr>
        <w:t>2.10.2 The Conceptual Model</w:t>
      </w:r>
    </w:p>
    <w:p>
      <w:pPr>
        <w:ind w:firstLine="720"/>
      </w:pPr>
      <w:r>
        <w:t>Figure 2.1 presents the conceptual model that guides the empirical analysis. The model specifies the relationships among the primary independent variable (source selection strategy), mediating variables (solicitation quality, competition intensity, protest dynamics, post-award cost adjustment, oversight burden), moderating variables (acquisition complexity, agency capacity, contract type, market conditions), and the dependent variable (public value outcomes, operationalized as a composite index of cost growth, timeliness, performance quality, protest incidence, and service continuity).</w:t>
      </w:r>
    </w:p>
    <w:p>
      <w:pPr>
        <w:ind w:firstLine="720"/>
      </w:pPr>
      <w:r>
        <w:rPr>
          <w:b/>
        </w:rPr>
        <w:t>[Figure 2.1: Conceptual Model — Source Selection Strategy and Public Value Outcomes]</w:t>
      </w:r>
    </w:p>
    <w:p>
      <w:pPr>
        <w:ind w:firstLine="720"/>
      </w:pPr>
      <w:r>
        <w:t>The model posits the following causal structure:</w:t>
      </w:r>
    </w:p>
    <w:p>
      <w:pPr>
        <w:pStyle w:val="ListNumber"/>
      </w:pPr>
      <w:r>
        <w:rPr>
          <w:b/>
        </w:rPr>
        <w:t>Direct effect</w:t>
      </w:r>
      <w:r>
        <w:t>: Source selection strategy (LPTA vs. tradeoff) has a direct effect on public value outcomes, with tradeoff expected to produce higher public value on average.</w:t>
      </w:r>
    </w:p>
    <w:p>
      <w:pPr>
        <w:pStyle w:val="ListNumber"/>
      </w:pPr>
      <w:r>
        <w:rPr>
          <w:b/>
        </w:rPr>
        <w:t>Mediated effects</w:t>
      </w:r>
      <w:r>
        <w:t>: The direct effect is partially mediated by:</w:t>
      </w:r>
    </w:p>
    <w:p>
      <w:pPr>
        <w:pStyle w:val="ListBullet"/>
      </w:pPr>
      <w:r>
        <w:rPr>
          <w:i/>
        </w:rPr>
        <w:t>Solicitation quality</w:t>
      </w:r>
      <w:r>
        <w:t>: Tradeoff methods are associated with more thorough requirements development and clearer evaluation criteria, which improve outcomes.</w:t>
      </w:r>
    </w:p>
    <w:p>
      <w:pPr>
        <w:pStyle w:val="ListBullet"/>
      </w:pPr>
      <w:r>
        <w:rPr>
          <w:i/>
        </w:rPr>
        <w:t>Competition intensity</w:t>
      </w:r>
      <w:r>
        <w:t>: Tradeoff methods attract a broader and more capable pool of competitors by enabling non-price differentiation.</w:t>
      </w:r>
    </w:p>
    <w:p>
      <w:pPr>
        <w:pStyle w:val="ListBullet"/>
      </w:pPr>
      <w:r>
        <w:rPr>
          <w:i/>
        </w:rPr>
        <w:t>Post-award cost adjustment</w:t>
      </w:r>
      <w:r>
        <w:t>: LPTA methods create stronger incentives for strategic underbidding and post-award cost recovery.</w:t>
      </w:r>
    </w:p>
    <w:p>
      <w:pPr>
        <w:pStyle w:val="ListNumber"/>
      </w:pPr>
      <w:r>
        <w:rPr>
          <w:b/>
        </w:rPr>
        <w:t>Moderated effects</w:t>
      </w:r>
      <w:r>
        <w:t>: The direct and mediated effects are moderated by:</w:t>
      </w:r>
    </w:p>
    <w:p>
      <w:pPr>
        <w:pStyle w:val="ListBullet"/>
      </w:pPr>
      <w:r>
        <w:rPr>
          <w:i/>
        </w:rPr>
        <w:t>Acquisition complexity</w:t>
      </w:r>
      <w:r>
        <w:t>: The advantage of tradeoff over LPTA is increasing in acquisition complexity.</w:t>
      </w:r>
    </w:p>
    <w:p>
      <w:pPr>
        <w:pStyle w:val="ListBullet"/>
      </w:pPr>
      <w:r>
        <w:rPr>
          <w:i/>
        </w:rPr>
        <w:t>Contract type</w:t>
      </w:r>
      <w:r>
        <w:t>: The effects differ across firm-fixed-price, cost-reimbursement, and time-and-materials contracts.</w:t>
      </w:r>
    </w:p>
    <w:p>
      <w:pPr>
        <w:pStyle w:val="ListBullet"/>
      </w:pPr>
      <w:r>
        <w:rPr>
          <w:i/>
        </w:rPr>
        <w:t>Agency capacity</w:t>
      </w:r>
      <w:r>
        <w:t>: Agencies with higher procurement maturity may be better able to implement tradeoff effectively.</w:t>
      </w:r>
    </w:p>
    <w:p>
      <w:pPr>
        <w:pStyle w:val="ListBullet"/>
      </w:pPr>
      <w:r>
        <w:rPr>
          <w:i/>
        </w:rPr>
        <w:t>Market conditions</w:t>
      </w:r>
      <w:r>
        <w:t>: The number of qualified suppliers and the competitiveness of the market affect the marginal value of tradeoff methods.</w:t>
      </w:r>
    </w:p>
    <w:p>
      <w:pPr>
        <w:pStyle w:val="ListNumber"/>
      </w:pPr>
      <w:r>
        <w:rPr>
          <w:b/>
        </w:rPr>
        <w:t>Protest dynamics</w:t>
      </w:r>
      <w:r>
        <w:t>: Protests serve as both an accountability mechanism (improving outcomes through error correction) and a source of delay (reducing timeliness), with the net effect depending on the procurement context.</w:t>
      </w:r>
    </w:p>
    <w:p>
      <w:pPr>
        <w:pStyle w:val="ListNumber"/>
      </w:pPr>
      <w:r>
        <w:rPr>
          <w:b/>
        </w:rPr>
        <w:t>Oversight burden</w:t>
      </w:r>
      <w:r>
        <w:t>: Administrative oversight layers affect the timeliness of procurement and may moderate the relationship between source selection strategy and outcomes.</w:t>
      </w:r>
    </w:p>
    <w:p>
      <w:pPr>
        <w:pStyle w:val="Heading3"/>
      </w:pPr>
      <w:r>
        <w:rPr>
          <w:rFonts w:ascii="Times New Roman" w:hAnsi="Times New Roman"/>
          <w:color w:val="000000"/>
        </w:rPr>
        <w:t>2.10.3 Formal Hypotheses</w:t>
      </w:r>
    </w:p>
    <w:p>
      <w:pPr>
        <w:ind w:firstLine="720"/>
      </w:pPr>
      <w:r>
        <w:t>Drawing on the theoretical frameworks and empirical evidence reviewed in this chapter, ten formal hypotheses are proposed. These hypotheses are organized into two groups: those that are directly testable with the archival procurement data available for this study (H1, H2, H5, H6, H8) and those that require survey, interview, or institutional-comparison data and are therefore positioned as directions for future research (H3, H4, H7, H9, H10).</w:t>
      </w:r>
    </w:p>
    <w:p>
      <w:pPr>
        <w:pStyle w:val="Heading4"/>
      </w:pPr>
      <w:r>
        <w:rPr>
          <w:rFonts w:ascii="Times New Roman" w:hAnsi="Times New Roman"/>
          <w:color w:val="000000"/>
        </w:rPr>
        <w:t>Hypotheses Testable with Archival Data</w:t>
      </w:r>
    </w:p>
    <w:p>
      <w:pPr>
        <w:ind w:firstLine="720"/>
      </w:pPr>
      <w:r>
        <w:rPr>
          <w:b/>
        </w:rPr>
        <w:t>Hypothesis 1 (H1):</w:t>
      </w:r>
      <w:r>
        <w:t xml:space="preserve"> </w:t>
      </w:r>
      <w:r>
        <w:rPr>
          <w:i/>
        </w:rPr>
        <w:t>Best-value tradeoff procurements will exhibit higher after-award performance and higher public-value indices than comparable LPTA procurements, holding constant product/service category, acquisition complexity, and market conditions.</w:t>
      </w:r>
    </w:p>
    <w:p>
      <w:pPr>
        <w:ind w:firstLine="720"/>
      </w:pPr>
      <w:r>
        <w:t>Theoretical grounding: This is the central hypothesis of the dissertation, derived from the convergent predictions of public value theory (Moore, 1995), scoring auction theory (Che, 1993), transaction cost economics (Williamson, 1985), and incomplete contract theory (Bajari &amp; Tadelis, 2001). When the procurement mechanism evaluates quality alongside price, it selects contractors with higher capability and stronger incentives to deliver value, producing better lifecycle outcomes. The empirical evidence from defense procurement (Osman et al., 2017; Watson, 2015; Baker, 2016) supports this prediction but has not been tested across civilian agencies or with composite public value measures.</w:t>
      </w:r>
    </w:p>
    <w:p>
      <w:pPr>
        <w:ind w:firstLine="720"/>
      </w:pPr>
      <w:r>
        <w:rPr>
          <w:b/>
        </w:rPr>
        <w:t>Hypothesis 2 (H2):</w:t>
      </w:r>
      <w:r>
        <w:t xml:space="preserve"> </w:t>
      </w:r>
      <w:r>
        <w:rPr>
          <w:i/>
        </w:rPr>
        <w:t>LPTA procurements will be associated with higher rates of post-award renegotiation and change orders and a larger gap between initial award price and realized total contract cost than comparable tradeoff procurements.</w:t>
      </w:r>
    </w:p>
    <w:p>
      <w:pPr>
        <w:ind w:firstLine="720"/>
      </w:pPr>
      <w:r>
        <w:t>Theoretical grounding: This hypothesis follows directly from the theory of strategic underbidding (Jung et al., 2013), the winner's curse in price-only auctions (Thaler, 1988; Kagel &amp; Levin, 1986), and incomplete contract theory (Bajari &amp; Tadelis, 2001; Hart &amp; Moore, 1988). LPTA's price-only selection criterion maximizes the incentive for underbidding and minimizes the government's ability to screen for pricing realism through technical evaluation. The cost-shifting mechanism—from pre-award to post-award—creates a predictable pattern of higher cost growth in LPTA contracts. Bajari et al. (2014) provide supporting evidence from the construction context.</w:t>
      </w:r>
    </w:p>
    <w:p>
      <w:pPr>
        <w:ind w:firstLine="720"/>
      </w:pPr>
      <w:r>
        <w:rPr>
          <w:b/>
        </w:rPr>
        <w:t>Hypothesis 5 (H5):</w:t>
      </w:r>
      <w:r>
        <w:t xml:space="preserve"> </w:t>
      </w:r>
      <w:r>
        <w:rPr>
          <w:i/>
        </w:rPr>
        <w:t>Additional post-award administrative oversight layers will increase schedule delays and overall lifecycle cost growth.</w:t>
      </w:r>
    </w:p>
    <w:p>
      <w:pPr>
        <w:ind w:firstLine="720"/>
      </w:pPr>
      <w:r>
        <w:t>Theoretical grounding: This hypothesis draws on the theory of oversight costs and diminishing returns to monitoring (Kelman, 1990, 2005; McCue, 2003) and the empirical evidence from Calvo et al. (2019) showing that additional oversight layers increase delays and costs without improving quality outcomes. The hypothesis tests whether this pattern holds in the U.S. federal procurement context, using variation in agency-level oversight requirements as the source of identifying variation. It is measured through the number of review and approval steps documented in the procurement record and through agency-level regulatory burden indicators.</w:t>
      </w:r>
    </w:p>
    <w:p>
      <w:pPr>
        <w:ind w:firstLine="720"/>
      </w:pPr>
      <w:r>
        <w:rPr>
          <w:b/>
        </w:rPr>
        <w:t>Hypothesis 6 (H6):</w:t>
      </w:r>
      <w:r>
        <w:t xml:space="preserve"> </w:t>
      </w:r>
      <w:r>
        <w:rPr>
          <w:i/>
        </w:rPr>
        <w:t>Tender design features indicative of incumbent advantage—including short response windows, narrow specifications, and single-bid outcomes—will directly correlate with less competition and lower public value.</w:t>
      </w:r>
    </w:p>
    <w:p>
      <w:pPr>
        <w:ind w:firstLine="720"/>
      </w:pPr>
      <w:r>
        <w:t>Theoretical grounding: This hypothesis derives from the literature on incumbency advantage (Iossa, 2019; Klemperer, 2002), tender steering (Fazekas &amp; Blum, 2021), and the OECD's anti-bias guidance (OECD, 2009). When solicitations are designed in ways that favor incumbents—whether through short response timelines, narrow specifications, or excessive experience requirements—competition is suppressed and the government receives less value. The hypothesis is testable using FPDS data on solicitation response periods, the number of offers received, and the incidence of single-bid awards, linked to outcome measures of public value.</w:t>
      </w:r>
    </w:p>
    <w:p>
      <w:pPr>
        <w:ind w:firstLine="720"/>
      </w:pPr>
      <w:r>
        <w:rPr>
          <w:b/>
        </w:rPr>
        <w:t>Hypothesis 8 (H8):</w:t>
      </w:r>
      <w:r>
        <w:t xml:space="preserve"> </w:t>
      </w:r>
      <w:r>
        <w:rPr>
          <w:i/>
        </w:rPr>
        <w:t>The adverse effects of LPTA on renegotiation and public value will be stronger for complex service and IT contracts than for commodity-like procurements.</w:t>
      </w:r>
    </w:p>
    <w:p>
      <w:pPr>
        <w:ind w:firstLine="720"/>
      </w:pPr>
      <w:r>
        <w:t>Theoretical grounding: This interaction hypothesis is central to the theoretical framework and is derived from the convergent predictions of Bajari and Tadelis (2001), Williamson (1985), and the empirical findings of Baker (2016) and Osman et al. (2017). The theoretical expectation is that the disadvantages of LPTA are concentrated in acquisitions where contract incompleteness is high, quality variation among offerors is significant, and the consequences of poor performance are substantial—conditions that characterize complex services and IT but not commodity purchases. The hypothesis is testable by estimating the interaction between source selection method and product/service category complexity in the outcome models.</w:t>
      </w:r>
    </w:p>
    <w:p>
      <w:pPr>
        <w:pStyle w:val="Heading4"/>
      </w:pPr>
      <w:r>
        <w:rPr>
          <w:rFonts w:ascii="Times New Roman" w:hAnsi="Times New Roman"/>
          <w:color w:val="000000"/>
        </w:rPr>
        <w:t>Hypotheses for Future Research</w:t>
      </w:r>
    </w:p>
    <w:p>
      <w:pPr>
        <w:ind w:firstLine="720"/>
      </w:pPr>
      <w:r>
        <w:t>The following hypotheses address important mediating and institutional mechanisms but require data beyond the archival procurement datasets available for this study—specifically, survey or interview data on solicitation quality, institutional data on state-level protest regimes, or natural experiment data on policy changes. They are presented here to complete the conceptual model and to identify important directions for future research.</w:t>
      </w:r>
    </w:p>
    <w:p>
      <w:pPr>
        <w:ind w:firstLine="720"/>
      </w:pPr>
      <w:r>
        <w:rPr>
          <w:b/>
        </w:rPr>
        <w:t>Hypothesis 3 (H3):</w:t>
      </w:r>
      <w:r>
        <w:t xml:space="preserve"> </w:t>
      </w:r>
      <w:r>
        <w:rPr>
          <w:i/>
        </w:rPr>
        <w:t>Solicitation quality, operationalized as requirements clarity and alignment, will mediate the relationship between source-selection method and performance outcomes; higher clarity and alignment will reduce protests and improve performance.</w:t>
      </w:r>
    </w:p>
    <w:p>
      <w:pPr>
        <w:ind w:firstLine="720"/>
      </w:pPr>
      <w:r>
        <w:t>Theoretical grounding: Derived from the literature on requirements quality (Johansson &amp; Lahtinen, 2012), the OECD's tender design guidance (OECD, 2009), and the GAO's protest data showing that ambiguous requirements are a leading cause of sustained protests (GAO, 2025). Solicitation quality mediates the source-selection-to-outcome pathway because tradeoff methods incentivize more thorough requirements development and because better requirements reduce the ambiguity that drives both protests and strategic underbidding. Testing this hypothesis requires direct measurement of solicitation quality, which is not systematically available in archival datasets but could be obtained through content analysis of solicitation documents or surveys of procurement professionals. This hypothesis is therefore designated for future research, with the methodological approach outlined in Chapter 5.</w:t>
      </w:r>
    </w:p>
    <w:p>
      <w:pPr>
        <w:ind w:firstLine="720"/>
      </w:pPr>
      <w:r>
        <w:rPr>
          <w:b/>
        </w:rPr>
        <w:t>Hypothesis 4 (H4):</w:t>
      </w:r>
      <w:r>
        <w:t xml:space="preserve"> </w:t>
      </w:r>
      <w:r>
        <w:rPr>
          <w:i/>
        </w:rPr>
        <w:t>States and agencies with clearer and faster bid-protest timelines will have shorter overall procurement-cycle times net of protest incidence.</w:t>
      </w:r>
    </w:p>
    <w:p>
      <w:pPr>
        <w:ind w:firstLine="720"/>
      </w:pPr>
      <w:r>
        <w:t>Theoretical grounding: Derived from the comparative analysis of protest regimes (Yukins, 2012; NASPO, 2019) and the theoretical prediction that institutional clarity reduces transaction costs (Williamson, 1985). When the rules governing protests are clear and the timeline for resolution is predictable, the uncertainty associated with potential protests is reduced, enabling faster procurement processing. This hypothesis requires cross-jurisdictional institutional data on protest regime characteristics—data that could be compiled from state procurement statutes and agency protest procedures but is not currently available in standardized form. It is designated for future research.</w:t>
      </w:r>
    </w:p>
    <w:p>
      <w:pPr>
        <w:ind w:firstLine="720"/>
      </w:pPr>
      <w:r>
        <w:rPr>
          <w:b/>
        </w:rPr>
        <w:t>Hypothesis 7 (H7):</w:t>
      </w:r>
      <w:r>
        <w:t xml:space="preserve"> </w:t>
      </w:r>
      <w:r>
        <w:rPr>
          <w:i/>
        </w:rPr>
        <w:t>Competition intensity will mediate the relationship between solicitation design and public value, such that procurement designs that promote broader and more intensive competition will achieve higher public value outcomes.</w:t>
      </w:r>
    </w:p>
    <w:p>
      <w:pPr>
        <w:ind w:firstLine="720"/>
      </w:pPr>
      <w:r>
        <w:t>Theoretical grounding: Derived from auction theory (Che, 1993; Krishna, 2010), the empirical evidence on single-bid contracts (Fazekas &amp; Blum, 2021), and public value theory's emphasis on fair access and market stewardship (Moore, 1995). While the archival data provide measures of competition intensity (number of offers received), the mediating mechanism through which solicitation design affects competition requires more granular data on solicitation design features—such as the specificity of requirements, the breadth of eligible firms, and the accessibility of the solicitation—that are not systematically available in FPDS. Partial testing is possible with available data, but full mediation analysis requires additional solicitation-level data. This hypothesis is therefore positioned as partially testable, with full testing designated for future research.</w:t>
      </w:r>
    </w:p>
    <w:p>
      <w:pPr>
        <w:ind w:firstLine="720"/>
      </w:pPr>
      <w:r>
        <w:rPr>
          <w:b/>
        </w:rPr>
        <w:t>Hypothesis 9 (H9):</w:t>
      </w:r>
      <w:r>
        <w:t xml:space="preserve"> </w:t>
      </w:r>
      <w:r>
        <w:rPr>
          <w:i/>
        </w:rPr>
        <w:t>Higher protest incidence will be associated with higher vendor participation costs and higher procurement lead time; however, protest availability will correlate with fewer post-award performance failures in high-discretion procurements.</w:t>
      </w:r>
    </w:p>
    <w:p>
      <w:pPr>
        <w:ind w:firstLine="720"/>
      </w:pPr>
      <w:r>
        <w:t>Theoretical grounding: This two-part hypothesis captures the dual nature of protests discussed in Section 2.5, drawing on Gordon (2006), Yukins (2012), Schwartz and Manuel (2018), and the GAO's protest outcome data (GAO, 2025). The first part (protests increase costs and delay) is uncontroversial and supported by direct evidence. The second part (protest availability improves outcomes) reflects the accountability mechanism through which the threat of protest disciplines agency behavior and improves the quality of procurement decisions. Testing the second part requires variation in protest availability—which exists across state-level procurement systems but not within the federal system, where protest rights are uniform. This hypothesis is designated for future research, with the institutional comparison design outlined in Chapter 5.</w:t>
      </w:r>
    </w:p>
    <w:p>
      <w:pPr>
        <w:ind w:firstLine="720"/>
      </w:pPr>
      <w:r>
        <w:rPr>
          <w:b/>
        </w:rPr>
        <w:t>Hypothesis 10 (H10):</w:t>
      </w:r>
      <w:r>
        <w:t xml:space="preserve"> </w:t>
      </w:r>
      <w:r>
        <w:rPr>
          <w:i/>
        </w:rPr>
        <w:t>Implementing structured best-value guidance and standardized evaluation rubrics will reduce variance in award outcomes across agencies and states and reduce strategic underbidding behavior.</w:t>
      </w:r>
    </w:p>
    <w:p>
      <w:pPr>
        <w:ind w:firstLine="720"/>
      </w:pPr>
      <w:r>
        <w:t>Theoretical grounding: This hypothesis addresses the policy implications of the dissertation's findings, drawing on the literature on procurement standardization (DAU, 2023; NASPO, 2019), the evidence that variance in procurement outcomes is driven partly by inconsistency in evaluation practices (Rendon, 2009), and the theory of strategic underbidding (Jung et al., 2013). Testing this hypothesis requires a policy change—the implementation of standardized guidance—and a pre-post or difference-in-differences evaluation design. While such natural experiments may arise (e.g., the DoD LPTA restrictions in the FY2017 and FY2018 NDAAs provide a potential natural experiment), the primary empirical analysis in this dissertation does not test this hypothesis directly. It is designated for future research, with the evaluation design outlined in Chapter 5.</w:t>
      </w:r>
    </w:p>
    <w:p>
      <w:pPr>
        <w:pStyle w:val="Heading3"/>
      </w:pPr>
      <w:r>
        <w:rPr>
          <w:rFonts w:ascii="Times New Roman" w:hAnsi="Times New Roman"/>
          <w:color w:val="000000"/>
        </w:rPr>
        <w:t>2.10.4 Summary of Hypotheses and Testability</w:t>
      </w:r>
    </w:p>
    <w:p>
      <w:pPr>
        <w:ind w:firstLine="720"/>
      </w:pPr>
      <w:r>
        <w:t>Table 2.1 summarizes the ten hypotheses, their theoretical grounding, and their testability with available data.</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pPr>
              <w:spacing w:line="240" w:lineRule="auto"/>
            </w:pPr>
            <w:r>
              <w:rPr>
                <w:rFonts w:ascii="Times New Roman" w:hAnsi="Times New Roman"/>
                <w:b/>
                <w:sz w:val="20"/>
              </w:rPr>
              <w:t>Hypothesis</w:t>
            </w:r>
          </w:p>
        </w:tc>
        <w:tc>
          <w:tcPr>
            <w:tcW w:type="dxa" w:w="1728"/>
          </w:tcPr>
          <w:p>
            <w:pPr>
              <w:spacing w:line="240" w:lineRule="auto"/>
            </w:pPr>
            <w:r>
              <w:rPr>
                <w:rFonts w:ascii="Times New Roman" w:hAnsi="Times New Roman"/>
                <w:b/>
                <w:sz w:val="20"/>
              </w:rPr>
              <w:t>Core Prediction</w:t>
            </w:r>
          </w:p>
        </w:tc>
        <w:tc>
          <w:tcPr>
            <w:tcW w:type="dxa" w:w="1728"/>
          </w:tcPr>
          <w:p>
            <w:pPr>
              <w:spacing w:line="240" w:lineRule="auto"/>
            </w:pPr>
            <w:r>
              <w:rPr>
                <w:rFonts w:ascii="Times New Roman" w:hAnsi="Times New Roman"/>
                <w:b/>
                <w:sz w:val="20"/>
              </w:rPr>
              <w:t>Primary Theory</w:t>
            </w:r>
          </w:p>
        </w:tc>
        <w:tc>
          <w:tcPr>
            <w:tcW w:type="dxa" w:w="1728"/>
          </w:tcPr>
          <w:p>
            <w:pPr>
              <w:spacing w:line="240" w:lineRule="auto"/>
            </w:pPr>
            <w:r>
              <w:rPr>
                <w:rFonts w:ascii="Times New Roman" w:hAnsi="Times New Roman"/>
                <w:b/>
                <w:sz w:val="20"/>
              </w:rPr>
              <w:t>Data Requirement</w:t>
            </w:r>
          </w:p>
        </w:tc>
        <w:tc>
          <w:tcPr>
            <w:tcW w:type="dxa" w:w="1728"/>
          </w:tcPr>
          <w:p>
            <w:pPr>
              <w:spacing w:line="240" w:lineRule="auto"/>
            </w:pPr>
            <w:r>
              <w:rPr>
                <w:rFonts w:ascii="Times New Roman" w:hAnsi="Times New Roman"/>
                <w:b/>
                <w:sz w:val="20"/>
              </w:rPr>
              <w:t>Testability</w:t>
            </w:r>
          </w:p>
        </w:tc>
      </w:tr>
      <w:tr>
        <w:tc>
          <w:tcPr>
            <w:tcW w:type="dxa" w:w="1728"/>
          </w:tcPr>
          <w:p>
            <w:pPr>
              <w:spacing w:line="240" w:lineRule="auto"/>
            </w:pPr>
            <w:r>
              <w:rPr>
                <w:rFonts w:ascii="Times New Roman" w:hAnsi="Times New Roman"/>
                <w:sz w:val="20"/>
              </w:rPr>
              <w:t>H1</w:t>
            </w:r>
          </w:p>
        </w:tc>
        <w:tc>
          <w:tcPr>
            <w:tcW w:type="dxa" w:w="1728"/>
          </w:tcPr>
          <w:p>
            <w:pPr>
              <w:spacing w:line="240" w:lineRule="auto"/>
            </w:pPr>
            <w:r>
              <w:rPr>
                <w:rFonts w:ascii="Times New Roman" w:hAnsi="Times New Roman"/>
                <w:sz w:val="20"/>
              </w:rPr>
              <w:t>Tradeoff &gt; LPTA on public value index</w:t>
            </w:r>
          </w:p>
        </w:tc>
        <w:tc>
          <w:tcPr>
            <w:tcW w:type="dxa" w:w="1728"/>
          </w:tcPr>
          <w:p>
            <w:pPr>
              <w:spacing w:line="240" w:lineRule="auto"/>
            </w:pPr>
            <w:r>
              <w:rPr>
                <w:rFonts w:ascii="Times New Roman" w:hAnsi="Times New Roman"/>
                <w:sz w:val="20"/>
              </w:rPr>
              <w:t>Public value, scoring auctions, TCE</w:t>
            </w:r>
          </w:p>
        </w:tc>
        <w:tc>
          <w:tcPr>
            <w:tcW w:type="dxa" w:w="1728"/>
          </w:tcPr>
          <w:p>
            <w:pPr>
              <w:spacing w:line="240" w:lineRule="auto"/>
            </w:pPr>
            <w:r>
              <w:rPr>
                <w:rFonts w:ascii="Times New Roman" w:hAnsi="Times New Roman"/>
                <w:sz w:val="20"/>
              </w:rPr>
              <w:t>FPDS, USAspending, CPARS</w:t>
            </w:r>
          </w:p>
        </w:tc>
        <w:tc>
          <w:tcPr>
            <w:tcW w:type="dxa" w:w="1728"/>
          </w:tcPr>
          <w:p>
            <w:pPr>
              <w:spacing w:line="240" w:lineRule="auto"/>
            </w:pPr>
            <w:r>
              <w:rPr>
                <w:rFonts w:ascii="Times New Roman" w:hAnsi="Times New Roman"/>
                <w:sz w:val="20"/>
              </w:rPr>
              <w:t>Archival</w:t>
            </w:r>
          </w:p>
        </w:tc>
      </w:tr>
      <w:tr>
        <w:tc>
          <w:tcPr>
            <w:tcW w:type="dxa" w:w="1728"/>
          </w:tcPr>
          <w:p>
            <w:pPr>
              <w:spacing w:line="240" w:lineRule="auto"/>
            </w:pPr>
            <w:r>
              <w:rPr>
                <w:rFonts w:ascii="Times New Roman" w:hAnsi="Times New Roman"/>
                <w:sz w:val="20"/>
              </w:rPr>
              <w:t>H2</w:t>
            </w:r>
          </w:p>
        </w:tc>
        <w:tc>
          <w:tcPr>
            <w:tcW w:type="dxa" w:w="1728"/>
          </w:tcPr>
          <w:p>
            <w:pPr>
              <w:spacing w:line="240" w:lineRule="auto"/>
            </w:pPr>
            <w:r>
              <w:rPr>
                <w:rFonts w:ascii="Times New Roman" w:hAnsi="Times New Roman"/>
                <w:sz w:val="20"/>
              </w:rPr>
              <w:t>LPTA → higher cost growth, more modifications</w:t>
            </w:r>
          </w:p>
        </w:tc>
        <w:tc>
          <w:tcPr>
            <w:tcW w:type="dxa" w:w="1728"/>
          </w:tcPr>
          <w:p>
            <w:pPr>
              <w:spacing w:line="240" w:lineRule="auto"/>
            </w:pPr>
            <w:r>
              <w:rPr>
                <w:rFonts w:ascii="Times New Roman" w:hAnsi="Times New Roman"/>
                <w:sz w:val="20"/>
              </w:rPr>
              <w:t>Strategic underbidding, incomplete contracts</w:t>
            </w:r>
          </w:p>
        </w:tc>
        <w:tc>
          <w:tcPr>
            <w:tcW w:type="dxa" w:w="1728"/>
          </w:tcPr>
          <w:p>
            <w:pPr>
              <w:spacing w:line="240" w:lineRule="auto"/>
            </w:pPr>
            <w:r>
              <w:rPr>
                <w:rFonts w:ascii="Times New Roman" w:hAnsi="Times New Roman"/>
                <w:sz w:val="20"/>
              </w:rPr>
              <w:t>FPDS, USAspending</w:t>
            </w:r>
          </w:p>
        </w:tc>
        <w:tc>
          <w:tcPr>
            <w:tcW w:type="dxa" w:w="1728"/>
          </w:tcPr>
          <w:p>
            <w:pPr>
              <w:spacing w:line="240" w:lineRule="auto"/>
            </w:pPr>
            <w:r>
              <w:rPr>
                <w:rFonts w:ascii="Times New Roman" w:hAnsi="Times New Roman"/>
                <w:sz w:val="20"/>
              </w:rPr>
              <w:t>Archival</w:t>
            </w:r>
          </w:p>
        </w:tc>
      </w:tr>
      <w:tr>
        <w:tc>
          <w:tcPr>
            <w:tcW w:type="dxa" w:w="1728"/>
          </w:tcPr>
          <w:p>
            <w:pPr>
              <w:spacing w:line="240" w:lineRule="auto"/>
            </w:pPr>
            <w:r>
              <w:rPr>
                <w:rFonts w:ascii="Times New Roman" w:hAnsi="Times New Roman"/>
                <w:sz w:val="20"/>
              </w:rPr>
              <w:t>H3</w:t>
            </w:r>
          </w:p>
        </w:tc>
        <w:tc>
          <w:tcPr>
            <w:tcW w:type="dxa" w:w="1728"/>
          </w:tcPr>
          <w:p>
            <w:pPr>
              <w:spacing w:line="240" w:lineRule="auto"/>
            </w:pPr>
            <w:r>
              <w:rPr>
                <w:rFonts w:ascii="Times New Roman" w:hAnsi="Times New Roman"/>
                <w:sz w:val="20"/>
              </w:rPr>
              <w:t>Solicitation quality mediates strategy→outcomes</w:t>
            </w:r>
          </w:p>
        </w:tc>
        <w:tc>
          <w:tcPr>
            <w:tcW w:type="dxa" w:w="1728"/>
          </w:tcPr>
          <w:p>
            <w:pPr>
              <w:spacing w:line="240" w:lineRule="auto"/>
            </w:pPr>
            <w:r>
              <w:rPr>
                <w:rFonts w:ascii="Times New Roman" w:hAnsi="Times New Roman"/>
                <w:sz w:val="20"/>
              </w:rPr>
              <w:t>Requirements quality, tender design</w:t>
            </w:r>
          </w:p>
        </w:tc>
        <w:tc>
          <w:tcPr>
            <w:tcW w:type="dxa" w:w="1728"/>
          </w:tcPr>
          <w:p>
            <w:pPr>
              <w:spacing w:line="240" w:lineRule="auto"/>
            </w:pPr>
            <w:r>
              <w:rPr>
                <w:rFonts w:ascii="Times New Roman" w:hAnsi="Times New Roman"/>
                <w:sz w:val="20"/>
              </w:rPr>
              <w:t>Content analysis, survey</w:t>
            </w:r>
          </w:p>
        </w:tc>
        <w:tc>
          <w:tcPr>
            <w:tcW w:type="dxa" w:w="1728"/>
          </w:tcPr>
          <w:p>
            <w:pPr>
              <w:spacing w:line="240" w:lineRule="auto"/>
            </w:pPr>
            <w:r>
              <w:rPr>
                <w:rFonts w:ascii="Times New Roman" w:hAnsi="Times New Roman"/>
                <w:sz w:val="20"/>
              </w:rPr>
              <w:t>Future</w:t>
            </w:r>
          </w:p>
        </w:tc>
      </w:tr>
      <w:tr>
        <w:tc>
          <w:tcPr>
            <w:tcW w:type="dxa" w:w="1728"/>
          </w:tcPr>
          <w:p>
            <w:pPr>
              <w:spacing w:line="240" w:lineRule="auto"/>
            </w:pPr>
            <w:r>
              <w:rPr>
                <w:rFonts w:ascii="Times New Roman" w:hAnsi="Times New Roman"/>
                <w:sz w:val="20"/>
              </w:rPr>
              <w:t>H4</w:t>
            </w:r>
          </w:p>
        </w:tc>
        <w:tc>
          <w:tcPr>
            <w:tcW w:type="dxa" w:w="1728"/>
          </w:tcPr>
          <w:p>
            <w:pPr>
              <w:spacing w:line="240" w:lineRule="auto"/>
            </w:pPr>
            <w:r>
              <w:rPr>
                <w:rFonts w:ascii="Times New Roman" w:hAnsi="Times New Roman"/>
                <w:sz w:val="20"/>
              </w:rPr>
              <w:t>Clearer protest regimes → shorter cycle times</w:t>
            </w:r>
          </w:p>
        </w:tc>
        <w:tc>
          <w:tcPr>
            <w:tcW w:type="dxa" w:w="1728"/>
          </w:tcPr>
          <w:p>
            <w:pPr>
              <w:spacing w:line="240" w:lineRule="auto"/>
            </w:pPr>
            <w:r>
              <w:rPr>
                <w:rFonts w:ascii="Times New Roman" w:hAnsi="Times New Roman"/>
                <w:sz w:val="20"/>
              </w:rPr>
              <w:t>Institutional clarity, TCE</w:t>
            </w:r>
          </w:p>
        </w:tc>
        <w:tc>
          <w:tcPr>
            <w:tcW w:type="dxa" w:w="1728"/>
          </w:tcPr>
          <w:p>
            <w:pPr>
              <w:spacing w:line="240" w:lineRule="auto"/>
            </w:pPr>
            <w:r>
              <w:rPr>
                <w:rFonts w:ascii="Times New Roman" w:hAnsi="Times New Roman"/>
                <w:sz w:val="20"/>
              </w:rPr>
              <w:t>State statutes, institutional data</w:t>
            </w:r>
          </w:p>
        </w:tc>
        <w:tc>
          <w:tcPr>
            <w:tcW w:type="dxa" w:w="1728"/>
          </w:tcPr>
          <w:p>
            <w:pPr>
              <w:spacing w:line="240" w:lineRule="auto"/>
            </w:pPr>
            <w:r>
              <w:rPr>
                <w:rFonts w:ascii="Times New Roman" w:hAnsi="Times New Roman"/>
                <w:sz w:val="20"/>
              </w:rPr>
              <w:t>Future</w:t>
            </w:r>
          </w:p>
        </w:tc>
      </w:tr>
      <w:tr>
        <w:tc>
          <w:tcPr>
            <w:tcW w:type="dxa" w:w="1728"/>
          </w:tcPr>
          <w:p>
            <w:pPr>
              <w:spacing w:line="240" w:lineRule="auto"/>
            </w:pPr>
            <w:r>
              <w:rPr>
                <w:rFonts w:ascii="Times New Roman" w:hAnsi="Times New Roman"/>
                <w:sz w:val="20"/>
              </w:rPr>
              <w:t>H5</w:t>
            </w:r>
          </w:p>
        </w:tc>
        <w:tc>
          <w:tcPr>
            <w:tcW w:type="dxa" w:w="1728"/>
          </w:tcPr>
          <w:p>
            <w:pPr>
              <w:spacing w:line="240" w:lineRule="auto"/>
            </w:pPr>
            <w:r>
              <w:rPr>
                <w:rFonts w:ascii="Times New Roman" w:hAnsi="Times New Roman"/>
                <w:sz w:val="20"/>
              </w:rPr>
              <w:t>More oversight → more delay and cost growth</w:t>
            </w:r>
          </w:p>
        </w:tc>
        <w:tc>
          <w:tcPr>
            <w:tcW w:type="dxa" w:w="1728"/>
          </w:tcPr>
          <w:p>
            <w:pPr>
              <w:spacing w:line="240" w:lineRule="auto"/>
            </w:pPr>
            <w:r>
              <w:rPr>
                <w:rFonts w:ascii="Times New Roman" w:hAnsi="Times New Roman"/>
                <w:sz w:val="20"/>
              </w:rPr>
              <w:t>Oversight costs, diminishing returns</w:t>
            </w:r>
          </w:p>
        </w:tc>
        <w:tc>
          <w:tcPr>
            <w:tcW w:type="dxa" w:w="1728"/>
          </w:tcPr>
          <w:p>
            <w:pPr>
              <w:spacing w:line="240" w:lineRule="auto"/>
            </w:pPr>
            <w:r>
              <w:rPr>
                <w:rFonts w:ascii="Times New Roman" w:hAnsi="Times New Roman"/>
                <w:sz w:val="20"/>
              </w:rPr>
              <w:t>FPDS, agency data</w:t>
            </w:r>
          </w:p>
        </w:tc>
        <w:tc>
          <w:tcPr>
            <w:tcW w:type="dxa" w:w="1728"/>
          </w:tcPr>
          <w:p>
            <w:pPr>
              <w:spacing w:line="240" w:lineRule="auto"/>
            </w:pPr>
            <w:r>
              <w:rPr>
                <w:rFonts w:ascii="Times New Roman" w:hAnsi="Times New Roman"/>
                <w:sz w:val="20"/>
              </w:rPr>
              <w:t>Archival</w:t>
            </w:r>
          </w:p>
        </w:tc>
      </w:tr>
      <w:tr>
        <w:tc>
          <w:tcPr>
            <w:tcW w:type="dxa" w:w="1728"/>
          </w:tcPr>
          <w:p>
            <w:pPr>
              <w:spacing w:line="240" w:lineRule="auto"/>
            </w:pPr>
            <w:r>
              <w:rPr>
                <w:rFonts w:ascii="Times New Roman" w:hAnsi="Times New Roman"/>
                <w:sz w:val="20"/>
              </w:rPr>
              <w:t>H6</w:t>
            </w:r>
          </w:p>
        </w:tc>
        <w:tc>
          <w:tcPr>
            <w:tcW w:type="dxa" w:w="1728"/>
          </w:tcPr>
          <w:p>
            <w:pPr>
              <w:spacing w:line="240" w:lineRule="auto"/>
            </w:pPr>
            <w:r>
              <w:rPr>
                <w:rFonts w:ascii="Times New Roman" w:hAnsi="Times New Roman"/>
                <w:sz w:val="20"/>
              </w:rPr>
              <w:t>Steering indicators → less competition, lower value</w:t>
            </w:r>
          </w:p>
        </w:tc>
        <w:tc>
          <w:tcPr>
            <w:tcW w:type="dxa" w:w="1728"/>
          </w:tcPr>
          <w:p>
            <w:pPr>
              <w:spacing w:line="240" w:lineRule="auto"/>
            </w:pPr>
            <w:r>
              <w:rPr>
                <w:rFonts w:ascii="Times New Roman" w:hAnsi="Times New Roman"/>
                <w:sz w:val="20"/>
              </w:rPr>
              <w:t>Incumbency, steering, OECD guidance</w:t>
            </w:r>
          </w:p>
        </w:tc>
        <w:tc>
          <w:tcPr>
            <w:tcW w:type="dxa" w:w="1728"/>
          </w:tcPr>
          <w:p>
            <w:pPr>
              <w:spacing w:line="240" w:lineRule="auto"/>
            </w:pPr>
            <w:r>
              <w:rPr>
                <w:rFonts w:ascii="Times New Roman" w:hAnsi="Times New Roman"/>
                <w:sz w:val="20"/>
              </w:rPr>
              <w:t>FPDS</w:t>
            </w:r>
          </w:p>
        </w:tc>
        <w:tc>
          <w:tcPr>
            <w:tcW w:type="dxa" w:w="1728"/>
          </w:tcPr>
          <w:p>
            <w:pPr>
              <w:spacing w:line="240" w:lineRule="auto"/>
            </w:pPr>
            <w:r>
              <w:rPr>
                <w:rFonts w:ascii="Times New Roman" w:hAnsi="Times New Roman"/>
                <w:sz w:val="20"/>
              </w:rPr>
              <w:t>Archival</w:t>
            </w:r>
          </w:p>
        </w:tc>
      </w:tr>
      <w:tr>
        <w:tc>
          <w:tcPr>
            <w:tcW w:type="dxa" w:w="1728"/>
          </w:tcPr>
          <w:p>
            <w:pPr>
              <w:spacing w:line="240" w:lineRule="auto"/>
            </w:pPr>
            <w:r>
              <w:rPr>
                <w:rFonts w:ascii="Times New Roman" w:hAnsi="Times New Roman"/>
                <w:sz w:val="20"/>
              </w:rPr>
              <w:t>H7</w:t>
            </w:r>
          </w:p>
        </w:tc>
        <w:tc>
          <w:tcPr>
            <w:tcW w:type="dxa" w:w="1728"/>
          </w:tcPr>
          <w:p>
            <w:pPr>
              <w:spacing w:line="240" w:lineRule="auto"/>
            </w:pPr>
            <w:r>
              <w:rPr>
                <w:rFonts w:ascii="Times New Roman" w:hAnsi="Times New Roman"/>
                <w:sz w:val="20"/>
              </w:rPr>
              <w:t>Competition mediates design→value</w:t>
            </w:r>
          </w:p>
        </w:tc>
        <w:tc>
          <w:tcPr>
            <w:tcW w:type="dxa" w:w="1728"/>
          </w:tcPr>
          <w:p>
            <w:pPr>
              <w:spacing w:line="240" w:lineRule="auto"/>
            </w:pPr>
            <w:r>
              <w:rPr>
                <w:rFonts w:ascii="Times New Roman" w:hAnsi="Times New Roman"/>
                <w:sz w:val="20"/>
              </w:rPr>
              <w:t>Auction theory, market access</w:t>
            </w:r>
          </w:p>
        </w:tc>
        <w:tc>
          <w:tcPr>
            <w:tcW w:type="dxa" w:w="1728"/>
          </w:tcPr>
          <w:p>
            <w:pPr>
              <w:spacing w:line="240" w:lineRule="auto"/>
            </w:pPr>
            <w:r>
              <w:rPr>
                <w:rFonts w:ascii="Times New Roman" w:hAnsi="Times New Roman"/>
                <w:sz w:val="20"/>
              </w:rPr>
              <w:t>FPDS + solicitation data</w:t>
            </w:r>
          </w:p>
        </w:tc>
        <w:tc>
          <w:tcPr>
            <w:tcW w:type="dxa" w:w="1728"/>
          </w:tcPr>
          <w:p>
            <w:pPr>
              <w:spacing w:line="240" w:lineRule="auto"/>
            </w:pPr>
            <w:r>
              <w:rPr>
                <w:rFonts w:ascii="Times New Roman" w:hAnsi="Times New Roman"/>
                <w:sz w:val="20"/>
              </w:rPr>
              <w:t>Partial/Future</w:t>
            </w:r>
          </w:p>
        </w:tc>
      </w:tr>
      <w:tr>
        <w:tc>
          <w:tcPr>
            <w:tcW w:type="dxa" w:w="1728"/>
          </w:tcPr>
          <w:p>
            <w:pPr>
              <w:spacing w:line="240" w:lineRule="auto"/>
            </w:pPr>
            <w:r>
              <w:rPr>
                <w:rFonts w:ascii="Times New Roman" w:hAnsi="Times New Roman"/>
                <w:sz w:val="20"/>
              </w:rPr>
              <w:t>H8</w:t>
            </w:r>
          </w:p>
        </w:tc>
        <w:tc>
          <w:tcPr>
            <w:tcW w:type="dxa" w:w="1728"/>
          </w:tcPr>
          <w:p>
            <w:pPr>
              <w:spacing w:line="240" w:lineRule="auto"/>
            </w:pPr>
            <w:r>
              <w:rPr>
                <w:rFonts w:ascii="Times New Roman" w:hAnsi="Times New Roman"/>
                <w:sz w:val="20"/>
              </w:rPr>
              <w:t>LPTA disadvantage stronger for complex acquisitions</w:t>
            </w:r>
          </w:p>
        </w:tc>
        <w:tc>
          <w:tcPr>
            <w:tcW w:type="dxa" w:w="1728"/>
          </w:tcPr>
          <w:p>
            <w:pPr>
              <w:spacing w:line="240" w:lineRule="auto"/>
            </w:pPr>
            <w:r>
              <w:rPr>
                <w:rFonts w:ascii="Times New Roman" w:hAnsi="Times New Roman"/>
                <w:sz w:val="20"/>
              </w:rPr>
              <w:t>TCE, contract incompleteness</w:t>
            </w:r>
          </w:p>
        </w:tc>
        <w:tc>
          <w:tcPr>
            <w:tcW w:type="dxa" w:w="1728"/>
          </w:tcPr>
          <w:p>
            <w:pPr>
              <w:spacing w:line="240" w:lineRule="auto"/>
            </w:pPr>
            <w:r>
              <w:rPr>
                <w:rFonts w:ascii="Times New Roman" w:hAnsi="Times New Roman"/>
                <w:sz w:val="20"/>
              </w:rPr>
              <w:t>FPDS, USAspending</w:t>
            </w:r>
          </w:p>
        </w:tc>
        <w:tc>
          <w:tcPr>
            <w:tcW w:type="dxa" w:w="1728"/>
          </w:tcPr>
          <w:p>
            <w:pPr>
              <w:spacing w:line="240" w:lineRule="auto"/>
            </w:pPr>
            <w:r>
              <w:rPr>
                <w:rFonts w:ascii="Times New Roman" w:hAnsi="Times New Roman"/>
                <w:sz w:val="20"/>
              </w:rPr>
              <w:t>Archival</w:t>
            </w:r>
          </w:p>
        </w:tc>
      </w:tr>
      <w:tr>
        <w:tc>
          <w:tcPr>
            <w:tcW w:type="dxa" w:w="1728"/>
          </w:tcPr>
          <w:p>
            <w:pPr>
              <w:spacing w:line="240" w:lineRule="auto"/>
            </w:pPr>
            <w:r>
              <w:rPr>
                <w:rFonts w:ascii="Times New Roman" w:hAnsi="Times New Roman"/>
                <w:sz w:val="20"/>
              </w:rPr>
              <w:t>H9</w:t>
            </w:r>
          </w:p>
        </w:tc>
        <w:tc>
          <w:tcPr>
            <w:tcW w:type="dxa" w:w="1728"/>
          </w:tcPr>
          <w:p>
            <w:pPr>
              <w:spacing w:line="240" w:lineRule="auto"/>
            </w:pPr>
            <w:r>
              <w:rPr>
                <w:rFonts w:ascii="Times New Roman" w:hAnsi="Times New Roman"/>
                <w:sz w:val="20"/>
              </w:rPr>
              <w:t>Protests: increase delay but improve discretion outcomes</w:t>
            </w:r>
          </w:p>
        </w:tc>
        <w:tc>
          <w:tcPr>
            <w:tcW w:type="dxa" w:w="1728"/>
          </w:tcPr>
          <w:p>
            <w:pPr>
              <w:spacing w:line="240" w:lineRule="auto"/>
            </w:pPr>
            <w:r>
              <w:rPr>
                <w:rFonts w:ascii="Times New Roman" w:hAnsi="Times New Roman"/>
                <w:sz w:val="20"/>
              </w:rPr>
              <w:t>Accountability, protest theory</w:t>
            </w:r>
          </w:p>
        </w:tc>
        <w:tc>
          <w:tcPr>
            <w:tcW w:type="dxa" w:w="1728"/>
          </w:tcPr>
          <w:p>
            <w:pPr>
              <w:spacing w:line="240" w:lineRule="auto"/>
            </w:pPr>
            <w:r>
              <w:rPr>
                <w:rFonts w:ascii="Times New Roman" w:hAnsi="Times New Roman"/>
                <w:sz w:val="20"/>
              </w:rPr>
              <w:t>Cross-jurisdictional</w:t>
            </w:r>
          </w:p>
        </w:tc>
        <w:tc>
          <w:tcPr>
            <w:tcW w:type="dxa" w:w="1728"/>
          </w:tcPr>
          <w:p>
            <w:pPr>
              <w:spacing w:line="240" w:lineRule="auto"/>
            </w:pPr>
            <w:r>
              <w:rPr>
                <w:rFonts w:ascii="Times New Roman" w:hAnsi="Times New Roman"/>
                <w:sz w:val="20"/>
              </w:rPr>
              <w:t>Future</w:t>
            </w:r>
          </w:p>
        </w:tc>
      </w:tr>
      <w:tr>
        <w:tc>
          <w:tcPr>
            <w:tcW w:type="dxa" w:w="1728"/>
          </w:tcPr>
          <w:p>
            <w:pPr>
              <w:spacing w:line="240" w:lineRule="auto"/>
            </w:pPr>
            <w:r>
              <w:rPr>
                <w:rFonts w:ascii="Times New Roman" w:hAnsi="Times New Roman"/>
                <w:sz w:val="20"/>
              </w:rPr>
              <w:t>H10</w:t>
            </w:r>
          </w:p>
        </w:tc>
        <w:tc>
          <w:tcPr>
            <w:tcW w:type="dxa" w:w="1728"/>
          </w:tcPr>
          <w:p>
            <w:pPr>
              <w:spacing w:line="240" w:lineRule="auto"/>
            </w:pPr>
            <w:r>
              <w:rPr>
                <w:rFonts w:ascii="Times New Roman" w:hAnsi="Times New Roman"/>
                <w:sz w:val="20"/>
              </w:rPr>
              <w:t>Standardized guidance reduces outcome variance</w:t>
            </w:r>
          </w:p>
        </w:tc>
        <w:tc>
          <w:tcPr>
            <w:tcW w:type="dxa" w:w="1728"/>
          </w:tcPr>
          <w:p>
            <w:pPr>
              <w:spacing w:line="240" w:lineRule="auto"/>
            </w:pPr>
            <w:r>
              <w:rPr>
                <w:rFonts w:ascii="Times New Roman" w:hAnsi="Times New Roman"/>
                <w:sz w:val="20"/>
              </w:rPr>
              <w:t>Standardization, underbidding theory</w:t>
            </w:r>
          </w:p>
        </w:tc>
        <w:tc>
          <w:tcPr>
            <w:tcW w:type="dxa" w:w="1728"/>
          </w:tcPr>
          <w:p>
            <w:pPr>
              <w:spacing w:line="240" w:lineRule="auto"/>
            </w:pPr>
            <w:r>
              <w:rPr>
                <w:rFonts w:ascii="Times New Roman" w:hAnsi="Times New Roman"/>
                <w:sz w:val="20"/>
              </w:rPr>
              <w:t>Policy change evaluation</w:t>
            </w:r>
          </w:p>
        </w:tc>
        <w:tc>
          <w:tcPr>
            <w:tcW w:type="dxa" w:w="1728"/>
          </w:tcPr>
          <w:p>
            <w:pPr>
              <w:spacing w:line="240" w:lineRule="auto"/>
            </w:pPr>
            <w:r>
              <w:rPr>
                <w:rFonts w:ascii="Times New Roman" w:hAnsi="Times New Roman"/>
                <w:sz w:val="20"/>
              </w:rPr>
              <w:t>Future</w:t>
            </w:r>
          </w:p>
        </w:tc>
      </w:tr>
    </w:tbl>
    <w:p>
      <w:pPr>
        <w:ind w:firstLine="720"/>
      </w:pPr>
      <w:r>
        <w:rPr>
          <w:i/>
        </w:rPr>
        <w:t>Table 2.1. Summary of Hypotheses, Theoretical Grounding, and Testability</w:t>
      </w:r>
    </w:p>
    <w:p>
      <w:pPr>
        <w:pStyle w:val="Heading3"/>
      </w:pPr>
      <w:r>
        <w:rPr>
          <w:rFonts w:ascii="Times New Roman" w:hAnsi="Times New Roman"/>
          <w:color w:val="000000"/>
        </w:rPr>
        <w:t>2.10.5 Alternative Explanations and Rival Hypotheses</w:t>
      </w:r>
    </w:p>
    <w:p>
      <w:pPr>
        <w:ind w:firstLine="720"/>
      </w:pPr>
      <w:r>
        <w:t>Rigorous hypothesis testing requires consideration of alternative explanations that could account for observed patterns without supporting the proposed theoretical model. Several rival hypotheses deserve explicit acknowledgment:</w:t>
      </w:r>
    </w:p>
    <w:p>
      <w:pPr>
        <w:ind w:firstLine="720"/>
      </w:pPr>
      <w:r>
        <w:rPr>
          <w:b/>
        </w:rPr>
        <w:t>Selection effects</w:t>
      </w:r>
      <w:r>
        <w:t>: Agencies may choose tradeoff methods for acquisitions that are inherently more likely to succeed—because they are better funded, have more experienced program managers, or are higher organizational priorities—creating an appearance of tradeoff superiority that reflects selection rather than treatment effects. The empirical strategy addresses this through propensity score matching and control variables, but residual confounding cannot be entirely eliminated with observational data.</w:t>
      </w:r>
    </w:p>
    <w:p>
      <w:pPr>
        <w:ind w:firstLine="720"/>
      </w:pPr>
      <w:r>
        <w:rPr>
          <w:b/>
        </w:rPr>
        <w:t>Workforce quality</w:t>
      </w:r>
      <w:r>
        <w:t>: Better-trained or more experienced procurement workforces may both prefer tradeoff methods and produce better outcomes, with the correlation between method and outcome reflecting workforce quality rather than the causal effect of the method itself. Agency-level controls for procurement workforce characteristics partially address this alternative.</w:t>
      </w:r>
    </w:p>
    <w:p>
      <w:pPr>
        <w:ind w:firstLine="720"/>
      </w:pPr>
      <w:r>
        <w:rPr>
          <w:b/>
        </w:rPr>
        <w:t>Market conditions</w:t>
      </w:r>
      <w:r>
        <w:t>: Variations in the competitive environment across agencies, geographies, or time periods may drive both the choice of source selection method and the observed outcomes. Market structure controls and fixed effects address this concern but may not fully capture all relevant variation.</w:t>
      </w:r>
    </w:p>
    <w:p>
      <w:pPr>
        <w:ind w:firstLine="720"/>
      </w:pPr>
      <w:r>
        <w:rPr>
          <w:b/>
        </w:rPr>
        <w:t>Regulatory compliance</w:t>
      </w:r>
      <w:r>
        <w:t>: The observed patterns may reflect not the inherent superiority of tradeoff but rather the regulatory attention devoted to tradeoff procurements (more thorough documentation, more rigorous review) that disciplines the procurement process independent of the source selection method itself. This alternative is particularly relevant given the findings in Section 2.7 on oversight.</w:t>
      </w:r>
    </w:p>
    <w:p>
      <w:pPr>
        <w:ind w:firstLine="720"/>
      </w:pPr>
      <w:r>
        <w:t>These alternative explanations are addressed through the research design described in Chapter 3, which employs multiple identification strategies to strengthen causal inference. However, the limitations inherent in observational research are acknowledged, and the conclusions are stated with appropriate epistemic humility.</w:t>
      </w:r>
    </w:p>
    <w:p>
      <w:pPr>
        <w:pStyle w:val="Heading3"/>
      </w:pPr>
      <w:r>
        <w:rPr>
          <w:rFonts w:ascii="Times New Roman" w:hAnsi="Times New Roman"/>
          <w:color w:val="000000"/>
        </w:rPr>
        <w:t>2.10.6 Section Summary</w:t>
      </w:r>
    </w:p>
    <w:p>
      <w:pPr>
        <w:ind w:firstLine="720"/>
      </w:pPr>
      <w:r>
        <w:t>This section has synthesized the theoretical and empirical literatures reviewed in the preceding nine sections into a conceptual model that specifies the causal pathways from source selection strategy to public value outcomes, incorporating mediating and moderating mechanisms grounded in theory and prior evidence. Ten formal hypotheses have been stated, with clear identification of the theoretical grounding and data requirements for each. The five hypotheses testable with archival data (H1, H2, H5, H6, H8) constitute the primary empirical contribution of the dissertation, while the five hypotheses requiring additional data (H3, H4, H7, H9, H10) define a research agenda for future work.</w:t>
      </w:r>
    </w:p>
    <w:p>
      <w:pPr>
        <w:pStyle w:val="Heading2"/>
      </w:pPr>
      <w:r>
        <w:rPr>
          <w:rFonts w:ascii="Times New Roman" w:hAnsi="Times New Roman"/>
          <w:color w:val="000000"/>
        </w:rPr>
        <w:t>Chapter Summary</w:t>
      </w:r>
    </w:p>
    <w:p>
      <w:pPr>
        <w:ind w:firstLine="720"/>
      </w:pPr>
      <w:r>
        <w:t>This chapter has provided a comprehensive review of the theoretical and empirical literatures relevant to the central question of this dissertation: whether and under what conditions best-value source selection strategies produce higher public value than lowest-price technically acceptable methods in government procurement. The review has drawn on multiple theoretical traditions—public value theory, auction and mechanism design theory, transaction cost economics, incomplete contract theory, and principal-agent models—and has surveyed the empirical evidence from defense acquisition studies, international procurement research, and cross-disciplinary analyses of procurement processes and outcomes.</w:t>
      </w:r>
    </w:p>
    <w:p>
      <w:pPr>
        <w:ind w:firstLine="720"/>
      </w:pPr>
      <w:r>
        <w:t>The key findings of the review can be summarized as follows:</w:t>
      </w:r>
    </w:p>
    <w:p>
      <w:pPr>
        <w:pStyle w:val="ListNumber"/>
      </w:pPr>
      <w:r>
        <w:rPr>
          <w:b/>
        </w:rPr>
        <w:t>Historical and regulatory context</w:t>
      </w:r>
      <w:r>
        <w:t>: The tension between constraining discretion through price-based competition and enabling informed judgment through multi-factor evaluation is a defining feature of the U.S. procurement system, with regulatory reforms over the past three decades gradually expanding the use of best-value approaches (Section 2.1).</w:t>
      </w:r>
    </w:p>
    <w:p>
      <w:pPr>
        <w:pStyle w:val="ListNumber"/>
      </w:pPr>
      <w:r>
        <w:rPr>
          <w:b/>
        </w:rPr>
        <w:t>Outcome frameworks</w:t>
      </w:r>
      <w:r>
        <w:t>: Public value theory and value-for-money frameworks provide the conceptual foundation for evaluating procurement outcomes multidimensionally, moving beyond simple price comparisons to consider quality, timeliness, lifecycle cost, process integrity, and service reliability (Section 2.2).</w:t>
      </w:r>
    </w:p>
    <w:p>
      <w:pPr>
        <w:pStyle w:val="ListNumber"/>
      </w:pPr>
      <w:r>
        <w:rPr>
          <w:b/>
        </w:rPr>
        <w:t>Theoretical predictions</w:t>
      </w:r>
      <w:r>
        <w:t>: Economic theory—including auction theory, TCE, incomplete contract theory, and principal-agent models—converges on the prediction that price-only procurement mechanisms produce inferior outcomes for complex, uncertain, and difficult-to-specify acquisitions (Section 2.3).</w:t>
      </w:r>
    </w:p>
    <w:p>
      <w:pPr>
        <w:pStyle w:val="ListNumber"/>
      </w:pPr>
      <w:r>
        <w:rPr>
          <w:b/>
        </w:rPr>
        <w:t>Empirical evidence</w:t>
      </w:r>
      <w:r>
        <w:t>: The limited empirical literature consistently supports the theoretical predictions, finding that tradeoff methods are associated with better performance outcomes than LPTA, particularly for complex acquisitions—but the evidence base is narrow and methodologically limited (Section 2.4).</w:t>
      </w:r>
    </w:p>
    <w:p>
      <w:pPr>
        <w:pStyle w:val="ListNumber"/>
      </w:pPr>
      <w:r>
        <w:rPr>
          <w:b/>
        </w:rPr>
        <w:t>Mediating and moderating factors</w:t>
      </w:r>
      <w:r>
        <w:t>: Bid protests (Section 2.5), solicitation quality (Section 2.6), oversight burden (Section 2.7), strategic underbidding (Section 2.8), and incumbency advantage (Section 2.9) are critical factors that shape the pathway from source selection strategy to public value outcomes and that must be incorporated into empirical analyses.</w:t>
      </w:r>
    </w:p>
    <w:p>
      <w:pPr>
        <w:pStyle w:val="ListNumber"/>
      </w:pPr>
      <w:r>
        <w:rPr>
          <w:b/>
        </w:rPr>
        <w:t>Significant gaps</w:t>
      </w:r>
      <w:r>
        <w:t>: The literature exhibits major gaps in civilian agency evidence, cross-sector comparison, causal identification, composite outcome measurement, and mediating mechanism analysis—gaps that this dissertation directly addresses.</w:t>
      </w:r>
    </w:p>
    <w:p>
      <w:pPr>
        <w:ind w:firstLine="720"/>
      </w:pPr>
      <w:r>
        <w:t>The conceptual model and hypotheses presented in Section 2.10 translate these findings into a testable framework that guides the empirical analysis described in the following chapter. By employing large-scale archival data from multiple federal agencies, propensity score matching for causal identification, and a composite public value index as the primary outcome measure, this dissertation provides the most comprehensive empirical test to date of the relationship between source selection strategy and public value in U.S. government procurement.</w:t>
      </w:r>
    </w:p>
    <w:p>
      <w:pPr>
        <w:pStyle w:val="Heading2"/>
      </w:pPr>
      <w:r>
        <w:rPr>
          <w:rFonts w:ascii="Times New Roman" w:hAnsi="Times New Roman"/>
          <w:color w:val="000000"/>
        </w:rPr>
        <w:t>References</w:t>
      </w:r>
    </w:p>
    <w:p>
      <w:pPr>
        <w:ind w:firstLine="720"/>
      </w:pPr>
      <w:r>
        <w:t xml:space="preserve">Akerlof, G. A. (1970). The market for "lemons": Quality uncertainty and the market mechanism. </w:t>
      </w:r>
      <w:r>
        <w:rPr>
          <w:i/>
        </w:rPr>
        <w:t>Quarterly Journal of Economics</w:t>
      </w:r>
      <w:r>
        <w:t xml:space="preserve">, </w:t>
      </w:r>
      <w:r>
        <w:rPr>
          <w:i/>
        </w:rPr>
        <w:t>84</w:t>
      </w:r>
      <w:r>
        <w:t>(3), 488–500. https://doi.org/10.2307/1879431</w:t>
      </w:r>
    </w:p>
    <w:p>
      <w:pPr>
        <w:ind w:firstLine="720"/>
      </w:pPr>
      <w:r>
        <w:t xml:space="preserve">Alford, J., &amp; O'Flynn, J. (2009). Making sense of public value: Concepts, critiques and emergent meanings. </w:t>
      </w:r>
      <w:r>
        <w:rPr>
          <w:i/>
        </w:rPr>
        <w:t>International Journal of Public Administration</w:t>
      </w:r>
      <w:r>
        <w:t xml:space="preserve">, </w:t>
      </w:r>
      <w:r>
        <w:rPr>
          <w:i/>
        </w:rPr>
        <w:t>32</w:t>
      </w:r>
      <w:r>
        <w:t>(3–4), 171–207. https://doi.org/10.1080/01900690902732731</w:t>
      </w:r>
    </w:p>
    <w:p>
      <w:pPr>
        <w:ind w:firstLine="720"/>
      </w:pPr>
      <w:r>
        <w:t xml:space="preserve">Asian Development Bank. (2018). </w:t>
      </w:r>
      <w:r>
        <w:rPr>
          <w:i/>
        </w:rPr>
        <w:t>Value for money: Guidance note on procurement</w:t>
      </w:r>
      <w:r>
        <w:t>. ADB.</w:t>
      </w:r>
    </w:p>
    <w:p>
      <w:pPr>
        <w:ind w:firstLine="720"/>
      </w:pPr>
      <w:r>
        <w:t xml:space="preserve">Asker, J., &amp; Cantillon, E. (2008). Properties of scoring auctions. </w:t>
      </w:r>
      <w:r>
        <w:rPr>
          <w:i/>
        </w:rPr>
        <w:t>RAND Journal of Economics</w:t>
      </w:r>
      <w:r>
        <w:t xml:space="preserve">, </w:t>
      </w:r>
      <w:r>
        <w:rPr>
          <w:i/>
        </w:rPr>
        <w:t>39</w:t>
      </w:r>
      <w:r>
        <w:t>(1), 69–85. https://doi.org/10.1111/j.1756-2171.2008.00004.x</w:t>
      </w:r>
    </w:p>
    <w:p>
      <w:pPr>
        <w:ind w:firstLine="720"/>
      </w:pPr>
      <w:r>
        <w:t xml:space="preserve">Asker, J., &amp; Cantillon, E. (2010). Procurement when price and quality matter. </w:t>
      </w:r>
      <w:r>
        <w:rPr>
          <w:i/>
        </w:rPr>
        <w:t>RAND Journal of Economics</w:t>
      </w:r>
      <w:r>
        <w:t xml:space="preserve">, </w:t>
      </w:r>
      <w:r>
        <w:rPr>
          <w:i/>
        </w:rPr>
        <w:t>41</w:t>
      </w:r>
      <w:r>
        <w:t>(1), 1–34. https://doi.org/10.1111/j.1756-2171.2009.00088.x</w:t>
      </w:r>
    </w:p>
    <w:p>
      <w:pPr>
        <w:ind w:firstLine="720"/>
      </w:pPr>
      <w:r>
        <w:t xml:space="preserve">Bajari, P., Houghton, S., &amp; Tadelis, S. (2014). Bidding for incomplete contracts: An empirical analysis of adaptation costs. </w:t>
      </w:r>
      <w:r>
        <w:rPr>
          <w:i/>
        </w:rPr>
        <w:t>American Economic Review</w:t>
      </w:r>
      <w:r>
        <w:t xml:space="preserve">, </w:t>
      </w:r>
      <w:r>
        <w:rPr>
          <w:i/>
        </w:rPr>
        <w:t>104</w:t>
      </w:r>
      <w:r>
        <w:t>(4), 1288–1319. https://doi.org/10.1257/aer.104.4.1288</w:t>
      </w:r>
    </w:p>
    <w:p>
      <w:pPr>
        <w:ind w:firstLine="720"/>
      </w:pPr>
      <w:r>
        <w:t xml:space="preserve">Bajari, P., McMillan, R., &amp; Tadelis, S. (2009). Auctions versus negotiations in procurement: An empirical analysis. </w:t>
      </w:r>
      <w:r>
        <w:rPr>
          <w:i/>
        </w:rPr>
        <w:t>Journal of Law, Economics, and Organization</w:t>
      </w:r>
      <w:r>
        <w:t xml:space="preserve">, </w:t>
      </w:r>
      <w:r>
        <w:rPr>
          <w:i/>
        </w:rPr>
        <w:t>25</w:t>
      </w:r>
      <w:r>
        <w:t>(2), 372–399. https://doi.org/10.1093/jleo/ewn002</w:t>
      </w:r>
    </w:p>
    <w:p>
      <w:pPr>
        <w:ind w:firstLine="720"/>
      </w:pPr>
      <w:r>
        <w:t xml:space="preserve">Bajari, P., &amp; Tadelis, S. (2001). Incentives versus transaction costs: A theory of procurement contracts. </w:t>
      </w:r>
      <w:r>
        <w:rPr>
          <w:i/>
        </w:rPr>
        <w:t>RAND Journal of Economics</w:t>
      </w:r>
      <w:r>
        <w:t xml:space="preserve">, </w:t>
      </w:r>
      <w:r>
        <w:rPr>
          <w:i/>
        </w:rPr>
        <w:t>32</w:t>
      </w:r>
      <w:r>
        <w:t>(3), 387–407. https://doi.org/10.2307/2696361</w:t>
      </w:r>
    </w:p>
    <w:p>
      <w:pPr>
        <w:ind w:firstLine="720"/>
      </w:pPr>
      <w:r>
        <w:t xml:space="preserve">Baker, M. (2016). </w:t>
      </w:r>
      <w:r>
        <w:rPr>
          <w:i/>
        </w:rPr>
        <w:t>An analysis of source selection strategies and outcomes in Department of Defense acquisitions</w:t>
      </w:r>
      <w:r>
        <w:t xml:space="preserve"> [Master's thesis, Naval Postgraduate School]. NPS Archive.</w:t>
      </w:r>
    </w:p>
    <w:p>
      <w:pPr>
        <w:ind w:firstLine="720"/>
      </w:pPr>
      <w:r>
        <w:t xml:space="preserve">Ban, T. A. (2015). </w:t>
      </w:r>
      <w:r>
        <w:rPr>
          <w:i/>
        </w:rPr>
        <w:t>Lowest price technically acceptable source selection process: A quantitative analysis</w:t>
      </w:r>
      <w:r>
        <w:t xml:space="preserve"> [Master's thesis, Naval Postgraduate School]. NPS Archive.</w:t>
      </w:r>
    </w:p>
    <w:p>
      <w:pPr>
        <w:ind w:firstLine="720"/>
      </w:pPr>
      <w:r>
        <w:t xml:space="preserve">Benington, J. (2011). From private choice to public value? In J. Benington &amp; M. H. Moore (Eds.), </w:t>
      </w:r>
      <w:r>
        <w:rPr>
          <w:i/>
        </w:rPr>
        <w:t>Public value: Theory and practice</w:t>
      </w:r>
      <w:r>
        <w:t xml:space="preserve"> (pp. 31–51). Palgrave Macmillan.</w:t>
      </w:r>
    </w:p>
    <w:p>
      <w:pPr>
        <w:ind w:firstLine="720"/>
      </w:pPr>
      <w:r>
        <w:t xml:space="preserve">Benington, J., &amp; Moore, M. H. (Eds.). (2011). </w:t>
      </w:r>
      <w:r>
        <w:rPr>
          <w:i/>
        </w:rPr>
        <w:t>Public value: Theory and practice</w:t>
      </w:r>
      <w:r>
        <w:t>. Palgrave Macmillan.</w:t>
      </w:r>
    </w:p>
    <w:p>
      <w:pPr>
        <w:ind w:firstLine="720"/>
      </w:pPr>
      <w:r>
        <w:t xml:space="preserve">Branco, F. (1997). The design of multidimensional auctions. </w:t>
      </w:r>
      <w:r>
        <w:rPr>
          <w:i/>
        </w:rPr>
        <w:t>RAND Journal of Economics</w:t>
      </w:r>
      <w:r>
        <w:t xml:space="preserve">, </w:t>
      </w:r>
      <w:r>
        <w:rPr>
          <w:i/>
        </w:rPr>
        <w:t>28</w:t>
      </w:r>
      <w:r>
        <w:t>(1), 63–81. https://doi.org/10.2307/2555940</w:t>
      </w:r>
    </w:p>
    <w:p>
      <w:pPr>
        <w:ind w:firstLine="720"/>
      </w:pPr>
      <w:r>
        <w:t xml:space="preserve">Brown, T. L., &amp; Potoski, M. (2003). Transaction costs and institutional explanations for government service production decisions. </w:t>
      </w:r>
      <w:r>
        <w:rPr>
          <w:i/>
        </w:rPr>
        <w:t>Journal of Public Administration Research and Theory</w:t>
      </w:r>
      <w:r>
        <w:t xml:space="preserve">, </w:t>
      </w:r>
      <w:r>
        <w:rPr>
          <w:i/>
        </w:rPr>
        <w:t>13</w:t>
      </w:r>
      <w:r>
        <w:t>(4), 441–468. https://doi.org/10.1093/jpart/mug030</w:t>
      </w:r>
    </w:p>
    <w:p>
      <w:pPr>
        <w:ind w:firstLine="720"/>
      </w:pPr>
      <w:r>
        <w:t xml:space="preserve">Brown, T. L., &amp; Potoski, M. (2005). Transaction costs and contracting: The practitioner perspective. </w:t>
      </w:r>
      <w:r>
        <w:rPr>
          <w:i/>
        </w:rPr>
        <w:t>Public Performance &amp; Management Review</w:t>
      </w:r>
      <w:r>
        <w:t xml:space="preserve">, </w:t>
      </w:r>
      <w:r>
        <w:rPr>
          <w:i/>
        </w:rPr>
        <w:t>28</w:t>
      </w:r>
      <w:r>
        <w:t>(3), 326–351.</w:t>
      </w:r>
    </w:p>
    <w:p>
      <w:pPr>
        <w:ind w:firstLine="720"/>
      </w:pPr>
      <w:r>
        <w:t xml:space="preserve">Bryson, J. M., Crosby, B. C., &amp; Bloomberg, L. (2014). Public value governance: Moving beyond traditional public administration and the new public management. </w:t>
      </w:r>
      <w:r>
        <w:rPr>
          <w:i/>
        </w:rPr>
        <w:t>Public Administration Review</w:t>
      </w:r>
      <w:r>
        <w:t xml:space="preserve">, </w:t>
      </w:r>
      <w:r>
        <w:rPr>
          <w:i/>
        </w:rPr>
        <w:t>74</w:t>
      </w:r>
      <w:r>
        <w:t>(4), 445–456. https://doi.org/10.1111/puar.12238</w:t>
      </w:r>
    </w:p>
    <w:p>
      <w:pPr>
        <w:ind w:firstLine="720"/>
      </w:pPr>
      <w:r>
        <w:t xml:space="preserve">Burger, P., &amp; Hawkesworth, I. (2011). How to attain value for money: Comparing PPP and traditional infrastructure public procurement. </w:t>
      </w:r>
      <w:r>
        <w:rPr>
          <w:i/>
        </w:rPr>
        <w:t>OECD Journal on Budgeting</w:t>
      </w:r>
      <w:r>
        <w:t xml:space="preserve">, </w:t>
      </w:r>
      <w:r>
        <w:rPr>
          <w:i/>
        </w:rPr>
        <w:t>2011</w:t>
      </w:r>
      <w:r>
        <w:t>(1), 1–56. https://doi.org/10.1787/budget-11-5kg706rd2n6c</w:t>
      </w:r>
    </w:p>
    <w:p>
      <w:pPr>
        <w:ind w:firstLine="720"/>
      </w:pPr>
      <w:r>
        <w:t xml:space="preserve">Calvo, E., Cui, R., &amp; Serpa, J. C. (2019). Oversight and efficiency in public projects: A regression discontinuity analysis. </w:t>
      </w:r>
      <w:r>
        <w:rPr>
          <w:i/>
        </w:rPr>
        <w:t>Management Science</w:t>
      </w:r>
      <w:r>
        <w:t xml:space="preserve">, </w:t>
      </w:r>
      <w:r>
        <w:rPr>
          <w:i/>
        </w:rPr>
        <w:t>65</w:t>
      </w:r>
      <w:r>
        <w:t>(12), 5651–5675. https://doi.org/10.1287/mnsc.2018.3202</w:t>
      </w:r>
    </w:p>
    <w:p>
      <w:pPr>
        <w:ind w:firstLine="720"/>
      </w:pPr>
      <w:r>
        <w:t xml:space="preserve">Che, Y.-K. (1993). Design competition through multidimensional auctions. </w:t>
      </w:r>
      <w:r>
        <w:rPr>
          <w:i/>
        </w:rPr>
        <w:t>RAND Journal of Economics</w:t>
      </w:r>
      <w:r>
        <w:t xml:space="preserve">, </w:t>
      </w:r>
      <w:r>
        <w:rPr>
          <w:i/>
        </w:rPr>
        <w:t>24</w:t>
      </w:r>
      <w:r>
        <w:t>(4), 668–680. https://doi.org/10.2307/2555752</w:t>
      </w:r>
    </w:p>
    <w:p>
      <w:pPr>
        <w:ind w:firstLine="720"/>
      </w:pPr>
      <w:r>
        <w:t xml:space="preserve">Cibinic, J., Jr., Nash, R. C., Jr., &amp; Nagle, J. F. (2015). </w:t>
      </w:r>
      <w:r>
        <w:rPr>
          <w:i/>
        </w:rPr>
        <w:t>Administration of government contracts</w:t>
      </w:r>
      <w:r>
        <w:t xml:space="preserve"> (5th ed.). Wolters Kluwer.</w:t>
      </w:r>
    </w:p>
    <w:p>
      <w:pPr>
        <w:ind w:firstLine="720"/>
      </w:pPr>
      <w:r>
        <w:t xml:space="preserve">Congressional Research Service. (2018). </w:t>
      </w:r>
      <w:r>
        <w:rPr>
          <w:i/>
        </w:rPr>
        <w:t>Bid protests: Overview of legal processes and issues</w:t>
      </w:r>
      <w:r>
        <w:t xml:space="preserve"> (Report No. R45080). CRS.</w:t>
      </w:r>
    </w:p>
    <w:p>
      <w:pPr>
        <w:ind w:firstLine="720"/>
      </w:pPr>
      <w:r>
        <w:t xml:space="preserve">Congressional Research Service. (2024). </w:t>
      </w:r>
      <w:r>
        <w:rPr>
          <w:i/>
        </w:rPr>
        <w:t>Federal acquisition: Source selection methods and best value determinations</w:t>
      </w:r>
      <w:r>
        <w:t xml:space="preserve"> (Report No. R47215). CRS.</w:t>
      </w:r>
    </w:p>
    <w:p>
      <w:pPr>
        <w:ind w:firstLine="720"/>
      </w:pPr>
      <w:r>
        <w:t xml:space="preserve">Defense Acquisition University. (2023). </w:t>
      </w:r>
      <w:r>
        <w:rPr>
          <w:i/>
        </w:rPr>
        <w:t>Defense acquisition guidebook</w:t>
      </w:r>
      <w:r>
        <w:t>. DAU Press.</w:t>
      </w:r>
    </w:p>
    <w:p>
      <w:pPr>
        <w:ind w:firstLine="720"/>
      </w:pPr>
      <w:r>
        <w:t xml:space="preserve">Dimitri, N., Piga, G., &amp; Spagnolo, G. (Eds.). (2006). </w:t>
      </w:r>
      <w:r>
        <w:rPr>
          <w:i/>
        </w:rPr>
        <w:t>Handbook of procurement</w:t>
      </w:r>
      <w:r>
        <w:t>. Cambridge University Press.</w:t>
      </w:r>
    </w:p>
    <w:p>
      <w:pPr>
        <w:ind w:firstLine="720"/>
      </w:pPr>
      <w:r>
        <w:t xml:space="preserve">European Bank for Reconstruction and Development. (2024). </w:t>
      </w:r>
      <w:r>
        <w:rPr>
          <w:i/>
        </w:rPr>
        <w:t>Value for money in public procurement</w:t>
      </w:r>
      <w:r>
        <w:t>. EBRD.</w:t>
      </w:r>
    </w:p>
    <w:p>
      <w:pPr>
        <w:ind w:firstLine="720"/>
      </w:pPr>
      <w:r>
        <w:t xml:space="preserve">European Commission. (2011). </w:t>
      </w:r>
      <w:r>
        <w:rPr>
          <w:i/>
        </w:rPr>
        <w:t>Evaluation report: Impact and effectiveness of EU public procurement legislation</w:t>
      </w:r>
      <w:r>
        <w:t>. European Commission.</w:t>
      </w:r>
    </w:p>
    <w:p>
      <w:pPr>
        <w:ind w:firstLine="720"/>
      </w:pPr>
      <w:r>
        <w:t xml:space="preserve">European Commission. (2020). </w:t>
      </w:r>
      <w:r>
        <w:rPr>
          <w:i/>
        </w:rPr>
        <w:t>Single market scoreboard: Public procurement</w:t>
      </w:r>
      <w:r>
        <w:t>. European Commission.</w:t>
      </w:r>
    </w:p>
    <w:p>
      <w:pPr>
        <w:ind w:firstLine="720"/>
      </w:pPr>
      <w:r>
        <w:t xml:space="preserve">Fazekas, M., &amp; Blum, J. R. (2021). Improving public procurement outcomes: Review of tools and the state of the evidence base. </w:t>
      </w:r>
      <w:r>
        <w:rPr>
          <w:i/>
        </w:rPr>
        <w:t>World Bank Policy Research Working Paper</w:t>
      </w:r>
      <w:r>
        <w:t>, No. 9553. https://doi.org/10.1596/1813-9450-9553</w:t>
      </w:r>
    </w:p>
    <w:p>
      <w:pPr>
        <w:ind w:firstLine="720"/>
      </w:pPr>
      <w:r>
        <w:t xml:space="preserve">Fazekas, M., &amp; Kocsis, G. (2020). Uncovering high-level corruption: Cross-national objective corruption risk indicators using public procurement data. </w:t>
      </w:r>
      <w:r>
        <w:rPr>
          <w:i/>
        </w:rPr>
        <w:t>British Journal of Political Science</w:t>
      </w:r>
      <w:r>
        <w:t xml:space="preserve">, </w:t>
      </w:r>
      <w:r>
        <w:rPr>
          <w:i/>
        </w:rPr>
        <w:t>50</w:t>
      </w:r>
      <w:r>
        <w:t>(1), 155–164. https://doi.org/10.1017/S0007123417000461</w:t>
      </w:r>
    </w:p>
    <w:p>
      <w:pPr>
        <w:ind w:firstLine="720"/>
      </w:pPr>
      <w:r>
        <w:t>Federal Acquisition Regulation, 48 C.F.R. ch. 1 (2024).</w:t>
      </w:r>
    </w:p>
    <w:p>
      <w:pPr>
        <w:ind w:firstLine="720"/>
      </w:pPr>
      <w:r>
        <w:t xml:space="preserve">Federal Procurement Data System–Next Generation. (2024). </w:t>
      </w:r>
      <w:r>
        <w:rPr>
          <w:i/>
        </w:rPr>
        <w:t>FPDS-NG data</w:t>
      </w:r>
      <w:r>
        <w:t>. https://www.fpds.gov</w:t>
      </w:r>
    </w:p>
    <w:p>
      <w:pPr>
        <w:ind w:firstLine="720"/>
      </w:pPr>
      <w:r>
        <w:t xml:space="preserve">Ganuza, J. J. (2007). Competition and cost overruns in procurement. </w:t>
      </w:r>
      <w:r>
        <w:rPr>
          <w:i/>
        </w:rPr>
        <w:t>Journal of Industrial Economics</w:t>
      </w:r>
      <w:r>
        <w:t xml:space="preserve">, </w:t>
      </w:r>
      <w:r>
        <w:rPr>
          <w:i/>
        </w:rPr>
        <w:t>55</w:t>
      </w:r>
      <w:r>
        <w:t>(4), 633–660. https://doi.org/10.1111/j.1467-6451.2007.00327.x</w:t>
      </w:r>
    </w:p>
    <w:p>
      <w:pPr>
        <w:ind w:firstLine="720"/>
      </w:pPr>
      <w:r>
        <w:t xml:space="preserve">Gordon, D. I. (2006). Constructing a bid protest process: The choices that every procurement challenge system must make. </w:t>
      </w:r>
      <w:r>
        <w:rPr>
          <w:i/>
        </w:rPr>
        <w:t>Public Contract Law Journal</w:t>
      </w:r>
      <w:r>
        <w:t xml:space="preserve">, </w:t>
      </w:r>
      <w:r>
        <w:rPr>
          <w:i/>
        </w:rPr>
        <w:t>35</w:t>
      </w:r>
      <w:r>
        <w:t>(3), 427–445.</w:t>
      </w:r>
    </w:p>
    <w:p>
      <w:pPr>
        <w:ind w:firstLine="720"/>
      </w:pPr>
      <w:r>
        <w:t xml:space="preserve">Government Accountability Office. (2024). </w:t>
      </w:r>
      <w:r>
        <w:rPr>
          <w:i/>
        </w:rPr>
        <w:t>Defense acquisitions annual assessment: Programs are not consistently implementing best practices</w:t>
      </w:r>
      <w:r>
        <w:t xml:space="preserve"> (GAO-24-106706). GAO.</w:t>
      </w:r>
    </w:p>
    <w:p>
      <w:pPr>
        <w:ind w:firstLine="720"/>
      </w:pPr>
      <w:r>
        <w:t xml:space="preserve">Government Accountability Office. (2025). </w:t>
      </w:r>
      <w:r>
        <w:rPr>
          <w:i/>
        </w:rPr>
        <w:t>Bid protest annual report to Congress for fiscal year 2024</w:t>
      </w:r>
      <w:r>
        <w:t>. GAO.</w:t>
      </w:r>
    </w:p>
    <w:p>
      <w:pPr>
        <w:ind w:firstLine="720"/>
      </w:pPr>
      <w:r>
        <w:t xml:space="preserve">Grossman, S. J., &amp; Hart, O. D. (1986). The costs and benefits of ownership: A theory of vertical and lateral integration. </w:t>
      </w:r>
      <w:r>
        <w:rPr>
          <w:i/>
        </w:rPr>
        <w:t>Journal of Political Economy</w:t>
      </w:r>
      <w:r>
        <w:t xml:space="preserve">, </w:t>
      </w:r>
      <w:r>
        <w:rPr>
          <w:i/>
        </w:rPr>
        <w:t>94</w:t>
      </w:r>
      <w:r>
        <w:t>(4), 691–719. https://doi.org/10.1086/261404</w:t>
      </w:r>
    </w:p>
    <w:p>
      <w:pPr>
        <w:ind w:firstLine="720"/>
      </w:pPr>
      <w:r>
        <w:t xml:space="preserve">Hanazono, M., &amp; Nakabayashi, J. (2017). Procurement auctions with general price-quality evaluation. </w:t>
      </w:r>
      <w:r>
        <w:rPr>
          <w:i/>
        </w:rPr>
        <w:t>Theoretical Economics</w:t>
      </w:r>
      <w:r>
        <w:t xml:space="preserve">, </w:t>
      </w:r>
      <w:r>
        <w:rPr>
          <w:i/>
        </w:rPr>
        <w:t>12</w:t>
      </w:r>
      <w:r>
        <w:t>(3), 1319–1367. https://doi.org/10.3982/TE2224</w:t>
      </w:r>
    </w:p>
    <w:p>
      <w:pPr>
        <w:ind w:firstLine="720"/>
      </w:pPr>
      <w:r>
        <w:t xml:space="preserve">Hart, O. (1995). </w:t>
      </w:r>
      <w:r>
        <w:rPr>
          <w:i/>
        </w:rPr>
        <w:t>Firms, contracts, and financial structure</w:t>
      </w:r>
      <w:r>
        <w:t>. Oxford University Press.</w:t>
      </w:r>
    </w:p>
    <w:p>
      <w:pPr>
        <w:ind w:firstLine="720"/>
      </w:pPr>
      <w:r>
        <w:t xml:space="preserve">Hart, O., &amp; Moore, J. (1988). Incomplete contracts and renegotiation. </w:t>
      </w:r>
      <w:r>
        <w:rPr>
          <w:i/>
        </w:rPr>
        <w:t>Econometrica</w:t>
      </w:r>
      <w:r>
        <w:t xml:space="preserve">, </w:t>
      </w:r>
      <w:r>
        <w:rPr>
          <w:i/>
        </w:rPr>
        <w:t>56</w:t>
      </w:r>
      <w:r>
        <w:t>(4), 755–785. https://doi.org/10.2307/1912698</w:t>
      </w:r>
    </w:p>
    <w:p>
      <w:pPr>
        <w:ind w:firstLine="720"/>
      </w:pPr>
      <w:r>
        <w:t xml:space="preserve">Hartley, J., Alford, J., Knies, E., &amp; Douglas, S. (2017). Towards an empirical research agenda for public value theory. </w:t>
      </w:r>
      <w:r>
        <w:rPr>
          <w:i/>
        </w:rPr>
        <w:t>Public Management Review</w:t>
      </w:r>
      <w:r>
        <w:t xml:space="preserve">, </w:t>
      </w:r>
      <w:r>
        <w:rPr>
          <w:i/>
        </w:rPr>
        <w:t>19</w:t>
      </w:r>
      <w:r>
        <w:t>(5), 670–685. https://doi.org/10.1080/14719037.2016.1192166</w:t>
      </w:r>
    </w:p>
    <w:p>
      <w:pPr>
        <w:ind w:firstLine="720"/>
      </w:pPr>
      <w:r>
        <w:t xml:space="preserve">HM Treasury. (2006). </w:t>
      </w:r>
      <w:r>
        <w:rPr>
          <w:i/>
        </w:rPr>
        <w:t>Value for money assessment guidance</w:t>
      </w:r>
      <w:r>
        <w:t>. Her Majesty's Treasury.</w:t>
      </w:r>
    </w:p>
    <w:p>
      <w:pPr>
        <w:ind w:firstLine="720"/>
      </w:pPr>
      <w:r>
        <w:t xml:space="preserve">Iossa, E. (2019). </w:t>
      </w:r>
      <w:r>
        <w:rPr>
          <w:i/>
        </w:rPr>
        <w:t>Contract duration, competition for the market, and tackling incumbency advantage</w:t>
      </w:r>
      <w:r>
        <w:t>. OECD Public Procurement Policy Paper.</w:t>
      </w:r>
    </w:p>
    <w:p>
      <w:pPr>
        <w:ind w:firstLine="720"/>
      </w:pPr>
      <w:r>
        <w:t xml:space="preserve">Johansson, M., &amp; Lahtinen, K. (2012). Requirements clarity in public procurement: Pre-conditions for effective competition. In C. Albano, G. L. Albano, G. Spagnolo, &amp; M. Zanza (Eds.), </w:t>
      </w:r>
      <w:r>
        <w:rPr>
          <w:i/>
        </w:rPr>
        <w:t>Contracts, procurement and public-private agreements</w:t>
      </w:r>
      <w:r>
        <w:t>. Nova Science Publishers.</w:t>
      </w:r>
    </w:p>
    <w:p>
      <w:pPr>
        <w:ind w:firstLine="720"/>
      </w:pPr>
      <w:r>
        <w:t xml:space="preserve">Jung, S., Kim, B., &amp; Suh, S. (2013). Strategic bidding and contract renegotiation. </w:t>
      </w:r>
      <w:r>
        <w:rPr>
          <w:i/>
        </w:rPr>
        <w:t>International Economic Review</w:t>
      </w:r>
      <w:r>
        <w:t xml:space="preserve">, </w:t>
      </w:r>
      <w:r>
        <w:rPr>
          <w:i/>
        </w:rPr>
        <w:t>54</w:t>
      </w:r>
      <w:r>
        <w:t>(4), 1189–1214. https://doi.org/10.1111/iere.12033</w:t>
      </w:r>
    </w:p>
    <w:p>
      <w:pPr>
        <w:ind w:firstLine="720"/>
      </w:pPr>
      <w:r>
        <w:t xml:space="preserve">Kagel, J. H., &amp; Levin, D. (1986). The winner's curse and public information in common value auctions. </w:t>
      </w:r>
      <w:r>
        <w:rPr>
          <w:i/>
        </w:rPr>
        <w:t>American Economic Review</w:t>
      </w:r>
      <w:r>
        <w:t xml:space="preserve">, </w:t>
      </w:r>
      <w:r>
        <w:rPr>
          <w:i/>
        </w:rPr>
        <w:t>76</w:t>
      </w:r>
      <w:r>
        <w:t>(5), 894–920.</w:t>
      </w:r>
    </w:p>
    <w:p>
      <w:pPr>
        <w:ind w:firstLine="720"/>
      </w:pPr>
      <w:r>
        <w:t xml:space="preserve">Kelman, S. (1990). </w:t>
      </w:r>
      <w:r>
        <w:rPr>
          <w:i/>
        </w:rPr>
        <w:t>Procurement and public management: The fear of discretion and the quality of government performance</w:t>
      </w:r>
      <w:r>
        <w:t>. AEI Press.</w:t>
      </w:r>
    </w:p>
    <w:p>
      <w:pPr>
        <w:ind w:firstLine="720"/>
      </w:pPr>
      <w:r>
        <w:t xml:space="preserve">Kelman, S. (2002). Remaking federal procurement. </w:t>
      </w:r>
      <w:r>
        <w:rPr>
          <w:i/>
        </w:rPr>
        <w:t>Public Contract Law Journal</w:t>
      </w:r>
      <w:r>
        <w:t xml:space="preserve">, </w:t>
      </w:r>
      <w:r>
        <w:rPr>
          <w:i/>
        </w:rPr>
        <w:t>31</w:t>
      </w:r>
      <w:r>
        <w:t>(4), 581–622.</w:t>
      </w:r>
    </w:p>
    <w:p>
      <w:pPr>
        <w:ind w:firstLine="720"/>
      </w:pPr>
      <w:r>
        <w:t xml:space="preserve">Kelman, S. (2005). </w:t>
      </w:r>
      <w:r>
        <w:rPr>
          <w:i/>
        </w:rPr>
        <w:t>Unleashing change: A study of organizational renewal in government</w:t>
      </w:r>
      <w:r>
        <w:t>. Brookings Institution Press.</w:t>
      </w:r>
    </w:p>
    <w:p>
      <w:pPr>
        <w:ind w:firstLine="720"/>
      </w:pPr>
      <w:r>
        <w:t xml:space="preserve">Klemperer, P. (2002). What really matters in auction design. </w:t>
      </w:r>
      <w:r>
        <w:rPr>
          <w:i/>
        </w:rPr>
        <w:t>Journal of Economic Perspectives</w:t>
      </w:r>
      <w:r>
        <w:t xml:space="preserve">, </w:t>
      </w:r>
      <w:r>
        <w:rPr>
          <w:i/>
        </w:rPr>
        <w:t>16</w:t>
      </w:r>
      <w:r>
        <w:t>(1), 169–189. https://doi.org/10.1257/0895330027166</w:t>
      </w:r>
    </w:p>
    <w:p>
      <w:pPr>
        <w:ind w:firstLine="720"/>
      </w:pPr>
      <w:r>
        <w:t xml:space="preserve">Krishna, V. (2010). </w:t>
      </w:r>
      <w:r>
        <w:rPr>
          <w:i/>
        </w:rPr>
        <w:t>Auction theory</w:t>
      </w:r>
      <w:r>
        <w:t xml:space="preserve"> (2nd ed.). Academic Press.</w:t>
      </w:r>
    </w:p>
    <w:p>
      <w:pPr>
        <w:ind w:firstLine="720"/>
      </w:pPr>
      <w:r>
        <w:t xml:space="preserve">Laffont, J.-J., &amp; Tirole, J. (1991). The politics of government decision-making: A theory of regulatory capture. </w:t>
      </w:r>
      <w:r>
        <w:rPr>
          <w:i/>
        </w:rPr>
        <w:t>Quarterly Journal of Economics</w:t>
      </w:r>
      <w:r>
        <w:t xml:space="preserve">, </w:t>
      </w:r>
      <w:r>
        <w:rPr>
          <w:i/>
        </w:rPr>
        <w:t>106</w:t>
      </w:r>
      <w:r>
        <w:t>(4), 1089–1127. https://doi.org/10.2307/2937958</w:t>
      </w:r>
    </w:p>
    <w:p>
      <w:pPr>
        <w:ind w:firstLine="720"/>
      </w:pPr>
      <w:r>
        <w:t xml:space="preserve">Laffont, J.-J., &amp; Tirole, J. (1993). </w:t>
      </w:r>
      <w:r>
        <w:rPr>
          <w:i/>
        </w:rPr>
        <w:t>A theory of incentives in procurement and regulation</w:t>
      </w:r>
      <w:r>
        <w:t>. MIT Press.</w:t>
      </w:r>
    </w:p>
    <w:p>
      <w:pPr>
        <w:ind w:firstLine="720"/>
      </w:pPr>
      <w:r>
        <w:t xml:space="preserve">Levin, J., &amp; Tadelis, S. (2010). Contracting for government services: Theory and evidence from US cities. </w:t>
      </w:r>
      <w:r>
        <w:rPr>
          <w:i/>
        </w:rPr>
        <w:t>Journal of Industrial Economics</w:t>
      </w:r>
      <w:r>
        <w:t xml:space="preserve">, </w:t>
      </w:r>
      <w:r>
        <w:rPr>
          <w:i/>
        </w:rPr>
        <w:t>58</w:t>
      </w:r>
      <w:r>
        <w:t>(3), 507–541. https://doi.org/10.1111/j.1467-6451.2010.00430.x</w:t>
      </w:r>
    </w:p>
    <w:p>
      <w:pPr>
        <w:ind w:firstLine="720"/>
      </w:pPr>
      <w:r>
        <w:t xml:space="preserve">Lewis, G., &amp; Bajari, P. (2011). Procurement contracting with time incentives: Theory and evidence. </w:t>
      </w:r>
      <w:r>
        <w:rPr>
          <w:i/>
        </w:rPr>
        <w:t>Quarterly Journal of Economics</w:t>
      </w:r>
      <w:r>
        <w:t xml:space="preserve">, </w:t>
      </w:r>
      <w:r>
        <w:rPr>
          <w:i/>
        </w:rPr>
        <w:t>126</w:t>
      </w:r>
      <w:r>
        <w:t>(3), 1173–1211. https://doi.org/10.1093/qje/qjr026</w:t>
      </w:r>
    </w:p>
    <w:p>
      <w:pPr>
        <w:ind w:firstLine="720"/>
      </w:pPr>
      <w:r>
        <w:t xml:space="preserve">Lusby, M. (2013). </w:t>
      </w:r>
      <w:r>
        <w:rPr>
          <w:i/>
        </w:rPr>
        <w:t>The effect of bid protests on the federal government procurement process</w:t>
      </w:r>
      <w:r>
        <w:t xml:space="preserve"> [Master's thesis, Naval Postgraduate School]. NPS Archive.</w:t>
      </w:r>
    </w:p>
    <w:p>
      <w:pPr>
        <w:ind w:firstLine="720"/>
      </w:pPr>
      <w:r>
        <w:t xml:space="preserve">Malacina, I., Karttunen, E., Eskola, S., Czinkota, M., &amp; Laari, S. (2022). Public procurement and value creation: A systematic literature review. </w:t>
      </w:r>
      <w:r>
        <w:rPr>
          <w:i/>
        </w:rPr>
        <w:t>Journal of Public Procurement</w:t>
      </w:r>
      <w:r>
        <w:t xml:space="preserve">, </w:t>
      </w:r>
      <w:r>
        <w:rPr>
          <w:i/>
        </w:rPr>
        <w:t>22</w:t>
      </w:r>
      <w:r>
        <w:t>(3), 241–269. https://doi.org/10.1108/JOPP-02-2022-0007</w:t>
      </w:r>
    </w:p>
    <w:p>
      <w:pPr>
        <w:ind w:firstLine="720"/>
      </w:pPr>
      <w:r>
        <w:t xml:space="preserve">Manuel, K. M. (2011). </w:t>
      </w:r>
      <w:r>
        <w:rPr>
          <w:i/>
        </w:rPr>
        <w:t>Competition in federal contracting: An overview of the legal requirements</w:t>
      </w:r>
      <w:r>
        <w:t xml:space="preserve"> (Report No. R40516). Congressional Research Service.</w:t>
      </w:r>
    </w:p>
    <w:p>
      <w:pPr>
        <w:ind w:firstLine="720"/>
      </w:pPr>
      <w:r>
        <w:t xml:space="preserve">McCue, C. P. (2003). Implications of the procurement fraud: Waste, abuse, or corruption dilemma on local government procurement professionals. </w:t>
      </w:r>
      <w:r>
        <w:rPr>
          <w:i/>
        </w:rPr>
        <w:t>Journal of Public Budgeting, Accounting &amp; Financial Management</w:t>
      </w:r>
      <w:r>
        <w:t xml:space="preserve">, </w:t>
      </w:r>
      <w:r>
        <w:rPr>
          <w:i/>
        </w:rPr>
        <w:t>15</w:t>
      </w:r>
      <w:r>
        <w:t>(3), 446–468. https://doi.org/10.1108/JPBAFM-15-03-2003-B007</w:t>
      </w:r>
    </w:p>
    <w:p>
      <w:pPr>
        <w:ind w:firstLine="720"/>
      </w:pPr>
      <w:r>
        <w:t xml:space="preserve">Milgrom, P. (2004). </w:t>
      </w:r>
      <w:r>
        <w:rPr>
          <w:i/>
        </w:rPr>
        <w:t>Putting auction theory to work</w:t>
      </w:r>
      <w:r>
        <w:t>. Cambridge University Press.</w:t>
      </w:r>
    </w:p>
    <w:p>
      <w:pPr>
        <w:ind w:firstLine="720"/>
      </w:pPr>
      <w:r>
        <w:t xml:space="preserve">Miller, G. J. (2005). The political evolution of principal-agent models. </w:t>
      </w:r>
      <w:r>
        <w:rPr>
          <w:i/>
        </w:rPr>
        <w:t>Annual Review of Political Science</w:t>
      </w:r>
      <w:r>
        <w:t xml:space="preserve">, </w:t>
      </w:r>
      <w:r>
        <w:rPr>
          <w:i/>
        </w:rPr>
        <w:t>8</w:t>
      </w:r>
      <w:r>
        <w:t>, 203–225. https://doi.org/10.1146/annurev.polisci.8.082103.104840</w:t>
      </w:r>
    </w:p>
    <w:p>
      <w:pPr>
        <w:ind w:firstLine="720"/>
      </w:pPr>
      <w:r>
        <w:t xml:space="preserve">Moore, M. H. (1995). </w:t>
      </w:r>
      <w:r>
        <w:rPr>
          <w:i/>
        </w:rPr>
        <w:t>Creating public value: Strategic management in government</w:t>
      </w:r>
      <w:r>
        <w:t>. Harvard University Press.</w:t>
      </w:r>
    </w:p>
    <w:p>
      <w:pPr>
        <w:ind w:firstLine="720"/>
      </w:pPr>
      <w:r>
        <w:t xml:space="preserve">Moore, M. H. (2013). </w:t>
      </w:r>
      <w:r>
        <w:rPr>
          <w:i/>
        </w:rPr>
        <w:t>Recognizing public value</w:t>
      </w:r>
      <w:r>
        <w:t>. Harvard University Press.</w:t>
      </w:r>
    </w:p>
    <w:p>
      <w:pPr>
        <w:ind w:firstLine="720"/>
      </w:pPr>
      <w:r>
        <w:t xml:space="preserve">Nagle, J. F. (1999). </w:t>
      </w:r>
      <w:r>
        <w:rPr>
          <w:i/>
        </w:rPr>
        <w:t>A history of government contracting</w:t>
      </w:r>
      <w:r>
        <w:t xml:space="preserve"> (2nd ed.). George Washington University.</w:t>
      </w:r>
    </w:p>
    <w:p>
      <w:pPr>
        <w:ind w:firstLine="720"/>
      </w:pPr>
      <w:r>
        <w:t xml:space="preserve">National Association of State Procurement Officials. (2019). </w:t>
      </w:r>
      <w:r>
        <w:rPr>
          <w:i/>
        </w:rPr>
        <w:t>State procurement: Principles and practices</w:t>
      </w:r>
      <w:r>
        <w:t xml:space="preserve"> (3rd ed.). NASPO.</w:t>
      </w:r>
    </w:p>
    <w:p>
      <w:pPr>
        <w:ind w:firstLine="720"/>
      </w:pPr>
      <w:r>
        <w:t xml:space="preserve">National Defense Industrial Association. (2014). </w:t>
      </w:r>
      <w:r>
        <w:rPr>
          <w:i/>
        </w:rPr>
        <w:t>LPTA: Pair with care</w:t>
      </w:r>
      <w:r>
        <w:t>. NDIA.</w:t>
      </w:r>
    </w:p>
    <w:p>
      <w:pPr>
        <w:ind w:firstLine="720"/>
      </w:pPr>
      <w:r>
        <w:t xml:space="preserve">National Institute of Governmental Purchasing. (2014). </w:t>
      </w:r>
      <w:r>
        <w:rPr>
          <w:i/>
        </w:rPr>
        <w:t>Developing and managing requests for proposals in the public sector</w:t>
      </w:r>
      <w:r>
        <w:t xml:space="preserve"> (2nd ed.). NIGP.</w:t>
      </w:r>
    </w:p>
    <w:p>
      <w:pPr>
        <w:ind w:firstLine="720"/>
      </w:pPr>
      <w:r>
        <w:t xml:space="preserve">National Institute of Governmental Purchasing. (2016). </w:t>
      </w:r>
      <w:r>
        <w:rPr>
          <w:i/>
        </w:rPr>
        <w:t>Global best practices in public procurement</w:t>
      </w:r>
      <w:r>
        <w:t>. NIGP.</w:t>
      </w:r>
    </w:p>
    <w:p>
      <w:pPr>
        <w:ind w:firstLine="720"/>
      </w:pPr>
      <w:r>
        <w:t xml:space="preserve">Office of Procurement Ombudsman Canada. (2025). </w:t>
      </w:r>
      <w:r>
        <w:rPr>
          <w:i/>
        </w:rPr>
        <w:t>Clarity and completeness of solicitation requirements: Annual report findings</w:t>
      </w:r>
      <w:r>
        <w:t>. OPO.</w:t>
      </w:r>
    </w:p>
    <w:p>
      <w:pPr>
        <w:ind w:firstLine="720"/>
      </w:pPr>
      <w:r>
        <w:t xml:space="preserve">Organisation for Economic Co-operation and Development. (2009). </w:t>
      </w:r>
      <w:r>
        <w:rPr>
          <w:i/>
        </w:rPr>
        <w:t>OECD principles for integrity in public procurement</w:t>
      </w:r>
      <w:r>
        <w:t>. OECD Publishing.</w:t>
      </w:r>
    </w:p>
    <w:p>
      <w:pPr>
        <w:ind w:firstLine="720"/>
      </w:pPr>
      <w:r>
        <w:t xml:space="preserve">Organisation for Economic Co-operation and Development. (2015). </w:t>
      </w:r>
      <w:r>
        <w:rPr>
          <w:i/>
        </w:rPr>
        <w:t>OECD recommendation of the council on public procurement</w:t>
      </w:r>
      <w:r>
        <w:t>. OECD Publishing.</w:t>
      </w:r>
    </w:p>
    <w:p>
      <w:pPr>
        <w:ind w:firstLine="720"/>
      </w:pPr>
      <w:r>
        <w:t xml:space="preserve">Organisation for Economic Co-operation and Development. (2019). </w:t>
      </w:r>
      <w:r>
        <w:rPr>
          <w:i/>
        </w:rPr>
        <w:t>Government at a glance 2019</w:t>
      </w:r>
      <w:r>
        <w:t>. OECD Publishing. https://doi.org/10.1787/8ccf5c38-en</w:t>
      </w:r>
    </w:p>
    <w:p>
      <w:pPr>
        <w:ind w:firstLine="720"/>
      </w:pPr>
      <w:r>
        <w:t xml:space="preserve">Osman, H., Gomez, J. P., &amp; Gunderson, E. (2017). </w:t>
      </w:r>
      <w:r>
        <w:rPr>
          <w:i/>
        </w:rPr>
        <w:t>Analysis of contract source selection and its effect on cost and schedule performance</w:t>
      </w:r>
      <w:r>
        <w:t xml:space="preserve"> [Master's thesis, Naval Postgraduate School]. NPS Archive.</w:t>
      </w:r>
    </w:p>
    <w:p>
      <w:pPr>
        <w:ind w:firstLine="720"/>
      </w:pPr>
      <w:r>
        <w:t xml:space="preserve">Prier, E., &amp; McCue, C. P. (2009). The implications of a muddled definition of public procurement. </w:t>
      </w:r>
      <w:r>
        <w:rPr>
          <w:i/>
        </w:rPr>
        <w:t>Journal of Public Procurement</w:t>
      </w:r>
      <w:r>
        <w:t xml:space="preserve">, </w:t>
      </w:r>
      <w:r>
        <w:rPr>
          <w:i/>
        </w:rPr>
        <w:t>9</w:t>
      </w:r>
      <w:r>
        <w:t>(3–4), 326–370. https://doi.org/10.1108/JOPP-09-03-04-2009-B002</w:t>
      </w:r>
    </w:p>
    <w:p>
      <w:pPr>
        <w:ind w:firstLine="720"/>
      </w:pPr>
      <w:r>
        <w:t xml:space="preserve">Professional Services Council. (2014). </w:t>
      </w:r>
      <w:r>
        <w:rPr>
          <w:i/>
        </w:rPr>
        <w:t>The impact of LPTA on the government services sector</w:t>
      </w:r>
      <w:r>
        <w:t>. PSC.</w:t>
      </w:r>
    </w:p>
    <w:p>
      <w:pPr>
        <w:ind w:firstLine="720"/>
      </w:pPr>
      <w:r>
        <w:t>Public Law 114-328, National Defense Authorization Act for Fiscal Year 2017, § 813 (2016).</w:t>
      </w:r>
    </w:p>
    <w:p>
      <w:pPr>
        <w:ind w:firstLine="720"/>
      </w:pPr>
      <w:r>
        <w:t>Public Law 115-91, National Defense Authorization Act for Fiscal Year 2018, § 822 (2017).</w:t>
      </w:r>
    </w:p>
    <w:p>
      <w:pPr>
        <w:ind w:firstLine="720"/>
      </w:pPr>
      <w:r>
        <w:t xml:space="preserve">RAND Corporation. (2022). </w:t>
      </w:r>
      <w:r>
        <w:rPr>
          <w:i/>
        </w:rPr>
        <w:t>Acquisition cycle time trends and analysis</w:t>
      </w:r>
      <w:r>
        <w:t>. RAND.</w:t>
      </w:r>
    </w:p>
    <w:p>
      <w:pPr>
        <w:ind w:firstLine="720"/>
      </w:pPr>
      <w:r>
        <w:t xml:space="preserve">Rendon, R. G. (2009). Procurement process maturity: Key to performance measurement. </w:t>
      </w:r>
      <w:r>
        <w:rPr>
          <w:i/>
        </w:rPr>
        <w:t>Journal of Public Procurement</w:t>
      </w:r>
      <w:r>
        <w:t xml:space="preserve">, </w:t>
      </w:r>
      <w:r>
        <w:rPr>
          <w:i/>
        </w:rPr>
        <w:t>9</w:t>
      </w:r>
      <w:r>
        <w:t>(2), 200–214. https://doi.org/10.1108/JOPP-09-02-2009-B002</w:t>
      </w:r>
    </w:p>
    <w:p>
      <w:pPr>
        <w:ind w:firstLine="720"/>
      </w:pPr>
      <w:r>
        <w:t xml:space="preserve">Riley, J. G., &amp; Samuelson, W. F. (1981). Optimal auctions. </w:t>
      </w:r>
      <w:r>
        <w:rPr>
          <w:i/>
        </w:rPr>
        <w:t>American Economic Review</w:t>
      </w:r>
      <w:r>
        <w:t xml:space="preserve">, </w:t>
      </w:r>
      <w:r>
        <w:rPr>
          <w:i/>
        </w:rPr>
        <w:t>71</w:t>
      </w:r>
      <w:r>
        <w:t>(3), 381–392.</w:t>
      </w:r>
    </w:p>
    <w:p>
      <w:pPr>
        <w:ind w:firstLine="720"/>
      </w:pPr>
      <w:r>
        <w:t xml:space="preserve">Ross, S. A. (1973). The economic theory of agency: The principal's problem. </w:t>
      </w:r>
      <w:r>
        <w:rPr>
          <w:i/>
        </w:rPr>
        <w:t>American Economic Review</w:t>
      </w:r>
      <w:r>
        <w:t xml:space="preserve">, </w:t>
      </w:r>
      <w:r>
        <w:rPr>
          <w:i/>
        </w:rPr>
        <w:t>63</w:t>
      </w:r>
      <w:r>
        <w:t>(2), 134–139.</w:t>
      </w:r>
    </w:p>
    <w:p>
      <w:pPr>
        <w:ind w:firstLine="720"/>
      </w:pPr>
      <w:r>
        <w:t xml:space="preserve">Schooner, S. L. (2001). Fear of oversight: The fundamental failure of businesslike government. </w:t>
      </w:r>
      <w:r>
        <w:rPr>
          <w:i/>
        </w:rPr>
        <w:t>American University Law Review</w:t>
      </w:r>
      <w:r>
        <w:t xml:space="preserve">, </w:t>
      </w:r>
      <w:r>
        <w:rPr>
          <w:i/>
        </w:rPr>
        <w:t>50</w:t>
      </w:r>
      <w:r>
        <w:t>(3), 627–724.</w:t>
      </w:r>
    </w:p>
    <w:p>
      <w:pPr>
        <w:ind w:firstLine="720"/>
      </w:pPr>
      <w:r>
        <w:t xml:space="preserve">Schwartz, M., &amp; Manuel, K. M. (2018). </w:t>
      </w:r>
      <w:r>
        <w:rPr>
          <w:i/>
        </w:rPr>
        <w:t>GAO bid protests: Trends, analysis, and options for Congress</w:t>
      </w:r>
      <w:r>
        <w:t xml:space="preserve"> (Report No. R45080). Congressional Research Service.</w:t>
      </w:r>
    </w:p>
    <w:p>
      <w:pPr>
        <w:ind w:firstLine="720"/>
      </w:pPr>
      <w:r>
        <w:t xml:space="preserve">Snider, K. F., &amp; Rendon, R. G. (2008). Public procurement policy: Implications for theory and practice. </w:t>
      </w:r>
      <w:r>
        <w:rPr>
          <w:i/>
        </w:rPr>
        <w:t>Journal of Public Procurement</w:t>
      </w:r>
      <w:r>
        <w:t xml:space="preserve">, </w:t>
      </w:r>
      <w:r>
        <w:rPr>
          <w:i/>
        </w:rPr>
        <w:t>8</w:t>
      </w:r>
      <w:r>
        <w:t>(3), 310–333. https://doi.org/10.1108/JOPP-08-03-2008-B002</w:t>
      </w:r>
    </w:p>
    <w:p>
      <w:pPr>
        <w:ind w:firstLine="720"/>
      </w:pPr>
      <w:r>
        <w:t xml:space="preserve">Standish Group. (2020). </w:t>
      </w:r>
      <w:r>
        <w:rPr>
          <w:i/>
        </w:rPr>
        <w:t>CHAOS report 2020</w:t>
      </w:r>
      <w:r>
        <w:t>. The Standish Group International.</w:t>
      </w:r>
    </w:p>
    <w:p>
      <w:pPr>
        <w:ind w:firstLine="720"/>
      </w:pPr>
      <w:r>
        <w:t xml:space="preserve">Tadelis, S. (2012). Public procurement design: Lessons from the private sector. </w:t>
      </w:r>
      <w:r>
        <w:rPr>
          <w:i/>
        </w:rPr>
        <w:t>International Journal of Industrial Organization</w:t>
      </w:r>
      <w:r>
        <w:t xml:space="preserve">, </w:t>
      </w:r>
      <w:r>
        <w:rPr>
          <w:i/>
        </w:rPr>
        <w:t>30</w:t>
      </w:r>
      <w:r>
        <w:t>(3), 297–302. https://doi.org/10.1016/j.ijindorg.2012.02.002</w:t>
      </w:r>
    </w:p>
    <w:p>
      <w:pPr>
        <w:ind w:firstLine="720"/>
      </w:pPr>
      <w:r>
        <w:t xml:space="preserve">Thai, K. V. (2001). Public procurement re-examined. </w:t>
      </w:r>
      <w:r>
        <w:rPr>
          <w:i/>
        </w:rPr>
        <w:t>Journal of Public Procurement</w:t>
      </w:r>
      <w:r>
        <w:t xml:space="preserve">, </w:t>
      </w:r>
      <w:r>
        <w:rPr>
          <w:i/>
        </w:rPr>
        <w:t>1</w:t>
      </w:r>
      <w:r>
        <w:t>(1), 9–50. https://doi.org/10.1108/JOPP-01-01-2001-B001</w:t>
      </w:r>
    </w:p>
    <w:p>
      <w:pPr>
        <w:ind w:firstLine="720"/>
      </w:pPr>
      <w:r>
        <w:t xml:space="preserve">Thaler, R. H. (1988). Anomalies: The winner's curse. </w:t>
      </w:r>
      <w:r>
        <w:rPr>
          <w:i/>
        </w:rPr>
        <w:t>Journal of Economic Perspectives</w:t>
      </w:r>
      <w:r>
        <w:t xml:space="preserve">, </w:t>
      </w:r>
      <w:r>
        <w:rPr>
          <w:i/>
        </w:rPr>
        <w:t>2</w:t>
      </w:r>
      <w:r>
        <w:t>(1), 191–202. https://doi.org/10.1257/jep.2.1.191</w:t>
      </w:r>
    </w:p>
    <w:p>
      <w:pPr>
        <w:ind w:firstLine="720"/>
      </w:pPr>
      <w:r>
        <w:t xml:space="preserve">Tirole, J. (1986). Procurement and renegotiation. </w:t>
      </w:r>
      <w:r>
        <w:rPr>
          <w:i/>
        </w:rPr>
        <w:t>Journal of Political Economy</w:t>
      </w:r>
      <w:r>
        <w:t xml:space="preserve">, </w:t>
      </w:r>
      <w:r>
        <w:rPr>
          <w:i/>
        </w:rPr>
        <w:t>94</w:t>
      </w:r>
      <w:r>
        <w:t>(2), 235–259. https://doi.org/10.1086/261372</w:t>
      </w:r>
    </w:p>
    <w:p>
      <w:pPr>
        <w:ind w:firstLine="720"/>
      </w:pPr>
      <w:r>
        <w:t xml:space="preserve">Tkachenko, A., Karam, T., Giorgidze, S., &amp; Fazekas, M. (2023). Big data for better public procurement: Methodological review and new approaches. </w:t>
      </w:r>
      <w:r>
        <w:rPr>
          <w:i/>
        </w:rPr>
        <w:t>International Journal of Public Administration</w:t>
      </w:r>
      <w:r>
        <w:t xml:space="preserve">, </w:t>
      </w:r>
      <w:r>
        <w:rPr>
          <w:i/>
        </w:rPr>
        <w:t>46</w:t>
      </w:r>
      <w:r>
        <w:t>(1), 44–61. https://doi.org/10.1080/01900692.2021.1993906</w:t>
      </w:r>
    </w:p>
    <w:p>
      <w:pPr>
        <w:ind w:firstLine="720"/>
      </w:pPr>
      <w:r>
        <w:t xml:space="preserve">Vickrey, W. (1961). Counterspeculation, auctions, and competitive sealed tenders. </w:t>
      </w:r>
      <w:r>
        <w:rPr>
          <w:i/>
        </w:rPr>
        <w:t>Journal of Finance</w:t>
      </w:r>
      <w:r>
        <w:t xml:space="preserve">, </w:t>
      </w:r>
      <w:r>
        <w:rPr>
          <w:i/>
        </w:rPr>
        <w:t>16</w:t>
      </w:r>
      <w:r>
        <w:t>(1), 8–37. https://doi.org/10.1111/j.1540-6261.1961.tb02789.x</w:t>
      </w:r>
    </w:p>
    <w:p>
      <w:pPr>
        <w:ind w:firstLine="720"/>
      </w:pPr>
      <w:r>
        <w:t xml:space="preserve">Watson, K. (2015). </w:t>
      </w:r>
      <w:r>
        <w:rPr>
          <w:i/>
        </w:rPr>
        <w:t>An analysis of the effects of source selection method on contractor performance</w:t>
      </w:r>
      <w:r>
        <w:t xml:space="preserve"> [Master's thesis, Naval Postgraduate School]. NPS Archive.</w:t>
      </w:r>
    </w:p>
    <w:p>
      <w:pPr>
        <w:ind w:firstLine="720"/>
      </w:pPr>
      <w:r>
        <w:t xml:space="preserve">Williamson, O. E. (1975). </w:t>
      </w:r>
      <w:r>
        <w:rPr>
          <w:i/>
        </w:rPr>
        <w:t>Markets and hierarchies: Analysis and antitrust implications</w:t>
      </w:r>
      <w:r>
        <w:t>. Free Press.</w:t>
      </w:r>
    </w:p>
    <w:p>
      <w:pPr>
        <w:ind w:firstLine="720"/>
      </w:pPr>
      <w:r>
        <w:t xml:space="preserve">Williamson, O. E. (1985). </w:t>
      </w:r>
      <w:r>
        <w:rPr>
          <w:i/>
        </w:rPr>
        <w:t>The economic institutions of capitalism</w:t>
      </w:r>
      <w:r>
        <w:t>. Free Press.</w:t>
      </w:r>
    </w:p>
    <w:p>
      <w:pPr>
        <w:ind w:firstLine="720"/>
      </w:pPr>
      <w:r>
        <w:t xml:space="preserve">Williamson, O. E. (1996). </w:t>
      </w:r>
      <w:r>
        <w:rPr>
          <w:i/>
        </w:rPr>
        <w:t>The mechanisms of governance</w:t>
      </w:r>
      <w:r>
        <w:t>. Oxford University Press.</w:t>
      </w:r>
    </w:p>
    <w:p>
      <w:pPr>
        <w:ind w:firstLine="720"/>
      </w:pPr>
      <w:r>
        <w:t xml:space="preserve">Wylie, B. (2021). </w:t>
      </w:r>
      <w:r>
        <w:rPr>
          <w:i/>
        </w:rPr>
        <w:t>Open data, public value, and procurement</w:t>
      </w:r>
      <w:r>
        <w:t>. Centre for International Governance Innovation.</w:t>
      </w:r>
    </w:p>
    <w:p>
      <w:pPr>
        <w:ind w:firstLine="720"/>
      </w:pPr>
      <w:r>
        <w:t xml:space="preserve">Yukins, C. R. (2012). A case study in comparative procurement law: Assessing UNCITRAL's lessons for US procurement. </w:t>
      </w:r>
      <w:r>
        <w:rPr>
          <w:i/>
        </w:rPr>
        <w:t>Public Contract Law Journal</w:t>
      </w:r>
      <w:r>
        <w:t xml:space="preserve">, </w:t>
      </w:r>
      <w:r>
        <w:rPr>
          <w:i/>
        </w:rPr>
        <w:t>41</w:t>
      </w:r>
      <w:r>
        <w:t>(3), 697–717.</w:t>
      </w:r>
    </w:p>
    <w:p>
      <w:pPr>
        <w:ind w:firstLine="720"/>
      </w:pPr>
      <w:r>
        <w:t xml:space="preserve">Yukins, C. R., &amp; Schooner, S. L. (2007). Incrementalism: Eroding the impediments to a global public procurement market. </w:t>
      </w:r>
      <w:r>
        <w:rPr>
          <w:i/>
        </w:rPr>
        <w:t>Georgetown Journal of International Law</w:t>
      </w:r>
      <w:r>
        <w:t xml:space="preserve">, </w:t>
      </w:r>
      <w:r>
        <w:rPr>
          <w:i/>
        </w:rPr>
        <w:t>38</w:t>
      </w:r>
      <w:r>
        <w:t>(3), 529–576.</w:t>
      </w:r>
    </w:p>
    <w:p>
      <w:r>
        <w:br w:type="page"/>
      </w:r>
    </w:p>
    <w:p>
      <w:pPr>
        <w:pStyle w:val="Heading1"/>
      </w:pPr>
      <w:r>
        <w:rPr>
          <w:rFonts w:ascii="Times New Roman" w:hAnsi="Times New Roman"/>
          <w:color w:val="000000"/>
        </w:rPr>
        <w:t>Chapter 3: Methodology</w:t>
      </w:r>
    </w:p>
    <w:p>
      <w:pPr>
        <w:pStyle w:val="Heading2"/>
      </w:pPr>
      <w:r>
        <w:rPr>
          <w:rFonts w:ascii="Times New Roman" w:hAnsi="Times New Roman"/>
          <w:color w:val="000000"/>
        </w:rPr>
        <w:t>3.1 Overall Research Design</w:t>
      </w:r>
    </w:p>
    <w:p>
      <w:pPr>
        <w:ind w:firstLine="720"/>
      </w:pPr>
      <w:r>
        <w:t>This chapter presents the research methodology employed to investigate whether best-value tradeoff source selection yields superior public-value outcomes compared with lowest-price technically acceptable (LPTA) source selection in U.S. federal government procurement. The study addresses a consequential policy question — whether the evaluation method used to award competitive contracts systematically influences downstream performance, competition, and cost outcomes — through rigorous analysis of administrative records generated by the federal procurement system itself.</w:t>
      </w:r>
    </w:p>
    <w:p>
      <w:pPr>
        <w:pStyle w:val="Heading3"/>
      </w:pPr>
      <w:r>
        <w:rPr>
          <w:rFonts w:ascii="Times New Roman" w:hAnsi="Times New Roman"/>
          <w:color w:val="000000"/>
        </w:rPr>
        <w:t>3.1.1 Sequential Mixed-Methods Framework</w:t>
      </w:r>
    </w:p>
    <w:p>
      <w:pPr>
        <w:ind w:firstLine="720"/>
      </w:pPr>
      <w:r>
        <w:t xml:space="preserve">The broader research agenda from which this dissertation emerges follows a sequential mixed-methods design (Creswell &amp; Creswell, 2018). In this paradigm, an initial quantitative phase establishes empirical patterns across a large population of contract awards, and a subsequent qualitative phase explores the mechanisms, contextual factors, and practitioner rationales that underlie those patterns. The present dissertation constitutes </w:t>
      </w:r>
      <w:r>
        <w:rPr>
          <w:b/>
        </w:rPr>
        <w:t>Phase 1</w:t>
      </w:r>
      <w:r>
        <w:t xml:space="preserve"> of this design: a quantitative archival analysis of federal contract data spanning fiscal years 2020 through 2025. Phase 2 — comprising a practitioner survey of federal contracting officers and semi-structured interviews with acquisition leaders — is noted as planned future work that will require a separate Institutional Review Board (IRB) application and is beyond the scope of this document.</w:t>
      </w:r>
    </w:p>
    <w:p>
      <w:pPr>
        <w:ind w:firstLine="720"/>
      </w:pPr>
      <w:r>
        <w:t>The decision to focus the dissertation on Phase 1 reflects several considerations. First, the quantitative archival analysis is self-contained and capable of generating meaningful contributions to both theory and policy. The hypotheses derived in Chapter 2 concern observable, measurable relationships between source selection method and procurement outcomes. Testing these hypotheses requires statistical analysis of contract data, not interview transcripts. Second, the archival approach leverages a data infrastructure that has only recently become viable. The Defense Procurement and Acquisition Policy (DPAP) and the Office of Federal Procurement Policy's Data Procedures Committee (DPC) memorandum of 2020 mandated the reporting of source selection process type in the Federal Procurement Data System (FPDS), creating a field that enables the core comparison at the heart of this study. The window of data availability — roughly five to six fiscal years at the time of analysis — is sufficiently large for cross-sectional and panel estimation but still new enough that the scholarly literature has not yet exploited it. Third, grounding the qualitative phase in quantitative findings ensures that practitioner interviews can be designed to probe specific empirical patterns rather than abstract opinions, strengthening the sequential logic of the mixed-methods architecture.</w:t>
      </w:r>
    </w:p>
    <w:p>
      <w:pPr>
        <w:pStyle w:val="Heading3"/>
      </w:pPr>
      <w:r>
        <w:rPr>
          <w:rFonts w:ascii="Times New Roman" w:hAnsi="Times New Roman"/>
          <w:color w:val="000000"/>
        </w:rPr>
        <w:t>3.1.2 Justification for the Archival Quantitative Approach</w:t>
      </w:r>
    </w:p>
    <w:p>
      <w:pPr>
        <w:ind w:firstLine="720"/>
      </w:pPr>
      <w:r>
        <w:t>Archival research designs occupy a well-established position in public administration, management, and economics scholarship (Shadish et al., 2002). When administrative records are generated as a byproduct of routine government operations, they offer several advantages over primary data collection. The records are comprehensive: USAspending.gov contains data on virtually every federal contract action above the micro-purchase threshold, providing near-population coverage rather than a sample. They are contemporaneous: procurement data are reported at or near the time of award and modification, reducing the recall bias inherent in surveys. They are standardized: FPDS data elements follow government-wide data dictionaries, enabling cross-agency comparisons that would be infeasible through ad hoc survey instruments. And they are publicly available: the transparency mandates of the Federal Funding Accountability and Transparency Act (FFATA) of 2006 and the DATA Act of 2014 ensure that these records can be accessed without restricted-use agreements, facilitating replication.</w:t>
      </w:r>
    </w:p>
    <w:p>
      <w:pPr>
        <w:ind w:firstLine="720"/>
      </w:pPr>
      <w:r>
        <w:t>At the same time, archival data impose constraints that must be acknowledged at the outset. The analyst cannot control the data-generating process, meaning that the variables available for measurement are limited to those that agencies chose (or were required) to report. Outcome measurement is circumscribed: cost growth and modification patterns are observable, but subjective assessments of quality, timeliness, and mission contribution are not available in public records. And the assignment of the treatment of interest — the choice between LPTA and tradeoff source selection — is endogenous. Agencies select their evaluation method in light of the same factors (complexity, risk, market conditions) that may independently influence outcomes. The identification strategy described in Section 3.5 addresses this endogeneity through propensity score matching, within-category comparisons, and difference-in-differences estimation, but the observational nature of the data means that causal claims require careful qualification.</w:t>
      </w:r>
    </w:p>
    <w:p>
      <w:pPr>
        <w:ind w:firstLine="720"/>
      </w:pPr>
      <w:r>
        <w:t>These trade-offs notwithstanding, the archival approach is the most appropriate design for the research questions at hand. A randomized experiment in which agencies are assigned to use LPTA or tradeoff on comparable procurements would be the ideal identification strategy but is infeasible in practice: the Federal Acquisition Regulation (FAR) requires agencies to select their evaluation method based on the characteristics of each procurement, not at random. A purely qualitative approach would lack the statistical power to detect systematic differences across thousands of contract awards. A survey-only approach would suffer from low response rates among federal contracting officers, social desirability bias in self-reported outcomes, and an inability to link responses to specific contract performance data. The archival design provides the scale, objectivity, and replicability needed to advance the empirical literature on source selection policy.</w:t>
      </w:r>
    </w:p>
    <w:p>
      <w:pPr>
        <w:pStyle w:val="Heading3"/>
      </w:pPr>
      <w:r>
        <w:rPr>
          <w:rFonts w:ascii="Times New Roman" w:hAnsi="Times New Roman"/>
          <w:color w:val="000000"/>
        </w:rPr>
        <w:t>3.1.3 Research Questions Revisited</w:t>
      </w:r>
    </w:p>
    <w:p>
      <w:pPr>
        <w:ind w:firstLine="720"/>
      </w:pPr>
      <w:r>
        <w:t>The methodology is organized around the following research questions, which correspond to the hypotheses developed in Chapter 2:</w:t>
      </w:r>
    </w:p>
    <w:p>
      <w:pPr>
        <w:pStyle w:val="ListNumber"/>
      </w:pPr>
      <w:r>
        <w:t>Do contracts awarded through best-value tradeoff source selection exhibit different cost growth patterns compared with contracts awarded through LPTA?</w:t>
      </w:r>
    </w:p>
    <w:p>
      <w:pPr>
        <w:pStyle w:val="ListNumber"/>
      </w:pPr>
      <w:r>
        <w:t>Do tradeoff-awarded contracts experience different modification intensity than LPTA-awarded contracts?</w:t>
      </w:r>
    </w:p>
    <w:p>
      <w:pPr>
        <w:pStyle w:val="ListNumber"/>
      </w:pPr>
      <w:r>
        <w:t>Does the choice of source selection method affect the intensity of competition, measured by the number of offers received and the probability of a single-bid outcome?</w:t>
      </w:r>
    </w:p>
    <w:p>
      <w:pPr>
        <w:pStyle w:val="ListNumber"/>
      </w:pPr>
      <w:r>
        <w:t>Do these relationships vary by procurement complexity, as proxied by NAICS sector, contract type, and indefinite delivery vehicle status?</w:t>
      </w:r>
    </w:p>
    <w:p>
      <w:pPr>
        <w:ind w:firstLine="720"/>
      </w:pPr>
      <w:r>
        <w:t>Each question admits a null hypothesis (no systematic difference) and a directional alternative informed by the theoretical framework of Chapter 2. The statistical models developed in Sections 3.6 and 3.7 test these hypotheses while controlling for confounding factors and addressing selection bias.</w:t>
      </w:r>
    </w:p>
    <w:p>
      <w:pPr>
        <w:pStyle w:val="Heading2"/>
      </w:pPr>
      <w:r>
        <w:rPr>
          <w:rFonts w:ascii="Times New Roman" w:hAnsi="Times New Roman"/>
          <w:color w:val="000000"/>
        </w:rPr>
        <w:t>3.2 Data Sources</w:t>
      </w:r>
    </w:p>
    <w:p>
      <w:pPr>
        <w:ind w:firstLine="720"/>
      </w:pPr>
      <w:r>
        <w:t>The empirical analysis draws on three categories of data: (a) contract-level procurement records from USAspending.gov and the underlying FPDS extracts, which constitute the primary dataset; (b) aggregate bid protest statistics from the U.S. Government Accountability Office (GAO), which provide contextual evidence on the protest environment; and (c) the Contractor Performance Assessment Reporting System (CPARS), which is discussed as a noted limitation and motivation for future research rather than a data source available for this study.</w:t>
      </w:r>
    </w:p>
    <w:p>
      <w:pPr>
        <w:pStyle w:val="Heading3"/>
      </w:pPr>
      <w:r>
        <w:rPr>
          <w:rFonts w:ascii="Times New Roman" w:hAnsi="Times New Roman"/>
          <w:color w:val="000000"/>
        </w:rPr>
        <w:t>3.2.1 Archival Procurement Data</w:t>
      </w:r>
    </w:p>
    <w:p>
      <w:pPr>
        <w:pStyle w:val="Heading4"/>
      </w:pPr>
      <w:r>
        <w:rPr>
          <w:rFonts w:ascii="Times New Roman" w:hAnsi="Times New Roman"/>
          <w:color w:val="000000"/>
        </w:rPr>
        <w:t>USAspending.gov and the Federal Procurement Data System</w:t>
      </w:r>
    </w:p>
    <w:p>
      <w:pPr>
        <w:ind w:firstLine="720"/>
      </w:pPr>
      <w:r>
        <w:t>The primary dataset for this dissertation is drawn from USAspending.gov, the public-facing portal mandated by FFATA and the DATA Act. USAspending.gov aggregates data from multiple federal financial systems, but the procurement records originate in the Federal Procurement Data System — Next Generation (FPDS-NG), the government-wide database that captures detailed information on every contract action above the micro-purchase threshold ($10,000 for most agencies as of FY2025). FPDS data are reported by contracting officers at the time of award or modification and are subject to agency-level quality review and periodic government-wide data validation exercises.</w:t>
      </w:r>
    </w:p>
    <w:p>
      <w:pPr>
        <w:ind w:firstLine="720"/>
      </w:pPr>
      <w:r>
        <w:t>USAspending.gov provides two primary mechanisms for accessing procurement data: a browser-based search and download interface and a RESTful Application Programming Interface (API). This study uses both mechanisms. Bulk extracts of award and subaward data are downloaded through the Custom Award Data Download feature, which produces comma-separated value (CSV) files at the transaction level. These bulk files contain the universe of contract transactions for specified fiscal years, agencies, and award types. The API is used for targeted queries, data validation, and supplementary pulls of specific data elements not included in the standard bulk extracts.</w:t>
      </w:r>
    </w:p>
    <w:p>
      <w:pPr>
        <w:pStyle w:val="Heading4"/>
      </w:pPr>
      <w:r>
        <w:rPr>
          <w:rFonts w:ascii="Times New Roman" w:hAnsi="Times New Roman"/>
          <w:color w:val="000000"/>
        </w:rPr>
        <w:t>Source Selection Process Field</w:t>
      </w:r>
    </w:p>
    <w:p>
      <w:pPr>
        <w:ind w:firstLine="720"/>
      </w:pPr>
      <w:r>
        <w:t xml:space="preserve">The variable of central importance to this study — the source selection process used to evaluate offerors — was added to FPDS reporting requirements effective fiscal year 2020. The addition followed a memorandum from the Data Procedures Committee (DPC), which recognized that the existing FPDS data schema captured whether a contract was competed but not how it was competed. The new field, </w:t>
      </w:r>
      <w:r>
        <w:rPr>
          <w:rFonts w:ascii="Courier New" w:hAnsi="Courier New"/>
          <w:sz w:val="20"/>
        </w:rPr>
        <w:t>source_selection_process</w:t>
      </w:r>
      <w:r>
        <w:t>, contains the following valid values:</w:t>
      </w:r>
    </w:p>
    <w:p>
      <w:pPr>
        <w:pStyle w:val="ListBullet"/>
      </w:pPr>
      <w:r>
        <w:rPr>
          <w:b/>
        </w:rPr>
        <w:t>LPTA</w:t>
      </w:r>
      <w:r>
        <w:t xml:space="preserve"> (Lowest Price Technically Acceptable): The offeror that submits the lowest-priced proposal meeting the minimum technical requirements receives the award. No credit is given for exceeding technical thresholds.</w:t>
      </w:r>
    </w:p>
    <w:p>
      <w:pPr>
        <w:pStyle w:val="ListBullet"/>
      </w:pPr>
      <w:r>
        <w:rPr>
          <w:b/>
        </w:rPr>
        <w:t>TO</w:t>
      </w:r>
      <w:r>
        <w:t xml:space="preserve"> (Tradeoff): The agency evaluates proposals on the basis of price and non-price factors (e.g., technical approach, past performance, management capability) and may award to other than the lowest-priced offeror if the additional value justifies the price premium. This is synonymous with "best-value tradeoff" in the FAR.</w:t>
      </w:r>
    </w:p>
    <w:p>
      <w:pPr>
        <w:pStyle w:val="ListBullet"/>
      </w:pPr>
      <w:r>
        <w:rPr>
          <w:b/>
        </w:rPr>
        <w:t>O</w:t>
      </w:r>
      <w:r>
        <w:t xml:space="preserve"> (Other): A residual category for evaluation approaches that do not fit cleanly into LPTA or tradeoff, or for awards where the source selection process is not reported.</w:t>
      </w:r>
    </w:p>
    <w:p>
      <w:pPr>
        <w:ind w:firstLine="720"/>
      </w:pPr>
      <w:r>
        <w:t>The availability of this field makes the present study possible. Prior to 2020, researchers seeking to distinguish LPTA from tradeoff awards had to rely on manual coding of solicitation documents, text analysis of contract descriptions, or agency-specific datasets — approaches that limited sample size and introduced measurement error. The FPDS field provides a standardized, government-wide classification that can be merged with the full suite of contract variables.</w:t>
      </w:r>
    </w:p>
    <w:p>
      <w:pPr>
        <w:pStyle w:val="Heading4"/>
      </w:pPr>
      <w:r>
        <w:rPr>
          <w:rFonts w:ascii="Times New Roman" w:hAnsi="Times New Roman"/>
          <w:color w:val="000000"/>
        </w:rPr>
        <w:t>Variables Available</w:t>
      </w:r>
    </w:p>
    <w:p>
      <w:pPr>
        <w:ind w:firstLine="720"/>
      </w:pPr>
      <w:r>
        <w:t>The FPDS extracts accessible through USAspending.gov contain hundreds of data elements. The variables relevant to this study are listed below, grouped by their role in the analysis. A formal operationalization table appears in Section 3.4.</w:t>
      </w:r>
    </w:p>
    <w:p>
      <w:pPr>
        <w:ind w:firstLine="720"/>
      </w:pPr>
      <w:r>
        <w:rPr>
          <w:b/>
        </w:rPr>
        <w:t>Award Identification and Structure:</w:t>
      </w:r>
    </w:p>
    <w:p>
      <w:pPr>
        <w:pStyle w:val="ListBullet"/>
      </w:pPr>
      <w:r>
        <w:rPr>
          <w:rFonts w:ascii="Courier New" w:hAnsi="Courier New"/>
          <w:sz w:val="20"/>
        </w:rPr>
        <w:t>award_id_piid</w:t>
      </w:r>
      <w:r>
        <w:t>: Procurement Instrument Identifier, the unique contract number</w:t>
      </w:r>
    </w:p>
    <w:p>
      <w:pPr>
        <w:pStyle w:val="ListBullet"/>
      </w:pPr>
      <w:r>
        <w:rPr>
          <w:rFonts w:ascii="Courier New" w:hAnsi="Courier New"/>
          <w:sz w:val="20"/>
        </w:rPr>
        <w:t>award_id_parent_award_piid</w:t>
      </w:r>
      <w:r>
        <w:t>: Parent award identifier for task and delivery orders</w:t>
      </w:r>
    </w:p>
    <w:p>
      <w:pPr>
        <w:pStyle w:val="ListBullet"/>
      </w:pPr>
      <w:r>
        <w:rPr>
          <w:rFonts w:ascii="Courier New" w:hAnsi="Courier New"/>
          <w:sz w:val="20"/>
        </w:rPr>
        <w:t>modification_number</w:t>
      </w:r>
      <w:r>
        <w:t>: Sequential identifier for contract modifications</w:t>
      </w:r>
    </w:p>
    <w:p>
      <w:pPr>
        <w:pStyle w:val="ListBullet"/>
      </w:pPr>
      <w:r>
        <w:rPr>
          <w:rFonts w:ascii="Courier New" w:hAnsi="Courier New"/>
          <w:sz w:val="20"/>
        </w:rPr>
        <w:t>action_date</w:t>
      </w:r>
      <w:r>
        <w:t>: Date of the contract action (award or modification)</w:t>
      </w:r>
    </w:p>
    <w:p>
      <w:pPr>
        <w:pStyle w:val="ListBullet"/>
      </w:pPr>
      <w:r>
        <w:rPr>
          <w:rFonts w:ascii="Courier New" w:hAnsi="Courier New"/>
          <w:sz w:val="20"/>
        </w:rPr>
        <w:t>period_of_performance_start_date</w:t>
      </w:r>
      <w:r>
        <w:t xml:space="preserve"> and </w:t>
      </w:r>
      <w:r>
        <w:rPr>
          <w:rFonts w:ascii="Courier New" w:hAnsi="Courier New"/>
          <w:sz w:val="20"/>
        </w:rPr>
        <w:t>period_of_performance_current_end_date</w:t>
      </w:r>
    </w:p>
    <w:p>
      <w:pPr>
        <w:pStyle w:val="ListBullet"/>
      </w:pPr>
      <w:r>
        <w:rPr>
          <w:rFonts w:ascii="Courier New" w:hAnsi="Courier New"/>
          <w:sz w:val="20"/>
        </w:rPr>
        <w:t>type_of_contract_pricing</w:t>
      </w:r>
      <w:r>
        <w:t>: Pricing arrangement (firm fixed price, cost-plus-fixed-fee, time and materials, etc.)</w:t>
      </w:r>
    </w:p>
    <w:p>
      <w:pPr>
        <w:pStyle w:val="ListBullet"/>
      </w:pPr>
      <w:r>
        <w:rPr>
          <w:rFonts w:ascii="Courier New" w:hAnsi="Courier New"/>
          <w:sz w:val="20"/>
        </w:rPr>
        <w:t>idv_type</w:t>
      </w:r>
      <w:r>
        <w:t>: Indefinite delivery vehicle type, if applicable</w:t>
      </w:r>
    </w:p>
    <w:p>
      <w:pPr>
        <w:ind w:firstLine="720"/>
      </w:pPr>
      <w:r>
        <w:rPr>
          <w:b/>
        </w:rPr>
        <w:t>Competition and Source Selection:</w:t>
      </w:r>
    </w:p>
    <w:p>
      <w:pPr>
        <w:pStyle w:val="ListBullet"/>
      </w:pPr>
      <w:r>
        <w:rPr>
          <w:rFonts w:ascii="Courier New" w:hAnsi="Courier New"/>
          <w:sz w:val="20"/>
        </w:rPr>
        <w:t>source_selection_process</w:t>
      </w:r>
      <w:r>
        <w:t>: LPTA, TO, or O (the key independent variable)</w:t>
      </w:r>
    </w:p>
    <w:p>
      <w:pPr>
        <w:pStyle w:val="ListBullet"/>
      </w:pPr>
      <w:r>
        <w:rPr>
          <w:rFonts w:ascii="Courier New" w:hAnsi="Courier New"/>
          <w:sz w:val="20"/>
        </w:rPr>
        <w:t>extent_competed</w:t>
      </w:r>
      <w:r>
        <w:t>: Competition status (full and open, full and open after exclusion of sources, not competed, etc.)</w:t>
      </w:r>
    </w:p>
    <w:p>
      <w:pPr>
        <w:pStyle w:val="ListBullet"/>
      </w:pPr>
      <w:r>
        <w:rPr>
          <w:rFonts w:ascii="Courier New" w:hAnsi="Courier New"/>
          <w:sz w:val="20"/>
        </w:rPr>
        <w:t>number_of_offers_received</w:t>
      </w:r>
      <w:r>
        <w:t>: Count of proposals submitted by offerors</w:t>
      </w:r>
    </w:p>
    <w:p>
      <w:pPr>
        <w:pStyle w:val="ListBullet"/>
      </w:pPr>
      <w:r>
        <w:rPr>
          <w:rFonts w:ascii="Courier New" w:hAnsi="Courier New"/>
          <w:sz w:val="20"/>
        </w:rPr>
        <w:t>type_of_set_aside</w:t>
      </w:r>
      <w:r>
        <w:t>: Small business set-aside category, if applicable</w:t>
      </w:r>
    </w:p>
    <w:p>
      <w:pPr>
        <w:ind w:firstLine="720"/>
      </w:pPr>
      <w:r>
        <w:rPr>
          <w:b/>
        </w:rPr>
        <w:t>Financial Data:</w:t>
      </w:r>
    </w:p>
    <w:p>
      <w:pPr>
        <w:pStyle w:val="ListBullet"/>
      </w:pPr>
      <w:r>
        <w:rPr>
          <w:rFonts w:ascii="Courier New" w:hAnsi="Courier New"/>
          <w:sz w:val="20"/>
        </w:rPr>
        <w:t>federal_action_obligation</w:t>
      </w:r>
      <w:r>
        <w:t>: Dollar amount obligated for each transaction</w:t>
      </w:r>
    </w:p>
    <w:p>
      <w:pPr>
        <w:pStyle w:val="ListBullet"/>
      </w:pPr>
      <w:r>
        <w:rPr>
          <w:rFonts w:ascii="Courier New" w:hAnsi="Courier New"/>
          <w:sz w:val="20"/>
        </w:rPr>
        <w:t>total_dollars_obligated</w:t>
      </w:r>
      <w:r>
        <w:t>: Cumulative obligations on the contract</w:t>
      </w:r>
    </w:p>
    <w:p>
      <w:pPr>
        <w:pStyle w:val="ListBullet"/>
      </w:pPr>
      <w:r>
        <w:rPr>
          <w:rFonts w:ascii="Courier New" w:hAnsi="Courier New"/>
          <w:sz w:val="20"/>
        </w:rPr>
        <w:t>base_and_all_options_value</w:t>
      </w:r>
      <w:r>
        <w:t>: Total potential value including all options</w:t>
      </w:r>
    </w:p>
    <w:p>
      <w:pPr>
        <w:pStyle w:val="ListBullet"/>
      </w:pPr>
      <w:r>
        <w:rPr>
          <w:rFonts w:ascii="Courier New" w:hAnsi="Courier New"/>
          <w:sz w:val="20"/>
        </w:rPr>
        <w:t>base_exercised_options_value</w:t>
      </w:r>
      <w:r>
        <w:t>: Value of the base contract and exercised options</w:t>
      </w:r>
    </w:p>
    <w:p>
      <w:pPr>
        <w:ind w:firstLine="720"/>
      </w:pPr>
      <w:r>
        <w:rPr>
          <w:b/>
        </w:rPr>
        <w:t>Classification:</w:t>
      </w:r>
    </w:p>
    <w:p>
      <w:pPr>
        <w:pStyle w:val="ListBullet"/>
      </w:pPr>
      <w:r>
        <w:rPr>
          <w:rFonts w:ascii="Courier New" w:hAnsi="Courier New"/>
          <w:sz w:val="20"/>
        </w:rPr>
        <w:t>naics_code</w:t>
      </w:r>
      <w:r>
        <w:t>: North American Industry Classification System code (6-digit)</w:t>
      </w:r>
    </w:p>
    <w:p>
      <w:pPr>
        <w:pStyle w:val="ListBullet"/>
      </w:pPr>
      <w:r>
        <w:rPr>
          <w:rFonts w:ascii="Courier New" w:hAnsi="Courier New"/>
          <w:sz w:val="20"/>
        </w:rPr>
        <w:t>product_or_service_code</w:t>
      </w:r>
      <w:r>
        <w:t>: PSC code identifying the type of product or service</w:t>
      </w:r>
    </w:p>
    <w:p>
      <w:pPr>
        <w:pStyle w:val="ListBullet"/>
      </w:pPr>
      <w:r>
        <w:rPr>
          <w:rFonts w:ascii="Courier New" w:hAnsi="Courier New"/>
          <w:sz w:val="20"/>
        </w:rPr>
        <w:t>awarding_agency_name</w:t>
      </w:r>
      <w:r>
        <w:t xml:space="preserve"> and </w:t>
      </w:r>
      <w:r>
        <w:rPr>
          <w:rFonts w:ascii="Courier New" w:hAnsi="Courier New"/>
          <w:sz w:val="20"/>
        </w:rPr>
        <w:t>awarding_agency_code</w:t>
      </w:r>
    </w:p>
    <w:p>
      <w:pPr>
        <w:pStyle w:val="ListBullet"/>
      </w:pPr>
      <w:r>
        <w:rPr>
          <w:rFonts w:ascii="Courier New" w:hAnsi="Courier New"/>
          <w:sz w:val="20"/>
        </w:rPr>
        <w:t>awarding_sub_agency_name</w:t>
      </w:r>
      <w:r>
        <w:t xml:space="preserve"> and </w:t>
      </w:r>
      <w:r>
        <w:rPr>
          <w:rFonts w:ascii="Courier New" w:hAnsi="Courier New"/>
          <w:sz w:val="20"/>
        </w:rPr>
        <w:t>awarding_sub_agency_code</w:t>
      </w:r>
    </w:p>
    <w:p>
      <w:pPr>
        <w:ind w:firstLine="720"/>
      </w:pPr>
      <w:r>
        <w:rPr>
          <w:b/>
        </w:rPr>
        <w:t>Contractor Information:</w:t>
      </w:r>
    </w:p>
    <w:p>
      <w:pPr>
        <w:pStyle w:val="ListBullet"/>
      </w:pPr>
      <w:r>
        <w:rPr>
          <w:rFonts w:ascii="Courier New" w:hAnsi="Courier New"/>
          <w:sz w:val="20"/>
        </w:rPr>
        <w:t>recipient_name</w:t>
      </w:r>
      <w:r>
        <w:t>: Legal name of the awardee</w:t>
      </w:r>
    </w:p>
    <w:p>
      <w:pPr>
        <w:pStyle w:val="ListBullet"/>
      </w:pPr>
      <w:r>
        <w:rPr>
          <w:rFonts w:ascii="Courier New" w:hAnsi="Courier New"/>
          <w:sz w:val="20"/>
        </w:rPr>
        <w:t>recipient_uei</w:t>
      </w:r>
      <w:r>
        <w:t>: Unique Entity Identifier</w:t>
      </w:r>
    </w:p>
    <w:p>
      <w:pPr>
        <w:pStyle w:val="ListBullet"/>
      </w:pPr>
      <w:r>
        <w:rPr>
          <w:rFonts w:ascii="Courier New" w:hAnsi="Courier New"/>
          <w:sz w:val="20"/>
        </w:rPr>
        <w:t>business_types</w:t>
      </w:r>
      <w:r>
        <w:t>: Small business, woman-owned, veteran-owned, etc.</w:t>
      </w:r>
    </w:p>
    <w:p>
      <w:pPr>
        <w:ind w:firstLine="720"/>
      </w:pPr>
      <w:r>
        <w:t>These variables are extracted at the transaction (action) level and aggregated to the award level as described in Section 3.3.</w:t>
      </w:r>
    </w:p>
    <w:p>
      <w:pPr>
        <w:pStyle w:val="Heading3"/>
      </w:pPr>
      <w:r>
        <w:rPr>
          <w:rFonts w:ascii="Times New Roman" w:hAnsi="Times New Roman"/>
          <w:color w:val="000000"/>
        </w:rPr>
        <w:t>3.2.2 GAO Bid Protest Statistics</w:t>
      </w:r>
    </w:p>
    <w:p>
      <w:pPr>
        <w:ind w:firstLine="720"/>
      </w:pPr>
      <w:r>
        <w:t>The U.S. Government Accountability Office publishes an annual report on bid protests filed under the Competition in Contracting Act (CICA). These reports provide aggregate statistics on the number of protests filed, the number of cases decided on the merits, sustain rates (the proportion of decided cases where GAO sustained the protest), and effectiveness rates (the proportion of cases where the protester obtained some form of relief, including voluntary corrective action by the agency). The reports cover each fiscal year and provide breakdowns by agency and protest outcome.</w:t>
      </w:r>
    </w:p>
    <w:p>
      <w:pPr>
        <w:ind w:firstLine="720"/>
      </w:pPr>
      <w:r>
        <w:t>GAO protest data serve a contextual rather than primary-analytic function in this study. The reports document the overall protest environment — whether protest activity is increasing or decreasing, which agencies face the most protests, and whether the mix of protest grounds is shifting — but they do not link individual protests to specific contract numbers or source selection methods. The inability to match protests to individual awards at the contract level means that protest-related hypotheses can be examined only at the aggregate level (e.g., whether years or agencies with higher tradeoff usage exhibit different protest rates). This limitation is discussed further in Section 3.10.</w:t>
      </w:r>
    </w:p>
    <w:p>
      <w:pPr>
        <w:ind w:firstLine="720"/>
      </w:pPr>
      <w:r>
        <w:t>The GAO report data are collected manually from the annual publications posted on GAO's website (gao.gov). Because the data are aggregate and published in tabular form, extraction involves straightforward transcription into a structured dataset. Each fiscal year's report provides approximately one page of relevant summary statistics.</w:t>
      </w:r>
    </w:p>
    <w:p>
      <w:pPr>
        <w:pStyle w:val="Heading3"/>
      </w:pPr>
      <w:r>
        <w:rPr>
          <w:rFonts w:ascii="Times New Roman" w:hAnsi="Times New Roman"/>
          <w:color w:val="000000"/>
        </w:rPr>
        <w:t>3.2.3 CPARS (Noted Limitation)</w:t>
      </w:r>
    </w:p>
    <w:p>
      <w:pPr>
        <w:ind w:firstLine="720"/>
      </w:pPr>
      <w:r>
        <w:t>The Contractor Performance Assessment Reporting System (CPARS) is the federal government's primary repository for post-award evaluations of contractor performance. Contracting officers and their designated representatives use CPARS to rate contractors on dimensions including quality, schedule, cost control, management, and small business subcontracting. Ratings follow a standardized scale: Exceptional, Very Good, Satisfactory, Marginal, and Unsatisfactory. These evaluations are stored in the Past Performance Information Retrieval System (PPIRS) and are used by agencies in evaluating past performance during source selection for future awards.</w:t>
      </w:r>
    </w:p>
    <w:p>
      <w:pPr>
        <w:ind w:firstLine="720"/>
      </w:pPr>
      <w:r>
        <w:t>CPARS data would be the ideal dependent variable for testing whether tradeoff source selection produces higher-quality contractor performance. However, CPARS records are not publicly available. Access is restricted to federal government personnel with a need to know, and the data are explicitly excluded from FOIA disclosure under exemptions for pre-decisional and procurement-sensitive information. No mechanism exists for academic researchers to obtain CPARS data without an interagency agreement or direct collaboration with a government agency.</w:t>
      </w:r>
    </w:p>
    <w:p>
      <w:pPr>
        <w:ind w:firstLine="720"/>
      </w:pPr>
      <w:r>
        <w:t>The unavailability of CPARS data represents the most significant measurement limitation of this study. In the absence of direct performance ratings, the analysis relies on indirect proxies: cost growth (the degree to which the final contract value exceeds the initial value) and modification intensity (the frequency of contract changes, which may reflect scope instability, performance deficiencies, or changed requirements). These proxies capture important dimensions of contract performance but do not substitute for the nuanced, multidimensional assessments contained in CPARS. This limitation is acknowledged throughout the analysis and identified as a primary motivation for future research partnerships with government agencies that could provide access to CPARS data under appropriate data-sharing agreements.</w:t>
      </w:r>
    </w:p>
    <w:p>
      <w:pPr>
        <w:pStyle w:val="Heading2"/>
      </w:pPr>
      <w:r>
        <w:rPr>
          <w:rFonts w:ascii="Times New Roman" w:hAnsi="Times New Roman"/>
          <w:color w:val="000000"/>
        </w:rPr>
        <w:t>3.3 Sampling Frame and Inclusion Criteria</w:t>
      </w:r>
    </w:p>
    <w:p>
      <w:pPr>
        <w:pStyle w:val="Heading3"/>
      </w:pPr>
      <w:r>
        <w:rPr>
          <w:rFonts w:ascii="Times New Roman" w:hAnsi="Times New Roman"/>
          <w:color w:val="000000"/>
        </w:rPr>
        <w:t>3.3.1 Population</w:t>
      </w:r>
    </w:p>
    <w:p>
      <w:pPr>
        <w:ind w:firstLine="720"/>
      </w:pPr>
      <w:r>
        <w:t xml:space="preserve">The target population for this study is the universe of U.S. federal contract actions recorded in FPDS for fiscal years 2020 through 2025 (October 1, 2019, through September 30, 2025). This six-year window corresponds to the period during which the </w:t>
      </w:r>
      <w:r>
        <w:rPr>
          <w:rFonts w:ascii="Courier New" w:hAnsi="Courier New"/>
          <w:sz w:val="20"/>
        </w:rPr>
        <w:t>source_selection_process</w:t>
      </w:r>
      <w:r>
        <w:t xml:space="preserve"> field has been required in FPDS reporting, ensuring that the key independent variable is available for all observations. The population encompasses all executive branch agencies that report to FPDS, including the Department of Defense (DoD), civilian agencies, and independent establishments.</w:t>
      </w:r>
    </w:p>
    <w:p>
      <w:pPr>
        <w:pStyle w:val="Heading3"/>
      </w:pPr>
      <w:r>
        <w:rPr>
          <w:rFonts w:ascii="Times New Roman" w:hAnsi="Times New Roman"/>
          <w:color w:val="000000"/>
        </w:rPr>
        <w:t>3.3.2 Inclusion Criteria</w:t>
      </w:r>
    </w:p>
    <w:p>
      <w:pPr>
        <w:ind w:firstLine="720"/>
      </w:pPr>
      <w:r>
        <w:t>From this population, the analytic sample is constructed by applying the following inclusion criteria:</w:t>
      </w:r>
    </w:p>
    <w:p>
      <w:pPr>
        <w:pStyle w:val="ListNumber"/>
      </w:pPr>
      <w:r>
        <w:rPr>
          <w:b/>
        </w:rPr>
        <w:t>Above the Simplified Acquisition Threshold (SAT).</w:t>
      </w:r>
      <w:r>
        <w:t xml:space="preserve"> Only contract awards with a total base-and-all-options value exceeding $250,000 are included. The SAT — set at $250,000 by the 2018 National Defense Authorization Act — defines the threshold above which full competition, source selection, and documentation requirements apply. Below the SAT, agencies may use simplified acquisition procedures that do not involve formal source selection evaluation; the distinction between LPTA and tradeoff is therefore less meaningful for smaller awards. Restricting the sample to above-SAT awards ensures that the source selection process field captures a deliberate evaluation decision rather than a procedural default.</w:t>
      </w:r>
    </w:p>
    <w:p>
      <w:pPr>
        <w:pStyle w:val="ListNumber"/>
      </w:pPr>
      <w:r>
        <w:rPr>
          <w:b/>
        </w:rPr>
        <w:t>Competitive procurements.</w:t>
      </w:r>
      <w:r>
        <w:t xml:space="preserve"> Only awards where </w:t>
      </w:r>
      <w:r>
        <w:rPr>
          <w:rFonts w:ascii="Courier New" w:hAnsi="Courier New"/>
          <w:sz w:val="20"/>
        </w:rPr>
        <w:t>extent_competed</w:t>
      </w:r>
      <w:r>
        <w:t xml:space="preserve"> equals "Full and Open Competition" or "Full and Open after Exclusion of Sources" are included. This criterion excludes sole-source awards, awards resulting from unsolicited proposals, and other noncompetitive actions. The rationale is that source selection method is a concept that applies only when multiple offerors compete; in a sole-source environment, there is no "selection" among alternatives.</w:t>
      </w:r>
    </w:p>
    <w:p>
      <w:pPr>
        <w:pStyle w:val="ListNumber"/>
      </w:pPr>
      <w:r>
        <w:rPr>
          <w:b/>
        </w:rPr>
        <w:t>Service and IT NAICS codes.</w:t>
      </w:r>
      <w:r>
        <w:t xml:space="preserve"> The sample is restricted to awards classified under NAICS codes in the following sectors:</w:t>
      </w:r>
    </w:p>
    <w:p>
      <w:pPr>
        <w:pStyle w:val="ListBullet"/>
      </w:pPr>
      <w:r>
        <w:rPr>
          <w:b/>
        </w:rPr>
        <w:t>541xxx</w:t>
      </w:r>
      <w:r>
        <w:t xml:space="preserve"> — Professional, Scientific, and Technical Services (management consulting, computer systems design, research and development, engineering services, accounting, legal services, and related categories)</w:t>
      </w:r>
    </w:p>
    <w:p>
      <w:pPr>
        <w:pStyle w:val="ListBullet"/>
      </w:pPr>
      <w:r>
        <w:rPr>
          <w:b/>
        </w:rPr>
        <w:t>518xxx</w:t>
      </w:r>
      <w:r>
        <w:t xml:space="preserve"> — Data Processing, Hosting, and Related Services (cloud computing, data center operations, web hosting)</w:t>
      </w:r>
    </w:p>
    <w:p>
      <w:pPr>
        <w:pStyle w:val="ListBullet"/>
      </w:pPr>
      <w:r>
        <w:rPr>
          <w:b/>
        </w:rPr>
        <w:t>511xxx</w:t>
      </w:r>
      <w:r>
        <w:t xml:space="preserve"> — Software Publishers (software development, software licensing)</w:t>
      </w:r>
    </w:p>
    <w:p>
      <w:pPr>
        <w:pStyle w:val="ListBullet"/>
      </w:pPr>
      <w:r>
        <w:rPr>
          <w:b/>
        </w:rPr>
        <w:t>561xxx</w:t>
      </w:r>
      <w:r>
        <w:t xml:space="preserve"> — Administrative and Support Services (facilities support, document preparation, call centers, staffing services)</w:t>
      </w:r>
    </w:p>
    <w:p>
      <w:pPr>
        <w:ind w:firstLine="720"/>
      </w:pPr>
      <w:r>
        <w:t>These sectors were selected because they represent the contract categories where the LPTA-versus-tradeoff decision is most policy-relevant and most contested. Service contracts involve substantial human capital, intellectual contribution, and management complexity, making the choice between evaluating on price alone (LPTA) versus evaluating on price and quality (tradeoff) consequential. Commodity supply contracts — where product specifications are standardized and differentiation among offerors is minimal — present a different procurement context in which LPTA may be the normatively appropriate choice. By focusing on professional services and IT, the study examines the domain where the theoretical arguments for tradeoff source selection are strongest and where policy debates have been most active.</w:t>
      </w:r>
    </w:p>
    <w:p>
      <w:pPr>
        <w:pStyle w:val="ListNumber"/>
      </w:pPr>
      <w:r>
        <w:rPr>
          <w:b/>
        </w:rPr>
        <w:t>Source selection process = LPTA or TO (Tradeoff).</w:t>
      </w:r>
      <w:r>
        <w:t xml:space="preserve"> Only awards with a valid </w:t>
      </w:r>
      <w:r>
        <w:rPr>
          <w:rFonts w:ascii="Courier New" w:hAnsi="Courier New"/>
          <w:sz w:val="20"/>
        </w:rPr>
        <w:t>source_selection_process</w:t>
      </w:r>
      <w:r>
        <w:t xml:space="preserve"> code of LPTA or TO are included in the primary analysis. Awards coded as "O" (Other) or with a missing/null source selection process field are excluded from the main sample. The "Other" category is heterogeneous, potentially encompassing lowest-price methods that do not meet the technical definition of LPTA, subjective tradeoff methods that agencies chose not to classify, and data entry errors. Including this category would introduce measurement noise. Awards with missing values may reflect non-reporting by specific agencies or data quality gaps. Both categories are examined in robustness checks (Section 3.8) but are excluded from the primary specification.</w:t>
      </w:r>
    </w:p>
    <w:p>
      <w:pPr>
        <w:pStyle w:val="Heading3"/>
      </w:pPr>
      <w:r>
        <w:rPr>
          <w:rFonts w:ascii="Times New Roman" w:hAnsi="Times New Roman"/>
          <w:color w:val="000000"/>
        </w:rPr>
        <w:t>3.3.3 Exclusion Criteria</w:t>
      </w:r>
    </w:p>
    <w:p>
      <w:pPr>
        <w:ind w:firstLine="720"/>
      </w:pPr>
      <w:r>
        <w:t>The following categories of awards are excluded from the analytic sample:</w:t>
      </w:r>
    </w:p>
    <w:p>
      <w:pPr>
        <w:pStyle w:val="ListBullet"/>
      </w:pPr>
      <w:r>
        <w:rPr>
          <w:b/>
        </w:rPr>
        <w:t>Commodity supply purchases.</w:t>
      </w:r>
      <w:r>
        <w:t xml:space="preserve"> Awards under NAICS codes outside the four sectors specified above are excluded, as discussed in inclusion criterion 3.</w:t>
      </w:r>
    </w:p>
    <w:p>
      <w:pPr>
        <w:pStyle w:val="ListBullet"/>
      </w:pPr>
      <w:r>
        <w:rPr>
          <w:b/>
        </w:rPr>
        <w:t>Sole-source awards.</w:t>
      </w:r>
      <w:r>
        <w:t xml:space="preserve"> Awards where </w:t>
      </w:r>
      <w:r>
        <w:rPr>
          <w:rFonts w:ascii="Courier New" w:hAnsi="Courier New"/>
          <w:sz w:val="20"/>
        </w:rPr>
        <w:t>extent_competed</w:t>
      </w:r>
      <w:r>
        <w:t xml:space="preserve"> indicates no competition are excluded, as discussed in inclusion criterion 2.</w:t>
      </w:r>
    </w:p>
    <w:p>
      <w:pPr>
        <w:pStyle w:val="ListBullet"/>
      </w:pPr>
      <w:r>
        <w:rPr>
          <w:b/>
        </w:rPr>
        <w:t>Below-SAT awards.</w:t>
      </w:r>
      <w:r>
        <w:t xml:space="preserve"> Awards with total value below $250,000 are excluded, as discussed in inclusion criterion 1.</w:t>
      </w:r>
    </w:p>
    <w:p>
      <w:pPr>
        <w:pStyle w:val="ListBullet"/>
      </w:pPr>
      <w:r>
        <w:rPr>
          <w:b/>
        </w:rPr>
        <w:t>"Other" and missing source selection.</w:t>
      </w:r>
      <w:r>
        <w:t xml:space="preserve"> Awards with </w:t>
      </w:r>
      <w:r>
        <w:rPr>
          <w:rFonts w:ascii="Courier New" w:hAnsi="Courier New"/>
          <w:sz w:val="20"/>
        </w:rPr>
        <w:t>source_selection_process</w:t>
      </w:r>
      <w:r>
        <w:t xml:space="preserve"> = "O" or null are excluded from the primary analysis, as discussed in inclusion criterion 4.</w:t>
      </w:r>
    </w:p>
    <w:p>
      <w:pPr>
        <w:pStyle w:val="Heading3"/>
      </w:pPr>
      <w:r>
        <w:rPr>
          <w:rFonts w:ascii="Times New Roman" w:hAnsi="Times New Roman"/>
          <w:color w:val="000000"/>
        </w:rPr>
        <w:t>3.3.4 Unit of Analysis</w:t>
      </w:r>
    </w:p>
    <w:p>
      <w:pPr>
        <w:ind w:firstLine="720"/>
      </w:pPr>
      <w:r>
        <w:t xml:space="preserve">The unit of analysis is the </w:t>
      </w:r>
      <w:r>
        <w:rPr>
          <w:b/>
        </w:rPr>
        <w:t>individual contract award</w:t>
      </w:r>
      <w:r>
        <w:t xml:space="preserve">, aggregated from transaction-level records. FPDS data are recorded at the transaction level: each contract action — initial award, funding modification, administrative modification, option exercise, cost adjustment — generates a separate record. A single contract may have dozens or hundreds of associated transactions over its lifecycle. For the purposes of this study, transactions sharing the same </w:t>
      </w:r>
      <w:r>
        <w:rPr>
          <w:rFonts w:ascii="Courier New" w:hAnsi="Courier New"/>
          <w:sz w:val="20"/>
        </w:rPr>
        <w:t>award_id_piid</w:t>
      </w:r>
      <w:r>
        <w:t xml:space="preserve"> (and, for task orders, the same </w:t>
      </w:r>
      <w:r>
        <w:rPr>
          <w:rFonts w:ascii="Courier New" w:hAnsi="Courier New"/>
          <w:sz w:val="20"/>
        </w:rPr>
        <w:t>award_id_piid</w:t>
      </w:r>
      <w:r>
        <w:t xml:space="preserve"> and </w:t>
      </w:r>
      <w:r>
        <w:rPr>
          <w:rFonts w:ascii="Courier New" w:hAnsi="Courier New"/>
          <w:sz w:val="20"/>
        </w:rPr>
        <w:t>award_id_parent_award_piid</w:t>
      </w:r>
      <w:r>
        <w:t xml:space="preserve"> combination) are aggregated to a single observation representing the contract award.</w:t>
      </w:r>
    </w:p>
    <w:p>
      <w:pPr>
        <w:ind w:firstLine="720"/>
      </w:pPr>
      <w:r>
        <w:t>Aggregation follows these rules:</w:t>
      </w:r>
    </w:p>
    <w:p>
      <w:pPr>
        <w:pStyle w:val="ListBullet"/>
      </w:pPr>
      <w:r>
        <w:rPr>
          <w:b/>
        </w:rPr>
        <w:t>Source selection process</w:t>
      </w:r>
      <w:r>
        <w:t xml:space="preserve"> is taken from the initial award action (the record with the earliest </w:t>
      </w:r>
      <w:r>
        <w:rPr>
          <w:rFonts w:ascii="Courier New" w:hAnsi="Courier New"/>
          <w:sz w:val="20"/>
        </w:rPr>
        <w:t>action_date</w:t>
      </w:r>
      <w:r>
        <w:t xml:space="preserve"> and </w:t>
      </w:r>
      <w:r>
        <w:rPr>
          <w:rFonts w:ascii="Courier New" w:hAnsi="Courier New"/>
          <w:sz w:val="20"/>
        </w:rPr>
        <w:t>modification_number</w:t>
      </w:r>
      <w:r>
        <w:t xml:space="preserve"> = 0 or the lowest modification number).</w:t>
      </w:r>
    </w:p>
    <w:p>
      <w:pPr>
        <w:pStyle w:val="ListBullet"/>
      </w:pPr>
      <w:r>
        <w:rPr>
          <w:b/>
        </w:rPr>
        <w:t>Financial variables</w:t>
      </w:r>
      <w:r>
        <w:t xml:space="preserve"> are computed as of the most recent transaction: </w:t>
      </w:r>
      <w:r>
        <w:rPr>
          <w:rFonts w:ascii="Courier New" w:hAnsi="Courier New"/>
          <w:sz w:val="20"/>
        </w:rPr>
        <w:t>total_dollars_obligated</w:t>
      </w:r>
      <w:r>
        <w:t xml:space="preserve"> and </w:t>
      </w:r>
      <w:r>
        <w:rPr>
          <w:rFonts w:ascii="Courier New" w:hAnsi="Courier New"/>
          <w:sz w:val="20"/>
        </w:rPr>
        <w:t>base_and_all_options_value</w:t>
      </w:r>
      <w:r>
        <w:t xml:space="preserve"> reflect the cumulative contract value after all recorded modifications.</w:t>
      </w:r>
    </w:p>
    <w:p>
      <w:pPr>
        <w:pStyle w:val="ListBullet"/>
      </w:pPr>
      <w:r>
        <w:rPr>
          <w:b/>
        </w:rPr>
        <w:t>Base value</w:t>
      </w:r>
      <w:r>
        <w:t xml:space="preserve"> is taken from the initial award action to establish the denominator for cost growth calculations.</w:t>
      </w:r>
    </w:p>
    <w:p>
      <w:pPr>
        <w:pStyle w:val="ListBullet"/>
      </w:pPr>
      <w:r>
        <w:rPr>
          <w:b/>
        </w:rPr>
        <w:t>Number of offers received</w:t>
      </w:r>
      <w:r>
        <w:t xml:space="preserve"> is taken from the initial award action.</w:t>
      </w:r>
    </w:p>
    <w:p>
      <w:pPr>
        <w:pStyle w:val="ListBullet"/>
      </w:pPr>
      <w:r>
        <w:rPr>
          <w:b/>
        </w:rPr>
        <w:t>Modification count</w:t>
      </w:r>
      <w:r>
        <w:t xml:space="preserve"> is computed as the total number of distinct transactions (excluding the initial award) associated with the contract identifier.</w:t>
      </w:r>
    </w:p>
    <w:p>
      <w:pPr>
        <w:pStyle w:val="ListBullet"/>
      </w:pPr>
      <w:r>
        <w:rPr>
          <w:b/>
        </w:rPr>
        <w:t>Period of performance</w:t>
      </w:r>
      <w:r>
        <w:t xml:space="preserve"> is taken from the most recent transaction to capture any extensions.</w:t>
      </w:r>
    </w:p>
    <w:p>
      <w:pPr>
        <w:pStyle w:val="ListBullet"/>
      </w:pPr>
      <w:r>
        <w:rPr>
          <w:b/>
        </w:rPr>
        <w:t>Classification variables</w:t>
      </w:r>
      <w:r>
        <w:t xml:space="preserve"> (NAICS, PSC, agency) are taken from the initial award action, as these should not change across modifications.</w:t>
      </w:r>
    </w:p>
    <w:p>
      <w:pPr>
        <w:ind w:firstLine="720"/>
      </w:pPr>
      <w:r>
        <w:t>This aggregation approach is consistent with standard practice in the federal procurement research literature (e.g., Carril &amp; Duggan, 2020; Liebman &amp; Mahoney, 2017) and reflects the fact that the contract award — not the individual transaction — is the meaningful unit at which source selection decisions are made and outcomes accrue.</w:t>
      </w:r>
    </w:p>
    <w:p>
      <w:pPr>
        <w:pStyle w:val="Heading3"/>
      </w:pPr>
      <w:r>
        <w:rPr>
          <w:rFonts w:ascii="Times New Roman" w:hAnsi="Times New Roman"/>
          <w:color w:val="000000"/>
        </w:rPr>
        <w:t>3.3.5 Expected Sample Size</w:t>
      </w:r>
    </w:p>
    <w:p>
      <w:pPr>
        <w:ind w:firstLine="720"/>
      </w:pPr>
      <w:r>
        <w:t xml:space="preserve">Based on preliminary exploration of USAspending.gov data for FY2020–FY2024, the expected sample size after applying all inclusion criteria is approximately 80,000 to 150,000 contract awards. The wide range reflects uncertainty about the proportion of records with valid </w:t>
      </w:r>
      <w:r>
        <w:rPr>
          <w:rFonts w:ascii="Courier New" w:hAnsi="Courier New"/>
          <w:sz w:val="20"/>
        </w:rPr>
        <w:t>source_selection_process</w:t>
      </w:r>
      <w:r>
        <w:t xml:space="preserve"> coding, as reporting compliance has improved over time but remains imperfect. Even at the lower bound, this sample size provides substantial statistical power for detecting economically meaningful effect sizes across the primary models. A formal power analysis is presented in Section 3.6.4.</w:t>
      </w:r>
    </w:p>
    <w:p>
      <w:pPr>
        <w:pStyle w:val="Heading2"/>
      </w:pPr>
      <w:r>
        <w:rPr>
          <w:rFonts w:ascii="Times New Roman" w:hAnsi="Times New Roman"/>
          <w:color w:val="000000"/>
        </w:rPr>
        <w:t>3.4 Variable Operationalization</w:t>
      </w:r>
    </w:p>
    <w:p>
      <w:pPr>
        <w:ind w:firstLine="720"/>
      </w:pPr>
      <w:r>
        <w:t>This section provides detailed definitions of all variables used in the analysis. Table 3.1 presents a summary; the subsections that follow elaborate on measurement decisions, data transformations, and operationalization rationale.</w:t>
      </w:r>
    </w:p>
    <w:p>
      <w:pPr>
        <w:pStyle w:val="Heading3"/>
      </w:pPr>
      <w:r>
        <w:rPr>
          <w:rFonts w:ascii="Times New Roman" w:hAnsi="Times New Roman"/>
          <w:color w:val="000000"/>
        </w:rPr>
        <w:t>Table 3.1: Variable Definitions and Operationalization</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pPr>
              <w:spacing w:line="240" w:lineRule="auto"/>
            </w:pPr>
            <w:r>
              <w:rPr>
                <w:rFonts w:ascii="Times New Roman" w:hAnsi="Times New Roman"/>
                <w:b/>
                <w:sz w:val="20"/>
              </w:rPr>
              <w:t>Variable</w:t>
            </w:r>
          </w:p>
        </w:tc>
        <w:tc>
          <w:tcPr>
            <w:tcW w:type="dxa" w:w="1728"/>
          </w:tcPr>
          <w:p>
            <w:pPr>
              <w:spacing w:line="240" w:lineRule="auto"/>
            </w:pPr>
            <w:r>
              <w:rPr>
                <w:rFonts w:ascii="Times New Roman" w:hAnsi="Times New Roman"/>
                <w:b/>
                <w:sz w:val="20"/>
              </w:rPr>
              <w:t>Role</w:t>
            </w:r>
          </w:p>
        </w:tc>
        <w:tc>
          <w:tcPr>
            <w:tcW w:type="dxa" w:w="1728"/>
          </w:tcPr>
          <w:p>
            <w:pPr>
              <w:spacing w:line="240" w:lineRule="auto"/>
            </w:pPr>
            <w:r>
              <w:rPr>
                <w:rFonts w:ascii="Times New Roman" w:hAnsi="Times New Roman"/>
                <w:b/>
                <w:sz w:val="20"/>
              </w:rPr>
              <w:t>Measure</w:t>
            </w:r>
          </w:p>
        </w:tc>
        <w:tc>
          <w:tcPr>
            <w:tcW w:type="dxa" w:w="1728"/>
          </w:tcPr>
          <w:p>
            <w:pPr>
              <w:spacing w:line="240" w:lineRule="auto"/>
            </w:pPr>
            <w:r>
              <w:rPr>
                <w:rFonts w:ascii="Times New Roman" w:hAnsi="Times New Roman"/>
                <w:b/>
                <w:sz w:val="20"/>
              </w:rPr>
              <w:t>Type</w:t>
            </w:r>
          </w:p>
        </w:tc>
        <w:tc>
          <w:tcPr>
            <w:tcW w:type="dxa" w:w="1728"/>
          </w:tcPr>
          <w:p>
            <w:pPr>
              <w:spacing w:line="240" w:lineRule="auto"/>
            </w:pPr>
            <w:r>
              <w:rPr>
                <w:rFonts w:ascii="Times New Roman" w:hAnsi="Times New Roman"/>
                <w:b/>
                <w:sz w:val="20"/>
              </w:rPr>
              <w:t>Source Field(s)</w:t>
            </w:r>
          </w:p>
        </w:tc>
      </w:tr>
      <w:tr>
        <w:tc>
          <w:tcPr>
            <w:tcW w:type="dxa" w:w="1728"/>
          </w:tcPr>
          <w:p>
            <w:pPr>
              <w:spacing w:line="240" w:lineRule="auto"/>
            </w:pPr>
            <w:r>
              <w:rPr>
                <w:rFonts w:ascii="Times New Roman" w:hAnsi="Times New Roman"/>
                <w:sz w:val="20"/>
              </w:rPr>
              <w:t>Source Selection Method</w:t>
            </w:r>
          </w:p>
        </w:tc>
        <w:tc>
          <w:tcPr>
            <w:tcW w:type="dxa" w:w="1728"/>
          </w:tcPr>
          <w:p>
            <w:pPr>
              <w:spacing w:line="240" w:lineRule="auto"/>
            </w:pPr>
            <w:r>
              <w:rPr>
                <w:rFonts w:ascii="Times New Roman" w:hAnsi="Times New Roman"/>
                <w:sz w:val="20"/>
              </w:rPr>
              <w:t>Independent</w:t>
            </w:r>
          </w:p>
        </w:tc>
        <w:tc>
          <w:tcPr>
            <w:tcW w:type="dxa" w:w="1728"/>
          </w:tcPr>
          <w:p>
            <w:pPr>
              <w:spacing w:line="240" w:lineRule="auto"/>
            </w:pPr>
            <w:r>
              <w:rPr>
                <w:rFonts w:ascii="Times New Roman" w:hAnsi="Times New Roman"/>
                <w:sz w:val="20"/>
              </w:rPr>
              <w:t>1 = Best-Value Tradeoff (TO); 0 = LPTA</w:t>
            </w:r>
          </w:p>
        </w:tc>
        <w:tc>
          <w:tcPr>
            <w:tcW w:type="dxa" w:w="1728"/>
          </w:tcPr>
          <w:p>
            <w:pPr>
              <w:spacing w:line="240" w:lineRule="auto"/>
            </w:pPr>
            <w:r>
              <w:rPr>
                <w:rFonts w:ascii="Times New Roman" w:hAnsi="Times New Roman"/>
                <w:sz w:val="20"/>
              </w:rPr>
              <w:t>Binary</w:t>
            </w:r>
          </w:p>
        </w:tc>
        <w:tc>
          <w:tcPr>
            <w:tcW w:type="dxa" w:w="1728"/>
          </w:tcPr>
          <w:p>
            <w:pPr>
              <w:spacing w:line="240" w:lineRule="auto"/>
            </w:pPr>
            <w:r>
              <w:rPr>
                <w:rFonts w:ascii="Times New Roman" w:hAnsi="Times New Roman"/>
                <w:sz w:val="20"/>
              </w:rPr>
              <w:t>source_selection_process</w:t>
            </w:r>
          </w:p>
        </w:tc>
      </w:tr>
      <w:tr>
        <w:tc>
          <w:tcPr>
            <w:tcW w:type="dxa" w:w="1728"/>
          </w:tcPr>
          <w:p>
            <w:pPr>
              <w:spacing w:line="240" w:lineRule="auto"/>
            </w:pPr>
            <w:r>
              <w:rPr>
                <w:rFonts w:ascii="Times New Roman" w:hAnsi="Times New Roman"/>
                <w:sz w:val="20"/>
              </w:rPr>
              <w:t>Cost Growth</w:t>
            </w:r>
          </w:p>
        </w:tc>
        <w:tc>
          <w:tcPr>
            <w:tcW w:type="dxa" w:w="1728"/>
          </w:tcPr>
          <w:p>
            <w:pPr>
              <w:spacing w:line="240" w:lineRule="auto"/>
            </w:pPr>
            <w:r>
              <w:rPr>
                <w:rFonts w:ascii="Times New Roman" w:hAnsi="Times New Roman"/>
                <w:sz w:val="20"/>
              </w:rPr>
              <w:t>Dependent</w:t>
            </w:r>
          </w:p>
        </w:tc>
        <w:tc>
          <w:tcPr>
            <w:tcW w:type="dxa" w:w="1728"/>
          </w:tcPr>
          <w:p>
            <w:pPr>
              <w:spacing w:line="240" w:lineRule="auto"/>
            </w:pPr>
            <w:r>
              <w:rPr>
                <w:rFonts w:ascii="Times New Roman" w:hAnsi="Times New Roman"/>
                <w:sz w:val="20"/>
              </w:rPr>
              <w:t>(Current total value - Initial base value) / Initial base value</w:t>
            </w:r>
          </w:p>
        </w:tc>
        <w:tc>
          <w:tcPr>
            <w:tcW w:type="dxa" w:w="1728"/>
          </w:tcPr>
          <w:p>
            <w:pPr>
              <w:spacing w:line="240" w:lineRule="auto"/>
            </w:pPr>
            <w:r>
              <w:rPr>
                <w:rFonts w:ascii="Times New Roman" w:hAnsi="Times New Roman"/>
                <w:sz w:val="20"/>
              </w:rPr>
              <w:t>Continuous, winsorized</w:t>
            </w:r>
          </w:p>
        </w:tc>
        <w:tc>
          <w:tcPr>
            <w:tcW w:type="dxa" w:w="1728"/>
          </w:tcPr>
          <w:p>
            <w:pPr>
              <w:spacing w:line="240" w:lineRule="auto"/>
            </w:pPr>
            <w:r>
              <w:rPr>
                <w:rFonts w:ascii="Times New Roman" w:hAnsi="Times New Roman"/>
                <w:sz w:val="20"/>
              </w:rPr>
              <w:t>base_and_all_options_value, base_exercised_options_value</w:t>
            </w:r>
          </w:p>
        </w:tc>
      </w:tr>
      <w:tr>
        <w:tc>
          <w:tcPr>
            <w:tcW w:type="dxa" w:w="1728"/>
          </w:tcPr>
          <w:p>
            <w:pPr>
              <w:spacing w:line="240" w:lineRule="auto"/>
            </w:pPr>
            <w:r>
              <w:rPr>
                <w:rFonts w:ascii="Times New Roman" w:hAnsi="Times New Roman"/>
                <w:sz w:val="20"/>
              </w:rPr>
              <w:t>Modification Intensity</w:t>
            </w:r>
          </w:p>
        </w:tc>
        <w:tc>
          <w:tcPr>
            <w:tcW w:type="dxa" w:w="1728"/>
          </w:tcPr>
          <w:p>
            <w:pPr>
              <w:spacing w:line="240" w:lineRule="auto"/>
            </w:pPr>
            <w:r>
              <w:rPr>
                <w:rFonts w:ascii="Times New Roman" w:hAnsi="Times New Roman"/>
                <w:sz w:val="20"/>
              </w:rPr>
              <w:t>Dependent</w:t>
            </w:r>
          </w:p>
        </w:tc>
        <w:tc>
          <w:tcPr>
            <w:tcW w:type="dxa" w:w="1728"/>
          </w:tcPr>
          <w:p>
            <w:pPr>
              <w:spacing w:line="240" w:lineRule="auto"/>
            </w:pPr>
            <w:r>
              <w:rPr>
                <w:rFonts w:ascii="Times New Roman" w:hAnsi="Times New Roman"/>
                <w:sz w:val="20"/>
              </w:rPr>
              <w:t>Count of contract modifications per award</w:t>
            </w:r>
          </w:p>
        </w:tc>
        <w:tc>
          <w:tcPr>
            <w:tcW w:type="dxa" w:w="1728"/>
          </w:tcPr>
          <w:p>
            <w:pPr>
              <w:spacing w:line="240" w:lineRule="auto"/>
            </w:pPr>
            <w:r>
              <w:rPr>
                <w:rFonts w:ascii="Times New Roman" w:hAnsi="Times New Roman"/>
                <w:sz w:val="20"/>
              </w:rPr>
              <w:t>Count</w:t>
            </w:r>
          </w:p>
        </w:tc>
        <w:tc>
          <w:tcPr>
            <w:tcW w:type="dxa" w:w="1728"/>
          </w:tcPr>
          <w:p>
            <w:pPr>
              <w:spacing w:line="240" w:lineRule="auto"/>
            </w:pPr>
            <w:r>
              <w:rPr>
                <w:rFonts w:ascii="Times New Roman" w:hAnsi="Times New Roman"/>
                <w:sz w:val="20"/>
              </w:rPr>
              <w:t>modification_number (count of records)</w:t>
            </w:r>
          </w:p>
        </w:tc>
      </w:tr>
      <w:tr>
        <w:tc>
          <w:tcPr>
            <w:tcW w:type="dxa" w:w="1728"/>
          </w:tcPr>
          <w:p>
            <w:pPr>
              <w:spacing w:line="240" w:lineRule="auto"/>
            </w:pPr>
            <w:r>
              <w:rPr>
                <w:rFonts w:ascii="Times New Roman" w:hAnsi="Times New Roman"/>
                <w:sz w:val="20"/>
              </w:rPr>
              <w:t>Competition Intensity</w:t>
            </w:r>
          </w:p>
        </w:tc>
        <w:tc>
          <w:tcPr>
            <w:tcW w:type="dxa" w:w="1728"/>
          </w:tcPr>
          <w:p>
            <w:pPr>
              <w:spacing w:line="240" w:lineRule="auto"/>
            </w:pPr>
            <w:r>
              <w:rPr>
                <w:rFonts w:ascii="Times New Roman" w:hAnsi="Times New Roman"/>
                <w:sz w:val="20"/>
              </w:rPr>
              <w:t>Dependent</w:t>
            </w:r>
          </w:p>
        </w:tc>
        <w:tc>
          <w:tcPr>
            <w:tcW w:type="dxa" w:w="1728"/>
          </w:tcPr>
          <w:p>
            <w:pPr>
              <w:spacing w:line="240" w:lineRule="auto"/>
            </w:pPr>
            <w:r>
              <w:rPr>
                <w:rFonts w:ascii="Times New Roman" w:hAnsi="Times New Roman"/>
                <w:sz w:val="20"/>
              </w:rPr>
              <w:t>Number of offers received</w:t>
            </w:r>
          </w:p>
        </w:tc>
        <w:tc>
          <w:tcPr>
            <w:tcW w:type="dxa" w:w="1728"/>
          </w:tcPr>
          <w:p>
            <w:pPr>
              <w:spacing w:line="240" w:lineRule="auto"/>
            </w:pPr>
            <w:r>
              <w:rPr>
                <w:rFonts w:ascii="Times New Roman" w:hAnsi="Times New Roman"/>
                <w:sz w:val="20"/>
              </w:rPr>
              <w:t>Count</w:t>
            </w:r>
          </w:p>
        </w:tc>
        <w:tc>
          <w:tcPr>
            <w:tcW w:type="dxa" w:w="1728"/>
          </w:tcPr>
          <w:p>
            <w:pPr>
              <w:spacing w:line="240" w:lineRule="auto"/>
            </w:pPr>
            <w:r>
              <w:rPr>
                <w:rFonts w:ascii="Times New Roman" w:hAnsi="Times New Roman"/>
                <w:sz w:val="20"/>
              </w:rPr>
              <w:t>number_of_offers_received</w:t>
            </w:r>
          </w:p>
        </w:tc>
      </w:tr>
      <w:tr>
        <w:tc>
          <w:tcPr>
            <w:tcW w:type="dxa" w:w="1728"/>
          </w:tcPr>
          <w:p>
            <w:pPr>
              <w:spacing w:line="240" w:lineRule="auto"/>
            </w:pPr>
            <w:r>
              <w:rPr>
                <w:rFonts w:ascii="Times New Roman" w:hAnsi="Times New Roman"/>
                <w:sz w:val="20"/>
              </w:rPr>
              <w:t>Single-Bid Indicator</w:t>
            </w:r>
          </w:p>
        </w:tc>
        <w:tc>
          <w:tcPr>
            <w:tcW w:type="dxa" w:w="1728"/>
          </w:tcPr>
          <w:p>
            <w:pPr>
              <w:spacing w:line="240" w:lineRule="auto"/>
            </w:pPr>
            <w:r>
              <w:rPr>
                <w:rFonts w:ascii="Times New Roman" w:hAnsi="Times New Roman"/>
                <w:sz w:val="20"/>
              </w:rPr>
              <w:t>Dependent</w:t>
            </w:r>
          </w:p>
        </w:tc>
        <w:tc>
          <w:tcPr>
            <w:tcW w:type="dxa" w:w="1728"/>
          </w:tcPr>
          <w:p>
            <w:pPr>
              <w:spacing w:line="240" w:lineRule="auto"/>
            </w:pPr>
            <w:r>
              <w:rPr>
                <w:rFonts w:ascii="Times New Roman" w:hAnsi="Times New Roman"/>
                <w:sz w:val="20"/>
              </w:rPr>
              <w:t>1 = Only one offer received; 0 = Multiple offers</w:t>
            </w:r>
          </w:p>
        </w:tc>
        <w:tc>
          <w:tcPr>
            <w:tcW w:type="dxa" w:w="1728"/>
          </w:tcPr>
          <w:p>
            <w:pPr>
              <w:spacing w:line="240" w:lineRule="auto"/>
            </w:pPr>
            <w:r>
              <w:rPr>
                <w:rFonts w:ascii="Times New Roman" w:hAnsi="Times New Roman"/>
                <w:sz w:val="20"/>
              </w:rPr>
              <w:t>Binary</w:t>
            </w:r>
          </w:p>
        </w:tc>
        <w:tc>
          <w:tcPr>
            <w:tcW w:type="dxa" w:w="1728"/>
          </w:tcPr>
          <w:p>
            <w:pPr>
              <w:spacing w:line="240" w:lineRule="auto"/>
            </w:pPr>
            <w:r>
              <w:rPr>
                <w:rFonts w:ascii="Times New Roman" w:hAnsi="Times New Roman"/>
                <w:sz w:val="20"/>
              </w:rPr>
              <w:t>number_of_offers_received</w:t>
            </w:r>
          </w:p>
        </w:tc>
      </w:tr>
      <w:tr>
        <w:tc>
          <w:tcPr>
            <w:tcW w:type="dxa" w:w="1728"/>
          </w:tcPr>
          <w:p>
            <w:pPr>
              <w:spacing w:line="240" w:lineRule="auto"/>
            </w:pPr>
            <w:r>
              <w:rPr>
                <w:rFonts w:ascii="Times New Roman" w:hAnsi="Times New Roman"/>
                <w:sz w:val="20"/>
              </w:rPr>
              <w:t>NAICS Sector</w:t>
            </w:r>
          </w:p>
        </w:tc>
        <w:tc>
          <w:tcPr>
            <w:tcW w:type="dxa" w:w="1728"/>
          </w:tcPr>
          <w:p>
            <w:pPr>
              <w:spacing w:line="240" w:lineRule="auto"/>
            </w:pPr>
            <w:r>
              <w:rPr>
                <w:rFonts w:ascii="Times New Roman" w:hAnsi="Times New Roman"/>
                <w:sz w:val="20"/>
              </w:rPr>
              <w:t>Moderator</w:t>
            </w:r>
          </w:p>
        </w:tc>
        <w:tc>
          <w:tcPr>
            <w:tcW w:type="dxa" w:w="1728"/>
          </w:tcPr>
          <w:p>
            <w:pPr>
              <w:spacing w:line="240" w:lineRule="auto"/>
            </w:pPr>
            <w:r>
              <w:rPr>
                <w:rFonts w:ascii="Times New Roman" w:hAnsi="Times New Roman"/>
                <w:sz w:val="20"/>
              </w:rPr>
              <w:t>Categorical: IT (518, 511), Consulting (5416, 5417), Other Professional (remaining 541), Admin Support (561)</w:t>
            </w:r>
          </w:p>
        </w:tc>
        <w:tc>
          <w:tcPr>
            <w:tcW w:type="dxa" w:w="1728"/>
          </w:tcPr>
          <w:p>
            <w:pPr>
              <w:spacing w:line="240" w:lineRule="auto"/>
            </w:pPr>
            <w:r>
              <w:rPr>
                <w:rFonts w:ascii="Times New Roman" w:hAnsi="Times New Roman"/>
                <w:sz w:val="20"/>
              </w:rPr>
              <w:t>Categorical</w:t>
            </w:r>
          </w:p>
        </w:tc>
        <w:tc>
          <w:tcPr>
            <w:tcW w:type="dxa" w:w="1728"/>
          </w:tcPr>
          <w:p>
            <w:pPr>
              <w:spacing w:line="240" w:lineRule="auto"/>
            </w:pPr>
            <w:r>
              <w:rPr>
                <w:rFonts w:ascii="Times New Roman" w:hAnsi="Times New Roman"/>
                <w:sz w:val="20"/>
              </w:rPr>
              <w:t>naics_code</w:t>
            </w:r>
          </w:p>
        </w:tc>
      </w:tr>
      <w:tr>
        <w:tc>
          <w:tcPr>
            <w:tcW w:type="dxa" w:w="1728"/>
          </w:tcPr>
          <w:p>
            <w:pPr>
              <w:spacing w:line="240" w:lineRule="auto"/>
            </w:pPr>
            <w:r>
              <w:rPr>
                <w:rFonts w:ascii="Times New Roman" w:hAnsi="Times New Roman"/>
                <w:sz w:val="20"/>
              </w:rPr>
              <w:t>Contract Type</w:t>
            </w:r>
          </w:p>
        </w:tc>
        <w:tc>
          <w:tcPr>
            <w:tcW w:type="dxa" w:w="1728"/>
          </w:tcPr>
          <w:p>
            <w:pPr>
              <w:spacing w:line="240" w:lineRule="auto"/>
            </w:pPr>
            <w:r>
              <w:rPr>
                <w:rFonts w:ascii="Times New Roman" w:hAnsi="Times New Roman"/>
                <w:sz w:val="20"/>
              </w:rPr>
              <w:t>Moderator / Control</w:t>
            </w:r>
          </w:p>
        </w:tc>
        <w:tc>
          <w:tcPr>
            <w:tcW w:type="dxa" w:w="1728"/>
          </w:tcPr>
          <w:p>
            <w:pPr>
              <w:spacing w:line="240" w:lineRule="auto"/>
            </w:pPr>
            <w:r>
              <w:rPr>
                <w:rFonts w:ascii="Times New Roman" w:hAnsi="Times New Roman"/>
                <w:sz w:val="20"/>
              </w:rPr>
              <w:t>Categorical: FFP, CPFF, T&amp;M, Other</w:t>
            </w:r>
          </w:p>
        </w:tc>
        <w:tc>
          <w:tcPr>
            <w:tcW w:type="dxa" w:w="1728"/>
          </w:tcPr>
          <w:p>
            <w:pPr>
              <w:spacing w:line="240" w:lineRule="auto"/>
            </w:pPr>
            <w:r>
              <w:rPr>
                <w:rFonts w:ascii="Times New Roman" w:hAnsi="Times New Roman"/>
                <w:sz w:val="20"/>
              </w:rPr>
              <w:t>Categorical</w:t>
            </w:r>
          </w:p>
        </w:tc>
        <w:tc>
          <w:tcPr>
            <w:tcW w:type="dxa" w:w="1728"/>
          </w:tcPr>
          <w:p>
            <w:pPr>
              <w:spacing w:line="240" w:lineRule="auto"/>
            </w:pPr>
            <w:r>
              <w:rPr>
                <w:rFonts w:ascii="Times New Roman" w:hAnsi="Times New Roman"/>
                <w:sz w:val="20"/>
              </w:rPr>
              <w:t>type_of_contract_pricing</w:t>
            </w:r>
          </w:p>
        </w:tc>
      </w:tr>
      <w:tr>
        <w:tc>
          <w:tcPr>
            <w:tcW w:type="dxa" w:w="1728"/>
          </w:tcPr>
          <w:p>
            <w:pPr>
              <w:spacing w:line="240" w:lineRule="auto"/>
            </w:pPr>
            <w:r>
              <w:rPr>
                <w:rFonts w:ascii="Times New Roman" w:hAnsi="Times New Roman"/>
                <w:sz w:val="20"/>
              </w:rPr>
              <w:t>IDV Indicator</w:t>
            </w:r>
          </w:p>
        </w:tc>
        <w:tc>
          <w:tcPr>
            <w:tcW w:type="dxa" w:w="1728"/>
          </w:tcPr>
          <w:p>
            <w:pPr>
              <w:spacing w:line="240" w:lineRule="auto"/>
            </w:pPr>
            <w:r>
              <w:rPr>
                <w:rFonts w:ascii="Times New Roman" w:hAnsi="Times New Roman"/>
                <w:sz w:val="20"/>
              </w:rPr>
              <w:t>Moderator / Control</w:t>
            </w:r>
          </w:p>
        </w:tc>
        <w:tc>
          <w:tcPr>
            <w:tcW w:type="dxa" w:w="1728"/>
          </w:tcPr>
          <w:p>
            <w:pPr>
              <w:spacing w:line="240" w:lineRule="auto"/>
            </w:pPr>
            <w:r>
              <w:rPr>
                <w:rFonts w:ascii="Times New Roman" w:hAnsi="Times New Roman"/>
                <w:sz w:val="20"/>
              </w:rPr>
              <w:t>1 = Indefinite delivery vehicle; 0 = Definitive contract</w:t>
            </w:r>
          </w:p>
        </w:tc>
        <w:tc>
          <w:tcPr>
            <w:tcW w:type="dxa" w:w="1728"/>
          </w:tcPr>
          <w:p>
            <w:pPr>
              <w:spacing w:line="240" w:lineRule="auto"/>
            </w:pPr>
            <w:r>
              <w:rPr>
                <w:rFonts w:ascii="Times New Roman" w:hAnsi="Times New Roman"/>
                <w:sz w:val="20"/>
              </w:rPr>
              <w:t>Binary</w:t>
            </w:r>
          </w:p>
        </w:tc>
        <w:tc>
          <w:tcPr>
            <w:tcW w:type="dxa" w:w="1728"/>
          </w:tcPr>
          <w:p>
            <w:pPr>
              <w:spacing w:line="240" w:lineRule="auto"/>
            </w:pPr>
            <w:r>
              <w:rPr>
                <w:rFonts w:ascii="Times New Roman" w:hAnsi="Times New Roman"/>
                <w:sz w:val="20"/>
              </w:rPr>
              <w:t>idv_type, award_id_parent_award_piid</w:t>
            </w:r>
          </w:p>
        </w:tc>
      </w:tr>
      <w:tr>
        <w:tc>
          <w:tcPr>
            <w:tcW w:type="dxa" w:w="1728"/>
          </w:tcPr>
          <w:p>
            <w:pPr>
              <w:spacing w:line="240" w:lineRule="auto"/>
            </w:pPr>
            <w:r>
              <w:rPr>
                <w:rFonts w:ascii="Times New Roman" w:hAnsi="Times New Roman"/>
                <w:sz w:val="20"/>
              </w:rPr>
              <w:t>Log(Award Amount)</w:t>
            </w:r>
          </w:p>
        </w:tc>
        <w:tc>
          <w:tcPr>
            <w:tcW w:type="dxa" w:w="1728"/>
          </w:tcPr>
          <w:p>
            <w:pPr>
              <w:spacing w:line="240" w:lineRule="auto"/>
            </w:pPr>
            <w:r>
              <w:rPr>
                <w:rFonts w:ascii="Times New Roman" w:hAnsi="Times New Roman"/>
                <w:sz w:val="20"/>
              </w:rPr>
              <w:t>Control</w:t>
            </w:r>
          </w:p>
        </w:tc>
        <w:tc>
          <w:tcPr>
            <w:tcW w:type="dxa" w:w="1728"/>
          </w:tcPr>
          <w:p>
            <w:pPr>
              <w:spacing w:line="240" w:lineRule="auto"/>
            </w:pPr>
            <w:r>
              <w:rPr>
                <w:rFonts w:ascii="Times New Roman" w:hAnsi="Times New Roman"/>
                <w:sz w:val="20"/>
              </w:rPr>
              <w:t>Natural log of initial base award value</w:t>
            </w:r>
          </w:p>
        </w:tc>
        <w:tc>
          <w:tcPr>
            <w:tcW w:type="dxa" w:w="1728"/>
          </w:tcPr>
          <w:p>
            <w:pPr>
              <w:spacing w:line="240" w:lineRule="auto"/>
            </w:pPr>
            <w:r>
              <w:rPr>
                <w:rFonts w:ascii="Times New Roman" w:hAnsi="Times New Roman"/>
                <w:sz w:val="20"/>
              </w:rPr>
              <w:t>Continuous</w:t>
            </w:r>
          </w:p>
        </w:tc>
        <w:tc>
          <w:tcPr>
            <w:tcW w:type="dxa" w:w="1728"/>
          </w:tcPr>
          <w:p>
            <w:pPr>
              <w:spacing w:line="240" w:lineRule="auto"/>
            </w:pPr>
            <w:r>
              <w:rPr>
                <w:rFonts w:ascii="Times New Roman" w:hAnsi="Times New Roman"/>
                <w:sz w:val="20"/>
              </w:rPr>
              <w:t>base_exercised_options_value (initial action)</w:t>
            </w:r>
          </w:p>
        </w:tc>
      </w:tr>
      <w:tr>
        <w:tc>
          <w:tcPr>
            <w:tcW w:type="dxa" w:w="1728"/>
          </w:tcPr>
          <w:p>
            <w:pPr>
              <w:spacing w:line="240" w:lineRule="auto"/>
            </w:pPr>
            <w:r>
              <w:rPr>
                <w:rFonts w:ascii="Times New Roman" w:hAnsi="Times New Roman"/>
                <w:sz w:val="20"/>
              </w:rPr>
              <w:t>Agency Fixed Effects</w:t>
            </w:r>
          </w:p>
        </w:tc>
        <w:tc>
          <w:tcPr>
            <w:tcW w:type="dxa" w:w="1728"/>
          </w:tcPr>
          <w:p>
            <w:pPr>
              <w:spacing w:line="240" w:lineRule="auto"/>
            </w:pPr>
            <w:r>
              <w:rPr>
                <w:rFonts w:ascii="Times New Roman" w:hAnsi="Times New Roman"/>
                <w:sz w:val="20"/>
              </w:rPr>
              <w:t>Control</w:t>
            </w:r>
          </w:p>
        </w:tc>
        <w:tc>
          <w:tcPr>
            <w:tcW w:type="dxa" w:w="1728"/>
          </w:tcPr>
          <w:p>
            <w:pPr>
              <w:spacing w:line="240" w:lineRule="auto"/>
            </w:pPr>
            <w:r>
              <w:rPr>
                <w:rFonts w:ascii="Times New Roman" w:hAnsi="Times New Roman"/>
                <w:sz w:val="20"/>
              </w:rPr>
              <w:t>Dummy variables for each awarding agency</w:t>
            </w:r>
          </w:p>
        </w:tc>
        <w:tc>
          <w:tcPr>
            <w:tcW w:type="dxa" w:w="1728"/>
          </w:tcPr>
          <w:p>
            <w:pPr>
              <w:spacing w:line="240" w:lineRule="auto"/>
            </w:pPr>
            <w:r>
              <w:rPr>
                <w:rFonts w:ascii="Times New Roman" w:hAnsi="Times New Roman"/>
                <w:sz w:val="20"/>
              </w:rPr>
              <w:t>Categorical (dummies)</w:t>
            </w:r>
          </w:p>
        </w:tc>
        <w:tc>
          <w:tcPr>
            <w:tcW w:type="dxa" w:w="1728"/>
          </w:tcPr>
          <w:p>
            <w:pPr>
              <w:spacing w:line="240" w:lineRule="auto"/>
            </w:pPr>
            <w:r>
              <w:rPr>
                <w:rFonts w:ascii="Times New Roman" w:hAnsi="Times New Roman"/>
                <w:sz w:val="20"/>
              </w:rPr>
              <w:t>awarding_agency_code</w:t>
            </w:r>
          </w:p>
        </w:tc>
      </w:tr>
      <w:tr>
        <w:tc>
          <w:tcPr>
            <w:tcW w:type="dxa" w:w="1728"/>
          </w:tcPr>
          <w:p>
            <w:pPr>
              <w:spacing w:line="240" w:lineRule="auto"/>
            </w:pPr>
            <w:r>
              <w:rPr>
                <w:rFonts w:ascii="Times New Roman" w:hAnsi="Times New Roman"/>
                <w:sz w:val="20"/>
              </w:rPr>
              <w:t>Fiscal Year Fixed Effects</w:t>
            </w:r>
          </w:p>
        </w:tc>
        <w:tc>
          <w:tcPr>
            <w:tcW w:type="dxa" w:w="1728"/>
          </w:tcPr>
          <w:p>
            <w:pPr>
              <w:spacing w:line="240" w:lineRule="auto"/>
            </w:pPr>
            <w:r>
              <w:rPr>
                <w:rFonts w:ascii="Times New Roman" w:hAnsi="Times New Roman"/>
                <w:sz w:val="20"/>
              </w:rPr>
              <w:t>Control</w:t>
            </w:r>
          </w:p>
        </w:tc>
        <w:tc>
          <w:tcPr>
            <w:tcW w:type="dxa" w:w="1728"/>
          </w:tcPr>
          <w:p>
            <w:pPr>
              <w:spacing w:line="240" w:lineRule="auto"/>
            </w:pPr>
            <w:r>
              <w:rPr>
                <w:rFonts w:ascii="Times New Roman" w:hAnsi="Times New Roman"/>
                <w:sz w:val="20"/>
              </w:rPr>
              <w:t>Dummy variables for each fiscal year</w:t>
            </w:r>
          </w:p>
        </w:tc>
        <w:tc>
          <w:tcPr>
            <w:tcW w:type="dxa" w:w="1728"/>
          </w:tcPr>
          <w:p>
            <w:pPr>
              <w:spacing w:line="240" w:lineRule="auto"/>
            </w:pPr>
            <w:r>
              <w:rPr>
                <w:rFonts w:ascii="Times New Roman" w:hAnsi="Times New Roman"/>
                <w:sz w:val="20"/>
              </w:rPr>
              <w:t>Categorical (dummies)</w:t>
            </w:r>
          </w:p>
        </w:tc>
        <w:tc>
          <w:tcPr>
            <w:tcW w:type="dxa" w:w="1728"/>
          </w:tcPr>
          <w:p>
            <w:pPr>
              <w:spacing w:line="240" w:lineRule="auto"/>
            </w:pPr>
            <w:r>
              <w:rPr>
                <w:rFonts w:ascii="Times New Roman" w:hAnsi="Times New Roman"/>
                <w:sz w:val="20"/>
              </w:rPr>
              <w:t>action_date (fiscal year derived)</w:t>
            </w:r>
          </w:p>
        </w:tc>
      </w:tr>
      <w:tr>
        <w:tc>
          <w:tcPr>
            <w:tcW w:type="dxa" w:w="1728"/>
          </w:tcPr>
          <w:p>
            <w:pPr>
              <w:spacing w:line="240" w:lineRule="auto"/>
            </w:pPr>
            <w:r>
              <w:rPr>
                <w:rFonts w:ascii="Times New Roman" w:hAnsi="Times New Roman"/>
                <w:sz w:val="20"/>
              </w:rPr>
              <w:t>Set-Aside Type</w:t>
            </w:r>
          </w:p>
        </w:tc>
        <w:tc>
          <w:tcPr>
            <w:tcW w:type="dxa" w:w="1728"/>
          </w:tcPr>
          <w:p>
            <w:pPr>
              <w:spacing w:line="240" w:lineRule="auto"/>
            </w:pPr>
            <w:r>
              <w:rPr>
                <w:rFonts w:ascii="Times New Roman" w:hAnsi="Times New Roman"/>
                <w:sz w:val="20"/>
              </w:rPr>
              <w:t>Control</w:t>
            </w:r>
          </w:p>
        </w:tc>
        <w:tc>
          <w:tcPr>
            <w:tcW w:type="dxa" w:w="1728"/>
          </w:tcPr>
          <w:p>
            <w:pPr>
              <w:spacing w:line="240" w:lineRule="auto"/>
            </w:pPr>
            <w:r>
              <w:rPr>
                <w:rFonts w:ascii="Times New Roman" w:hAnsi="Times New Roman"/>
                <w:sz w:val="20"/>
              </w:rPr>
              <w:t>Categorical: Unrestricted, Small Business, 8(a), HUBZone, SDVOSB, WOSB, Other</w:t>
            </w:r>
          </w:p>
        </w:tc>
        <w:tc>
          <w:tcPr>
            <w:tcW w:type="dxa" w:w="1728"/>
          </w:tcPr>
          <w:p>
            <w:pPr>
              <w:spacing w:line="240" w:lineRule="auto"/>
            </w:pPr>
            <w:r>
              <w:rPr>
                <w:rFonts w:ascii="Times New Roman" w:hAnsi="Times New Roman"/>
                <w:sz w:val="20"/>
              </w:rPr>
              <w:t>Categorical</w:t>
            </w:r>
          </w:p>
        </w:tc>
        <w:tc>
          <w:tcPr>
            <w:tcW w:type="dxa" w:w="1728"/>
          </w:tcPr>
          <w:p>
            <w:pPr>
              <w:spacing w:line="240" w:lineRule="auto"/>
            </w:pPr>
            <w:r>
              <w:rPr>
                <w:rFonts w:ascii="Times New Roman" w:hAnsi="Times New Roman"/>
                <w:sz w:val="20"/>
              </w:rPr>
              <w:t>type_of_set_aside</w:t>
            </w:r>
          </w:p>
        </w:tc>
      </w:tr>
      <w:tr>
        <w:tc>
          <w:tcPr>
            <w:tcW w:type="dxa" w:w="1728"/>
          </w:tcPr>
          <w:p>
            <w:pPr>
              <w:spacing w:line="240" w:lineRule="auto"/>
            </w:pPr>
            <w:r>
              <w:rPr>
                <w:rFonts w:ascii="Times New Roman" w:hAnsi="Times New Roman"/>
                <w:sz w:val="20"/>
              </w:rPr>
              <w:t>Agency Procurement Volume</w:t>
            </w:r>
          </w:p>
        </w:tc>
        <w:tc>
          <w:tcPr>
            <w:tcW w:type="dxa" w:w="1728"/>
          </w:tcPr>
          <w:p>
            <w:pPr>
              <w:spacing w:line="240" w:lineRule="auto"/>
            </w:pPr>
            <w:r>
              <w:rPr>
                <w:rFonts w:ascii="Times New Roman" w:hAnsi="Times New Roman"/>
                <w:sz w:val="20"/>
              </w:rPr>
              <w:t>Moderator (capacity proxy)</w:t>
            </w:r>
          </w:p>
        </w:tc>
        <w:tc>
          <w:tcPr>
            <w:tcW w:type="dxa" w:w="1728"/>
          </w:tcPr>
          <w:p>
            <w:pPr>
              <w:spacing w:line="240" w:lineRule="auto"/>
            </w:pPr>
            <w:r>
              <w:rPr>
                <w:rFonts w:ascii="Times New Roman" w:hAnsi="Times New Roman"/>
                <w:sz w:val="20"/>
              </w:rPr>
              <w:t>Total dollar value of agency's annual procurement</w:t>
            </w:r>
          </w:p>
        </w:tc>
        <w:tc>
          <w:tcPr>
            <w:tcW w:type="dxa" w:w="1728"/>
          </w:tcPr>
          <w:p>
            <w:pPr>
              <w:spacing w:line="240" w:lineRule="auto"/>
            </w:pPr>
            <w:r>
              <w:rPr>
                <w:rFonts w:ascii="Times New Roman" w:hAnsi="Times New Roman"/>
                <w:sz w:val="20"/>
              </w:rPr>
              <w:t>Continuous</w:t>
            </w:r>
          </w:p>
        </w:tc>
        <w:tc>
          <w:tcPr>
            <w:tcW w:type="dxa" w:w="1728"/>
          </w:tcPr>
          <w:p>
            <w:pPr>
              <w:spacing w:line="240" w:lineRule="auto"/>
            </w:pPr>
            <w:r>
              <w:rPr>
                <w:rFonts w:ascii="Times New Roman" w:hAnsi="Times New Roman"/>
                <w:sz w:val="20"/>
              </w:rPr>
              <w:t>Aggregated from federal_action_obligation</w:t>
            </w:r>
          </w:p>
        </w:tc>
      </w:tr>
    </w:tbl>
    <w:p>
      <w:pPr>
        <w:pStyle w:val="Heading3"/>
      </w:pPr>
      <w:r>
        <w:rPr>
          <w:rFonts w:ascii="Times New Roman" w:hAnsi="Times New Roman"/>
          <w:color w:val="000000"/>
        </w:rPr>
        <w:t>3.4.1 Independent Variable: Source Selection Method</w:t>
      </w:r>
    </w:p>
    <w:p>
      <w:pPr>
        <w:ind w:firstLine="720"/>
      </w:pPr>
      <w:r>
        <w:t>The independent variable of primary interest is the source selection method, operationalized as a binary indicator equal to 1 if the contract was awarded using best-value tradeoff (TO) evaluation and 0 if the contract was awarded using LPTA. This binary coding reflects the fundamental policy distinction at the heart of the study: LPTA awards to the lowest-priced technically acceptable offeror, while tradeoff awards may go to a higher-priced offeror whose non-price merits justify the premium.</w:t>
      </w:r>
    </w:p>
    <w:p>
      <w:pPr>
        <w:ind w:firstLine="720"/>
      </w:pPr>
      <w:r>
        <w:t>The binary operationalization excludes the "Other" category, which is heterogeneous and difficult to interpret. Sensitivity analyses examine whether including "Other" as a third category (via multinomial models) or collapsing "Other" into LPTA or tradeoff changes the results.</w:t>
      </w:r>
    </w:p>
    <w:p>
      <w:pPr>
        <w:pStyle w:val="Heading3"/>
      </w:pPr>
      <w:r>
        <w:rPr>
          <w:rFonts w:ascii="Times New Roman" w:hAnsi="Times New Roman"/>
          <w:color w:val="000000"/>
        </w:rPr>
        <w:t>3.4.2 Dependent Variables</w:t>
      </w:r>
    </w:p>
    <w:p>
      <w:pPr>
        <w:pStyle w:val="Heading4"/>
      </w:pPr>
      <w:r>
        <w:rPr>
          <w:rFonts w:ascii="Times New Roman" w:hAnsi="Times New Roman"/>
          <w:color w:val="000000"/>
        </w:rPr>
        <w:t>Cost Growth</w:t>
      </w:r>
    </w:p>
    <w:p>
      <w:pPr>
        <w:ind w:firstLine="720"/>
      </w:pPr>
      <w:r>
        <w:t>Cost growth is the primary continuous outcome variable. It measures the degree to which the final (or current) contract value exceeds the initial base value at the time of award. Cost growth is computed as:</w:t>
      </w:r>
    </w:p>
    <w:p>
      <w:pPr>
        <w:ind w:firstLine="720"/>
      </w:pPr>
      <w:r>
        <w:t>$$\text{Cost Growth}_i = \frac{V_{i,\text{current}} - V_{i,\text{base}}}{V_{i,\text{base}}}$$</w:t>
      </w:r>
    </w:p>
    <w:p>
      <w:pPr>
        <w:ind w:firstLine="720"/>
      </w:pPr>
      <w:r>
        <w:t xml:space="preserve">where $V_{i,\text{current}}$ is the </w:t>
      </w:r>
      <w:r>
        <w:rPr>
          <w:rFonts w:ascii="Courier New" w:hAnsi="Courier New"/>
          <w:sz w:val="20"/>
        </w:rPr>
        <w:t>base_and_all_options_value</w:t>
      </w:r>
      <w:r>
        <w:t xml:space="preserve"> as of the most recent contract action and $V_{i,\text{base}}$ is the </w:t>
      </w:r>
      <w:r>
        <w:rPr>
          <w:rFonts w:ascii="Courier New" w:hAnsi="Courier New"/>
          <w:sz w:val="20"/>
        </w:rPr>
        <w:t>base_exercised_options_value</w:t>
      </w:r>
      <w:r>
        <w:t xml:space="preserve"> recorded at the initial award. A value of 0 indicates no cost growth; a value of 0.25 indicates that the contract value grew by 25% relative to the initial base.</w:t>
      </w:r>
    </w:p>
    <w:p>
      <w:pPr>
        <w:ind w:firstLine="720"/>
      </w:pPr>
      <w:r>
        <w:t>Cost growth captures an important dimension of contract performance: the degree to which the final cost to the government exceeded the expected cost at award. Positive cost growth may reflect scope changes, design deficiencies, poor cost estimation, contractor performance problems, or changed government requirements. While not all cost growth is undesirable — legitimate scope additions represent new value — systematic differences in cost growth between LPTA and tradeoff awards are informative about the downstream consequences of source selection method.</w:t>
      </w:r>
    </w:p>
    <w:p>
      <w:pPr>
        <w:ind w:firstLine="720"/>
      </w:pPr>
      <w:r>
        <w:t xml:space="preserve">Cost growth distributions are typically right-skewed, with a small number of contracts experiencing very large overruns. To mitigate the influence of extreme outliers, the variable is </w:t>
      </w:r>
      <w:r>
        <w:rPr>
          <w:b/>
        </w:rPr>
        <w:t>winsorized at the 1st and 99th percentiles</w:t>
      </w:r>
      <w:r>
        <w:t>: values below the 1st percentile are set to the 1st percentile value, and values above the 99th percentile are set to the 99th percentile value. This approach preserves the ordering and relative magnitude of observations while capping the influence of extreme values that may reflect data errors or idiosyncratic circumstances (e.g., emergency contract expansions during the COVID-19 pandemic). Sensitivity analyses examine alternative winsorization thresholds (5th/95th percentile) and trimming (dropping extreme observations entirely).</w:t>
      </w:r>
    </w:p>
    <w:p>
      <w:pPr>
        <w:pStyle w:val="Heading4"/>
      </w:pPr>
      <w:r>
        <w:rPr>
          <w:rFonts w:ascii="Times New Roman" w:hAnsi="Times New Roman"/>
          <w:color w:val="000000"/>
        </w:rPr>
        <w:t>Modification Intensity</w:t>
      </w:r>
    </w:p>
    <w:p>
      <w:pPr>
        <w:ind w:firstLine="720"/>
      </w:pPr>
      <w:r>
        <w:t>Modification intensity is measured as the count of contract modifications recorded for each award. Each transaction in FPDS with a modification number greater than zero represents a contract modification. Modifications encompass a wide range of actions: funding adjustments, option exercises, scope changes, no-cost extensions, administrative changes, and terminations. The count of modifications serves as a proxy for administrative burden and contract instability.</w:t>
      </w:r>
    </w:p>
    <w:p>
      <w:pPr>
        <w:ind w:firstLine="720"/>
      </w:pPr>
      <w:r>
        <w:t>A higher modification count, holding contract size and duration constant, suggests greater post-award management complexity. Contracts that require frequent modifications impose transaction costs on both the government and the contractor and may indicate that the initial contract terms were poorly specified or that performance problems required corrective action.</w:t>
      </w:r>
    </w:p>
    <w:p>
      <w:pPr>
        <w:ind w:firstLine="720"/>
      </w:pPr>
      <w:r>
        <w:t>Because modification count is a non-negative integer with potential overdispersion (the variance may exceed the mean), it is modeled using negative binomial regression rather than ordinary least squares. An exposure offset for contract duration (measured in months from start to current end date) is included to account for the fact that longer contracts mechanically accumulate more modifications.</w:t>
      </w:r>
    </w:p>
    <w:p>
      <w:pPr>
        <w:pStyle w:val="Heading4"/>
      </w:pPr>
      <w:r>
        <w:rPr>
          <w:rFonts w:ascii="Times New Roman" w:hAnsi="Times New Roman"/>
          <w:color w:val="000000"/>
        </w:rPr>
        <w:t>Competition Intensity</w:t>
      </w:r>
    </w:p>
    <w:p>
      <w:pPr>
        <w:ind w:firstLine="720"/>
      </w:pPr>
      <w:r>
        <w:t xml:space="preserve">Competition intensity is measured by </w:t>
      </w:r>
      <w:r>
        <w:rPr>
          <w:rFonts w:ascii="Courier New" w:hAnsi="Courier New"/>
          <w:sz w:val="20"/>
        </w:rPr>
        <w:t>number_of_offers_received</w:t>
      </w:r>
      <w:r>
        <w:t>, the count of proposals submitted by offerors in response to the solicitation. This variable is reported by the contracting officer at the time of award. A higher number of offers suggests a more robust competitive environment, which tends to improve price outcomes and contractor quality through market pressure.</w:t>
      </w:r>
    </w:p>
    <w:p>
      <w:pPr>
        <w:ind w:firstLine="720"/>
      </w:pPr>
      <w:r>
        <w:t>The relationship between source selection method and competition intensity is theoretically ambiguous. LPTA's simplicity may attract more offerors (lower bid preparation costs), but tradeoff's ability to reward quality may attract higher-quality offerors or encourage more firms to compete because they perceive a fair chance of winning on non-price factors. The empirical analysis tests this relationship without imposing a directional prior.</w:t>
      </w:r>
    </w:p>
    <w:p>
      <w:pPr>
        <w:ind w:firstLine="720"/>
      </w:pPr>
      <w:r>
        <w:t>Like modification count, the number of offers received is a count variable that is modeled using negative binomial or Poisson regression, depending on the degree of overdispersion observed in the data. Poisson regression is used if the conditional mean and variance are approximately equal; negative binomial is used if overdispersion is present, as tested by likelihood ratio or Lagrange multiplier tests (Cameron &amp; Trivedi, 2005).</w:t>
      </w:r>
    </w:p>
    <w:p>
      <w:pPr>
        <w:pStyle w:val="Heading4"/>
      </w:pPr>
      <w:r>
        <w:rPr>
          <w:rFonts w:ascii="Times New Roman" w:hAnsi="Times New Roman"/>
          <w:color w:val="000000"/>
        </w:rPr>
        <w:t>Single-Bid Indicator</w:t>
      </w:r>
    </w:p>
    <w:p>
      <w:pPr>
        <w:ind w:firstLine="720"/>
      </w:pPr>
      <w:r>
        <w:t>The single-bid indicator is a binary variable equal to 1 if only one offer was received and 0 if two or more offers were received. Single-bid contracts — sometimes termed "competitions of one" — represent a failure of the competitive process. Even when the solicitation is issued as a full-and-open competition, a single-bid outcome means that the government lacks the market pressure of competing alternatives. Single-bid contracts have been associated with higher prices, reduced innovation, and diminished contractor accountability in prior research.</w:t>
      </w:r>
    </w:p>
    <w:p>
      <w:pPr>
        <w:ind w:firstLine="720"/>
      </w:pPr>
      <w:r>
        <w:t>This variable is modeled using logistic regression. The coefficient of interest captures the difference in the log-odds of a single-bid outcome between tradeoff and LPTA awards, controlling for other factors.</w:t>
      </w:r>
    </w:p>
    <w:p>
      <w:pPr>
        <w:pStyle w:val="Heading3"/>
      </w:pPr>
      <w:r>
        <w:rPr>
          <w:rFonts w:ascii="Times New Roman" w:hAnsi="Times New Roman"/>
          <w:color w:val="000000"/>
        </w:rPr>
        <w:t>3.4.3 Moderating Variables</w:t>
      </w:r>
    </w:p>
    <w:p>
      <w:pPr>
        <w:pStyle w:val="Heading4"/>
      </w:pPr>
      <w:r>
        <w:rPr>
          <w:rFonts w:ascii="Times New Roman" w:hAnsi="Times New Roman"/>
          <w:color w:val="000000"/>
        </w:rPr>
        <w:t>Procurement Complexity (NAICS Sector)</w:t>
      </w:r>
    </w:p>
    <w:p>
      <w:pPr>
        <w:ind w:firstLine="720"/>
      </w:pPr>
      <w:r>
        <w:t>Procurement complexity is proxied by the NAICS sector of the contract award. Four categories are defined based on the included NAICS codes:</w:t>
      </w:r>
    </w:p>
    <w:p>
      <w:pPr>
        <w:pStyle w:val="ListNumber"/>
      </w:pPr>
      <w:r>
        <w:rPr>
          <w:b/>
        </w:rPr>
        <w:t>IT Services</w:t>
      </w:r>
      <w:r>
        <w:t xml:space="preserve"> (NAICS 518xxx, 511xxx): Cloud computing, data processing, software development, and related services. These procurements involve rapidly evolving technologies, high technical risk, and substantial vendor differentiation.</w:t>
      </w:r>
    </w:p>
    <w:p>
      <w:pPr>
        <w:pStyle w:val="ListNumber"/>
      </w:pPr>
      <w:r>
        <w:rPr>
          <w:b/>
        </w:rPr>
        <w:t>Management and Technical Consulting</w:t>
      </w:r>
      <w:r>
        <w:t xml:space="preserve"> (NAICS 5416, 5417): Management consulting and scientific/technical consulting. These engagements require professional judgment, domain expertise, and customized deliverables.</w:t>
      </w:r>
    </w:p>
    <w:p>
      <w:pPr>
        <w:pStyle w:val="ListNumber"/>
      </w:pPr>
      <w:r>
        <w:rPr>
          <w:b/>
        </w:rPr>
        <w:t>Other Professional Services</w:t>
      </w:r>
      <w:r>
        <w:t xml:space="preserve"> (remaining NAICS 541xxx): Engineering, R&amp;D, accounting, legal, and other professional services. Complexity varies within this category but is generally moderate to high.</w:t>
      </w:r>
    </w:p>
    <w:p>
      <w:pPr>
        <w:pStyle w:val="ListNumber"/>
      </w:pPr>
      <w:r>
        <w:rPr>
          <w:b/>
        </w:rPr>
        <w:t>Administrative Support</w:t>
      </w:r>
      <w:r>
        <w:t xml:space="preserve"> (NAICS 561xxx): Facilities support, staffing, document preparation, and call center operations. These services are relatively standardized and may be more amenable to LPTA evaluation.</w:t>
      </w:r>
    </w:p>
    <w:p>
      <w:pPr>
        <w:ind w:firstLine="720"/>
      </w:pPr>
      <w:r>
        <w:t>The theoretical expectation is that the advantage of tradeoff over LPTA (if any) is larger for more complex procurements, where quality differentiation among offerors is greater and the risk of selecting a low-quality provider at the lowest price is highest.</w:t>
      </w:r>
    </w:p>
    <w:p>
      <w:pPr>
        <w:pStyle w:val="Heading4"/>
      </w:pPr>
      <w:r>
        <w:rPr>
          <w:rFonts w:ascii="Times New Roman" w:hAnsi="Times New Roman"/>
          <w:color w:val="000000"/>
        </w:rPr>
        <w:t>Contract Type</w:t>
      </w:r>
    </w:p>
    <w:p>
      <w:pPr>
        <w:ind w:firstLine="720"/>
      </w:pPr>
      <w:r>
        <w:t>Contract pricing type serves as both a moderator and a control variable. The FAR defines several pricing arrangements, which are grouped into four categories for this analysis:</w:t>
      </w:r>
    </w:p>
    <w:p>
      <w:pPr>
        <w:pStyle w:val="ListNumber"/>
      </w:pPr>
      <w:r>
        <w:rPr>
          <w:b/>
        </w:rPr>
        <w:t>Firm Fixed Price (FFP):</w:t>
      </w:r>
      <w:r>
        <w:t xml:space="preserve"> The contractor agrees to deliver the specified scope at a fixed price, bearing the full risk of cost overruns. FFP contracts are used when requirements are well-defined and the technical risk is low.</w:t>
      </w:r>
    </w:p>
    <w:p>
      <w:pPr>
        <w:pStyle w:val="ListNumber"/>
      </w:pPr>
      <w:r>
        <w:rPr>
          <w:b/>
        </w:rPr>
        <w:t>Cost-Plus-Fixed-Fee (CPFF):</w:t>
      </w:r>
      <w:r>
        <w:t xml:space="preserve"> The government reimburses the contractor's allowable costs plus a fixed fee. Used when requirements are uncertain and cost risk is high.</w:t>
      </w:r>
    </w:p>
    <w:p>
      <w:pPr>
        <w:pStyle w:val="ListNumber"/>
      </w:pPr>
      <w:r>
        <w:rPr>
          <w:b/>
        </w:rPr>
        <w:t>Time and Materials (T&amp;M):</w:t>
      </w:r>
      <w:r>
        <w:t xml:space="preserve"> The government pays fixed hourly rates for labor and reimburses materials at cost. Used when the scope of work cannot be precisely defined.</w:t>
      </w:r>
    </w:p>
    <w:p>
      <w:pPr>
        <w:pStyle w:val="ListNumber"/>
      </w:pPr>
      <w:r>
        <w:rPr>
          <w:b/>
        </w:rPr>
        <w:t>Other:</w:t>
      </w:r>
      <w:r>
        <w:t xml:space="preserve"> All remaining pricing types, including cost-plus-incentive-fee, cost-plus-award-fee, and fixed-price-incentive.</w:t>
      </w:r>
    </w:p>
    <w:p>
      <w:pPr>
        <w:ind w:firstLine="720"/>
      </w:pPr>
      <w:r>
        <w:t>Cost-type and T&amp;M contracts signal greater complexity and uncertainty. The interaction between contract type and source selection method tests whether the tradeoff advantage varies with the degree of contractual risk-sharing.</w:t>
      </w:r>
    </w:p>
    <w:p>
      <w:pPr>
        <w:pStyle w:val="Heading4"/>
      </w:pPr>
      <w:r>
        <w:rPr>
          <w:rFonts w:ascii="Times New Roman" w:hAnsi="Times New Roman"/>
          <w:color w:val="000000"/>
        </w:rPr>
        <w:t>IDV Indicator</w:t>
      </w:r>
    </w:p>
    <w:p>
      <w:pPr>
        <w:ind w:firstLine="720"/>
      </w:pPr>
      <w:r>
        <w:t>The indefinite delivery vehicle (IDV) indicator is a binary variable equal to 1 if the contract is a task order or delivery order issued under an indefinite delivery/indefinite quantity (IDIQ) contract or a Government-Wide Acquisition Contract (GWAC), and 0 if it is a standalone (definitive) contract. IDV orders represent a growing share of federal procurement and involve a two-stage competition process: vendors first compete for a place on the IDV, and then compete again (or are directed) for individual task orders. The source selection process for the task order may differ from the source selection process used for the parent IDV.</w:t>
      </w:r>
    </w:p>
    <w:p>
      <w:pPr>
        <w:pStyle w:val="Heading3"/>
      </w:pPr>
      <w:r>
        <w:rPr>
          <w:rFonts w:ascii="Times New Roman" w:hAnsi="Times New Roman"/>
          <w:color w:val="000000"/>
        </w:rPr>
        <w:t>3.4.4 Control Variables</w:t>
      </w:r>
    </w:p>
    <w:p>
      <w:pPr>
        <w:pStyle w:val="Heading4"/>
      </w:pPr>
      <w:r>
        <w:rPr>
          <w:rFonts w:ascii="Times New Roman" w:hAnsi="Times New Roman"/>
          <w:color w:val="000000"/>
        </w:rPr>
        <w:t>Log(Award Amount)</w:t>
      </w:r>
    </w:p>
    <w:p>
      <w:pPr>
        <w:ind w:firstLine="720"/>
      </w:pPr>
      <w:r>
        <w:t>Contract size is measured as the natural logarithm of the initial base award value (</w:t>
      </w:r>
      <w:r>
        <w:rPr>
          <w:rFonts w:ascii="Courier New" w:hAnsi="Courier New"/>
          <w:sz w:val="20"/>
        </w:rPr>
        <w:t>base_exercised_options_value</w:t>
      </w:r>
      <w:r>
        <w:t xml:space="preserve"> at the time of the initial award action). The logarithmic transformation addresses the severe right skew of contract dollar values and allows the regression coefficients to be interpreted in terms of proportional (rather than absolute) changes in value. Contract size is controlled because larger contracts may exhibit systematically different cost growth patterns, modification frequencies, and competitive dynamics.</w:t>
      </w:r>
    </w:p>
    <w:p>
      <w:pPr>
        <w:pStyle w:val="Heading4"/>
      </w:pPr>
      <w:r>
        <w:rPr>
          <w:rFonts w:ascii="Times New Roman" w:hAnsi="Times New Roman"/>
          <w:color w:val="000000"/>
        </w:rPr>
        <w:t>Agency Fixed Effects</w:t>
      </w:r>
    </w:p>
    <w:p>
      <w:pPr>
        <w:ind w:firstLine="720"/>
      </w:pPr>
      <w:r>
        <w:t xml:space="preserve">Agency fixed effects are included as a set of dummy variables, one for each unique awarding agency (with one agency serving as the reference category). These fixed effects absorb all time-invariant, agency-specific factors that might influence both the choice of source selection method and procurement outcomes: agency culture, workforce expertise, mission complexity, risk tolerance, organizational structure, and regulatory interpretation. By comparing LPTA and tradeoff awards </w:t>
      </w:r>
      <w:r>
        <w:rPr>
          <w:i/>
        </w:rPr>
        <w:t>within</w:t>
      </w:r>
      <w:r>
        <w:t xml:space="preserve"> the same agency, the analysis controls for unobserved agency heterogeneity that cannot be captured by observable covariates.</w:t>
      </w:r>
    </w:p>
    <w:p>
      <w:pPr>
        <w:pStyle w:val="Heading4"/>
      </w:pPr>
      <w:r>
        <w:rPr>
          <w:rFonts w:ascii="Times New Roman" w:hAnsi="Times New Roman"/>
          <w:color w:val="000000"/>
        </w:rPr>
        <w:t>Fiscal Year Fixed Effects</w:t>
      </w:r>
    </w:p>
    <w:p>
      <w:pPr>
        <w:ind w:firstLine="720"/>
      </w:pPr>
      <w:r>
        <w:t>Fiscal year fixed effects (dummy variables for each fiscal year in the sample) control for government-wide temporal trends: changes in the procurement regulatory environment, shifts in the overall budget climate, macroeconomic conditions (e.g., the COVID-19 pandemic's impact on the contractor workforce), and secular trends in source selection practice. The interaction of fiscal year fixed effects with agency fixed effects (agency-by-year fixed effects) is examined in robustness checks as a more stringent specification.</w:t>
      </w:r>
    </w:p>
    <w:p>
      <w:pPr>
        <w:pStyle w:val="Heading4"/>
      </w:pPr>
      <w:r>
        <w:rPr>
          <w:rFonts w:ascii="Times New Roman" w:hAnsi="Times New Roman"/>
          <w:color w:val="000000"/>
        </w:rPr>
        <w:t>Set-Aside Type</w:t>
      </w:r>
    </w:p>
    <w:p>
      <w:pPr>
        <w:ind w:firstLine="720"/>
      </w:pPr>
      <w:r>
        <w:t>Set-aside type is a categorical variable indicating whether the procurement was set aside for small businesses or a specific socioeconomic category (8(a) Business Development, HUBZone, Service-Disabled Veteran-Owned Small Business, Women-Owned Small Business) or was unrestricted (open to large and small businesses alike). Set-aside status is controlled because it shapes the competitive pool: set-aside contracts restrict competition to a subset of potential offerors, which may influence both the number of offers received and the quality of the competitive outcome.</w:t>
      </w:r>
    </w:p>
    <w:p>
      <w:pPr>
        <w:pStyle w:val="Heading2"/>
      </w:pPr>
      <w:r>
        <w:rPr>
          <w:rFonts w:ascii="Times New Roman" w:hAnsi="Times New Roman"/>
          <w:color w:val="000000"/>
        </w:rPr>
        <w:t>3.5 Identification Strategy and the Threat of Selection Bias</w:t>
      </w:r>
    </w:p>
    <w:p>
      <w:pPr>
        <w:pStyle w:val="Heading3"/>
      </w:pPr>
      <w:r>
        <w:rPr>
          <w:rFonts w:ascii="Times New Roman" w:hAnsi="Times New Roman"/>
          <w:color w:val="000000"/>
        </w:rPr>
        <w:t>3.5.1 The Fundamental Identification Challenge</w:t>
      </w:r>
    </w:p>
    <w:p>
      <w:pPr>
        <w:ind w:firstLine="720"/>
      </w:pPr>
      <w:r>
        <w:t>The central methodological challenge in this study is that agencies do not randomly assign source selection methods to procurements. The FAR directs contracting officers to select the evaluation method that is most appropriate for the specific procurement, considering factors such as complexity, risk, market conditions, and the availability of performance benchmarks. This means that the "treatment" — the use of tradeoff versus LPTA — is endogenous: the same factors that drive the choice of source selection method may independently influence the outcomes of interest. More complex procurements may be systematically routed to tradeoff evaluation, and complexity itself may cause higher cost growth, more modifications, or different competitive dynamics. A naive comparison of outcomes between LPTA and tradeoff awards would confound the effect of the source selection method with the effect of procurement characteristics that drove the method choice.</w:t>
      </w:r>
    </w:p>
    <w:p>
      <w:pPr>
        <w:ind w:firstLine="720"/>
      </w:pPr>
      <w:r>
        <w:t>Formally, the concern is that:</w:t>
      </w:r>
    </w:p>
    <w:p>
      <w:pPr>
        <w:ind w:firstLine="720"/>
      </w:pPr>
      <w:r>
        <w:t>$$E[Y_i | \text{Tradeoff}_i = 1] - E[Y_i | \text{Tradeoff}_i = 0] \neq E[Y_i(1) - Y_i(0)]$$</w:t>
      </w:r>
    </w:p>
    <w:p>
      <w:pPr>
        <w:ind w:firstLine="720"/>
      </w:pPr>
      <w:r>
        <w:t>where $Y_i(1)$ and $Y_i(0)$ denote the potential outcomes under tradeoff and LPTA, respectively. The left-hand side is the observed difference in means; the right-hand side is the average treatment effect (ATE). The two differ whenever the assignment to tradeoff is correlated with unobserved determinants of outcomes.</w:t>
      </w:r>
    </w:p>
    <w:p>
      <w:pPr>
        <w:ind w:firstLine="720"/>
      </w:pPr>
      <w:r>
        <w:t>To address this challenge, the study employs three complementary identification strategies: (a) within-category comparisons using agency, NAICS/PSC, and fiscal year fixed effects; (b) propensity score matching (PSM); and (c) difference-in-differences (DiD) estimation exploiting policy shocks. No single strategy is definitive, but convergence of results across strategies strengthens confidence in the findings.</w:t>
      </w:r>
    </w:p>
    <w:p>
      <w:pPr>
        <w:pStyle w:val="Heading3"/>
      </w:pPr>
      <w:r>
        <w:rPr>
          <w:rFonts w:ascii="Times New Roman" w:hAnsi="Times New Roman"/>
          <w:color w:val="000000"/>
        </w:rPr>
        <w:t>3.5.2 Within-Category Comparisons</w:t>
      </w:r>
    </w:p>
    <w:p>
      <w:pPr>
        <w:ind w:firstLine="720"/>
      </w:pPr>
      <w:r>
        <w:t xml:space="preserve">The simplest and most transparent approach to addressing selection bias is to compare LPTA and tradeoff awards </w:t>
      </w:r>
      <w:r>
        <w:rPr>
          <w:i/>
        </w:rPr>
        <w:t>within narrow categories</w:t>
      </w:r>
      <w:r>
        <w:t xml:space="preserve"> defined by agency, NAICS sector, fiscal year, and contract type. By conditioning on these observable characteristics through fixed effects and interaction terms, the analysis compares contracts that are similar in their observable determinants of source selection method. The specification:</w:t>
      </w:r>
    </w:p>
    <w:p>
      <w:pPr>
        <w:ind w:firstLine="720"/>
      </w:pPr>
      <w:r>
        <w:t>$$Y_i = \beta_0 + \beta_1 \text{Tradeoff}_i + \gamma \mathbf{X}_i + \alpha_{\text{agency}} + \delta_{\text{year}} + \theta_{\text{NAICS}} + \varepsilon_i$$</w:t>
      </w:r>
    </w:p>
    <w:p>
      <w:pPr>
        <w:ind w:firstLine="720"/>
      </w:pPr>
      <w:r>
        <w:t>estimates $\beta_1$ as the within-category difference in outcomes between tradeoff and LPTA awards, conditional on the vector of controls $\mathbf{X}_i$ and the fixed effects. The identifying assumption is that, within a given agency, NAICS sector, and fiscal year, the assignment to tradeoff versus LPTA is uncorrelated with unobserved determinants of outcomes. This assumption is strong — agencies may still route individual procurements within a category differently based on contract-specific factors not captured by the covariates — but the fixed effects absorb a substantial share of the confounding variation.</w:t>
      </w:r>
    </w:p>
    <w:p>
      <w:pPr>
        <w:ind w:firstLine="720"/>
      </w:pPr>
      <w:r>
        <w:t>More demanding specifications include agency-by-year fixed effects ($\alpha_{\text{agency} \times \text{year}}$) and agency-by-NAICS fixed effects ($\alpha_{\text{agency} \times \text{NAICS}}$), which restrict the comparison to within agency-year cells or within agency-NAICS cells. The trade-off is that finer fixed effects reduce the variation available for estimation and may reduce precision.</w:t>
      </w:r>
    </w:p>
    <w:p>
      <w:pPr>
        <w:pStyle w:val="Heading3"/>
      </w:pPr>
      <w:r>
        <w:rPr>
          <w:rFonts w:ascii="Times New Roman" w:hAnsi="Times New Roman"/>
          <w:color w:val="000000"/>
        </w:rPr>
        <w:t>3.5.3 Propensity Score Matching</w:t>
      </w:r>
    </w:p>
    <w:p>
      <w:pPr>
        <w:ind w:firstLine="720"/>
      </w:pPr>
      <w:r>
        <w:t>Propensity score matching (PSM) provides a more structured approach to constructing comparable treatment and control groups (Rosenbaum &amp; Rubin, 1983). The propensity score is the conditional probability of receiving the treatment (tradeoff) given observed covariates:</w:t>
      </w:r>
    </w:p>
    <w:p>
      <w:pPr>
        <w:ind w:firstLine="720"/>
      </w:pPr>
      <w:r>
        <w:t>$$e(\mathbf{X}_i) = P(\text{Tradeoff}_i = 1 | \mathbf{X}_i)$$</w:t>
      </w:r>
    </w:p>
    <w:p>
      <w:pPr>
        <w:ind w:firstLine="720"/>
      </w:pPr>
      <w:r>
        <w:t>Under the assumption that treatment assignment is independent of potential outcomes conditional on the propensity score (the "ignorability" or "unconfoundedness" assumption), matching treated and control units with similar propensity scores eliminates selection bias on observables.</w:t>
      </w:r>
    </w:p>
    <w:p>
      <w:pPr>
        <w:pStyle w:val="Heading4"/>
      </w:pPr>
      <w:r>
        <w:rPr>
          <w:rFonts w:ascii="Times New Roman" w:hAnsi="Times New Roman"/>
          <w:color w:val="000000"/>
        </w:rPr>
        <w:t>Estimation of the Propensity Score</w:t>
      </w:r>
    </w:p>
    <w:p>
      <w:pPr>
        <w:ind w:firstLine="720"/>
      </w:pPr>
      <w:r>
        <w:t>The propensity score is estimated using logistic regression with the following covariates:</w:t>
      </w:r>
    </w:p>
    <w:p>
      <w:pPr>
        <w:ind w:firstLine="720"/>
      </w:pPr>
      <w:r>
        <w:t>$$\text{logit}[P(\text{Tradeoff}_i = 1)] = \alpha_0 + \alpha_1 \ln(\text{Award Amount}_i) + \alpha_2 \text{NAICS Sector}_i + \alpha_3 \text{Agency}_i + \alpha_4 \text{Fiscal Year}_i + \alpha_5 \text{Contract Type}_i + \alpha_6 \text{IDV}_i + \alpha_7 \text{Set-Aside Type}_i$$</w:t>
      </w:r>
    </w:p>
    <w:p>
      <w:pPr>
        <w:ind w:firstLine="720"/>
      </w:pPr>
      <w:r>
        <w:t>These covariates are selected because they represent the primary observable factors that contracting officers consider when choosing a source selection method. The logistic model produces a predicted probability (propensity score) for each observation in the sample.</w:t>
      </w:r>
    </w:p>
    <w:p>
      <w:pPr>
        <w:pStyle w:val="Heading4"/>
      </w:pPr>
      <w:r>
        <w:rPr>
          <w:rFonts w:ascii="Times New Roman" w:hAnsi="Times New Roman"/>
          <w:color w:val="000000"/>
        </w:rPr>
        <w:t>Matching Algorithm</w:t>
      </w:r>
    </w:p>
    <w:p>
      <w:pPr>
        <w:ind w:firstLine="720"/>
      </w:pPr>
      <w:r>
        <w:t xml:space="preserve">The study employs </w:t>
      </w:r>
      <w:r>
        <w:rPr>
          <w:b/>
        </w:rPr>
        <w:t>nearest-neighbor matching without replacement</w:t>
      </w:r>
      <w:r>
        <w:t xml:space="preserve"> with a caliper constraint. Each tradeoff (treated) observation is matched to the LPTA (control) observation with the closest propensity score, subject to the constraint that the absolute difference in propensity scores (on the logit scale) does not exceed 0.2 standard deviations of the logit propensity score distribution. The caliper prevents poor matches: treated units without a sufficiently close control match are dropped from the analysis. Matching without replacement ensures that each control unit is used at most once, reducing bias from overuse of a few control observations at the cost of potentially discarding some treated units.</w:t>
      </w:r>
    </w:p>
    <w:p>
      <w:pPr>
        <w:ind w:firstLine="720"/>
      </w:pPr>
      <w:r>
        <w:t>Alternative matching specifications — including one-to-many matching (1:3 and 1:5), matching with replacement, kernel matching, and Mahalanobis distance matching on key covariates — are estimated as robustness checks.</w:t>
      </w:r>
    </w:p>
    <w:p>
      <w:pPr>
        <w:pStyle w:val="Heading4"/>
      </w:pPr>
      <w:r>
        <w:rPr>
          <w:rFonts w:ascii="Times New Roman" w:hAnsi="Times New Roman"/>
          <w:color w:val="000000"/>
        </w:rPr>
        <w:t>Balance Diagnostics</w:t>
      </w:r>
    </w:p>
    <w:p>
      <w:pPr>
        <w:ind w:firstLine="720"/>
      </w:pPr>
      <w:r>
        <w:t>The quality of the matched sample is assessed using standardized mean differences (SMDs) for each covariate. Following the convention established by Rosenbaum and Rubin (1985) and widely adopted in the causal inference literature, an SMD below 0.1 (10% of a standard deviation) is considered acceptable balance. Variance ratios for continuous covariates should fall between 0.5 and 2.0 (Rubin, 2001). Visual diagnostics include love plots (dot plots of SMDs before and after matching) and histograms of propensity score distributions in the treated and control groups before and after matching. If balance is inadequate for specific covariates, the propensity score model is re-specified — for example, by adding interaction terms, polynomial terms, or additional covariates — until acceptable balance is achieved.</w:t>
      </w:r>
    </w:p>
    <w:p>
      <w:pPr>
        <w:pStyle w:val="Heading4"/>
      </w:pPr>
      <w:r>
        <w:rPr>
          <w:rFonts w:ascii="Times New Roman" w:hAnsi="Times New Roman"/>
          <w:color w:val="000000"/>
        </w:rPr>
        <w:t>Treatment Effect Estimation on the Matched Sample</w:t>
      </w:r>
    </w:p>
    <w:p>
      <w:pPr>
        <w:ind w:firstLine="720"/>
      </w:pPr>
      <w:r>
        <w:t>On the matched sample, treatment effects are estimated using the same regression models described in Section 3.6, with the addition of matching weights. The average treatment effect on the treated (ATT) is the primary estimand:</w:t>
      </w:r>
    </w:p>
    <w:p>
      <w:pPr>
        <w:ind w:firstLine="720"/>
      </w:pPr>
      <w:r>
        <w:t>$$\text{ATT} = E[Y_i(1) - Y_i(0) | \text{Tradeoff}_i = 1]$$</w:t>
      </w:r>
    </w:p>
    <w:p>
      <w:pPr>
        <w:ind w:firstLine="720"/>
      </w:pPr>
      <w:r>
        <w:t>This estimand captures the expected difference in outcomes for tradeoff contracts relative to what would have been observed had those same contracts been awarded using LPTA. The ATT is the most policy-relevant estimand because it addresses the question: for contracts where agencies chose tradeoff, would outcomes have been different under LPTA?</w:t>
      </w:r>
    </w:p>
    <w:p>
      <w:pPr>
        <w:pStyle w:val="Heading4"/>
      </w:pPr>
      <w:r>
        <w:rPr>
          <w:rFonts w:ascii="Times New Roman" w:hAnsi="Times New Roman"/>
          <w:color w:val="000000"/>
        </w:rPr>
        <w:t>Sensitivity Analysis: Rosenbaum Bounds</w:t>
      </w:r>
    </w:p>
    <w:p>
      <w:pPr>
        <w:ind w:firstLine="720"/>
      </w:pPr>
      <w:r>
        <w:t>The PSM approach addresses selection on observables but cannot rule out selection on unobservables — that is, unmeasured factors that jointly influence source selection choice and outcomes. To assess the sensitivity of the PSM results to potential hidden bias, the study employs Rosenbaum bounds (Rosenbaum, 2002). This method computes the critical value of $\Gamma$ — the factor by which the odds of treatment assignment may differ between matched pairs due to an unobserved confounder — at which the estimated treatment effect becomes statistically insignificant. A large critical $\Gamma$ (e.g., $\Gamma &gt; 2$) indicates that the result is robust to substantial hidden bias; a small critical $\Gamma$ (e.g., $\Gamma &lt; 1.5$) indicates that even modest unmeasured confounding could explain away the finding.</w:t>
      </w:r>
    </w:p>
    <w:p>
      <w:pPr>
        <w:pStyle w:val="Heading3"/>
      </w:pPr>
      <w:r>
        <w:rPr>
          <w:rFonts w:ascii="Times New Roman" w:hAnsi="Times New Roman"/>
          <w:color w:val="000000"/>
        </w:rPr>
        <w:t>3.5.4 Difference-in-Differences Estimation</w:t>
      </w:r>
    </w:p>
    <w:p>
      <w:pPr>
        <w:ind w:firstLine="720"/>
      </w:pPr>
      <w:r>
        <w:t>The difference-in-differences (DiD) design exploits temporal variation in the adoption of tradeoff source selection to identify the causal effect of interest (Angrist &amp; Pischke, 2009). Unlike PSM, which relies on cross-sectional comparisons of matched units, DiD leverages within-unit changes over time, controlling for both time-invariant unobserved heterogeneity and common temporal trends.</w:t>
      </w:r>
    </w:p>
    <w:p>
      <w:pPr>
        <w:pStyle w:val="Heading4"/>
      </w:pPr>
      <w:r>
        <w:rPr>
          <w:rFonts w:ascii="Times New Roman" w:hAnsi="Times New Roman"/>
          <w:color w:val="000000"/>
        </w:rPr>
        <w:t>Potential Policy Shocks</w:t>
      </w:r>
    </w:p>
    <w:p>
      <w:pPr>
        <w:ind w:firstLine="720"/>
      </w:pPr>
      <w:r>
        <w:t>Two categories of policy variation are candidates for DiD estimation:</w:t>
      </w:r>
    </w:p>
    <w:p>
      <w:pPr>
        <w:pStyle w:val="ListNumber"/>
      </w:pPr>
      <w:r>
        <w:rPr>
          <w:b/>
        </w:rPr>
        <w:t>The 2020 DPC Memorandum.</w:t>
      </w:r>
      <w:r>
        <w:t xml:space="preserve"> The DPC memorandum that mandated </w:t>
      </w:r>
      <w:r>
        <w:rPr>
          <w:rFonts w:ascii="Courier New" w:hAnsi="Courier New"/>
          <w:sz w:val="20"/>
        </w:rPr>
        <w:t>source_selection_process</w:t>
      </w:r>
      <w:r>
        <w:t xml:space="preserve"> reporting in FPDS was accompanied by broader guidance encouraging agencies to use the evaluation method best suited to each procurement. While the memorandum did not mandate a shift from LPTA to tradeoff, it increased the visibility of source selection decisions and may have created pressure on agencies to justify their choices. If the memorandum induced a shift in the mix of LPTA and tradeoff awards — particularly among agencies that had previously defaulted to LPTA — this shift can be exploited in a DiD framework.</w:t>
      </w:r>
    </w:p>
    <w:p>
      <w:pPr>
        <w:pStyle w:val="ListNumber"/>
      </w:pPr>
      <w:r>
        <w:rPr>
          <w:b/>
        </w:rPr>
        <w:t>Agency-level policy shifts.</w:t>
      </w:r>
      <w:r>
        <w:t xml:space="preserve"> Individual agencies and sub-agencies have issued guidance at various times during the sample period encouraging or requiring the use of tradeoff evaluation for specific contract categories. For example, the Department of Defense's Better Buying Power initiative and subsequent acquisition reform efforts have shifted agency posture toward or away from LPTA for specific categories. If these shifts can be documented and dated, they provide quasi-experimental variation in the adoption of tradeoff source selection at the agency-category level.</w:t>
      </w:r>
    </w:p>
    <w:p>
      <w:pPr>
        <w:pStyle w:val="Heading4"/>
      </w:pPr>
      <w:r>
        <w:rPr>
          <w:rFonts w:ascii="Times New Roman" w:hAnsi="Times New Roman"/>
          <w:color w:val="000000"/>
        </w:rPr>
        <w:t>Specification</w:t>
      </w:r>
    </w:p>
    <w:p>
      <w:pPr>
        <w:ind w:firstLine="720"/>
      </w:pPr>
      <w:r>
        <w:t>The DiD model takes the following general form:</w:t>
      </w:r>
    </w:p>
    <w:p>
      <w:pPr>
        <w:ind w:firstLine="720"/>
      </w:pPr>
      <w:r>
        <w:t>$$Y_{ict} = \beta_0 + \beta_1 \text{Post}_{ct} + \beta_2 \text{Treat}_{c} + \beta_3 (\text{Post}_{ct} \times \text{Treat}_{c}) + \gamma \mathbf{X}_{ict} + \alpha_c + \delta_t + \varepsilon_{ict}$$</w:t>
      </w:r>
    </w:p>
    <w:p>
      <w:pPr>
        <w:ind w:firstLine="720"/>
      </w:pPr>
      <w:r>
        <w:t>where $i$ indexes contracts, $c$ indexes agency-category cells, and $t$ indexes fiscal years. $\text{Post}_{ct}$ is an indicator for the period after the policy shock in cell $c$, $\text{Treat}_{c}$ is an indicator for cells affected by the policy shock, and $\beta_3$ is the DiD estimand. Agency-category fixed effects $\alpha_c$ absorb time-invariant heterogeneity, and fiscal year fixed effects $\delta_t$ absorb common time trends.</w:t>
      </w:r>
    </w:p>
    <w:p>
      <w:pPr>
        <w:pStyle w:val="Heading4"/>
      </w:pPr>
      <w:r>
        <w:rPr>
          <w:rFonts w:ascii="Times New Roman" w:hAnsi="Times New Roman"/>
          <w:color w:val="000000"/>
        </w:rPr>
        <w:t>Parallel Trends Assumption</w:t>
      </w:r>
    </w:p>
    <w:p>
      <w:pPr>
        <w:ind w:firstLine="720"/>
      </w:pPr>
      <w:r>
        <w:t>The validity of the DiD design rests on the parallel trends assumption: in the absence of the policy shock, outcomes in treated and control cells would have followed parallel trajectories. This assumption is not directly testable but is assessed through pre-trend tests. The study examines whether pre-treatment trends in outcomes differ between treated and control cells by estimating event-study specifications:</w:t>
      </w:r>
    </w:p>
    <w:p>
      <w:pPr>
        <w:ind w:firstLine="720"/>
      </w:pPr>
      <w:r>
        <w:t>$$Y_{ict} = \sum_{k=-K}^{K} \beta_k \cdot \mathbf{1}[t - t_c^* = k] \times \text{Treat}_c + \gamma \mathbf{X}_{ict} + \alpha_c + \delta_t + \varepsilon_{ict}$$</w:t>
      </w:r>
    </w:p>
    <w:p>
      <w:pPr>
        <w:ind w:firstLine="720"/>
      </w:pPr>
      <w:r>
        <w:t>where $t_c^*$ is the year of the policy shock in cell $c$ and $k$ indexes years relative to the shock. If the estimated $\beta_k$ coefficients for $k &lt; 0$ (pre-treatment periods) are close to zero and statistically insignificant, this provides supporting evidence for the parallel trends assumption. Significant pre-trends would undermine the DiD design and motivate alternative specifications or a focus on the PSM results.</w:t>
      </w:r>
    </w:p>
    <w:p>
      <w:pPr>
        <w:pStyle w:val="Heading4"/>
      </w:pPr>
      <w:r>
        <w:rPr>
          <w:rFonts w:ascii="Times New Roman" w:hAnsi="Times New Roman"/>
          <w:color w:val="000000"/>
        </w:rPr>
        <w:t>Staggered Adoption</w:t>
      </w:r>
    </w:p>
    <w:p>
      <w:pPr>
        <w:ind w:firstLine="720"/>
      </w:pPr>
      <w:r>
        <w:t>If the policy shock occurs at different times for different agency-category cells (staggered adoption), the standard two-way fixed effects (TWFE) DiD estimator may be biased in the presence of heterogeneous treatment effects (Goodman-Bacon, 2021; de Chaisemartin &amp; D'Haultfoeuille, 2020). The study addresses this concern by employing recently developed estimators that are robust to staggered adoption and heterogeneous effects, including the Callaway and Sant'Anna (2021) estimator and the Sun and Abraham (2021) interaction-weighted estimator. These methods provide group-time average treatment effects that avoid the problematic comparisons inherent in the TWFE estimator.</w:t>
      </w:r>
    </w:p>
    <w:p>
      <w:pPr>
        <w:pStyle w:val="Heading2"/>
      </w:pPr>
      <w:r>
        <w:rPr>
          <w:rFonts w:ascii="Times New Roman" w:hAnsi="Times New Roman"/>
          <w:color w:val="000000"/>
        </w:rPr>
        <w:t>3.6 Primary Quantitative Models</w:t>
      </w:r>
    </w:p>
    <w:p>
      <w:pPr>
        <w:ind w:firstLine="720"/>
      </w:pPr>
      <w:r>
        <w:t>This section specifies the regression models used to test the hypotheses derived in Chapter 2. Models are organized by the distributional characteristics of each dependent variable.</w:t>
      </w:r>
    </w:p>
    <w:p>
      <w:pPr>
        <w:pStyle w:val="Heading3"/>
      </w:pPr>
      <w:r>
        <w:rPr>
          <w:rFonts w:ascii="Times New Roman" w:hAnsi="Times New Roman"/>
          <w:color w:val="000000"/>
        </w:rPr>
        <w:t>3.6.1 Continuous Outcome: Cost Growth</w:t>
      </w:r>
    </w:p>
    <w:p>
      <w:pPr>
        <w:ind w:firstLine="720"/>
      </w:pPr>
      <w:r>
        <w:t>For the continuous cost growth variable, the primary specification is a generalized linear model (GLM) estimated by ordinary least squares (OLS) with robust standard errors clustered at the agency-NAICS level:</w:t>
      </w:r>
    </w:p>
    <w:p>
      <w:pPr>
        <w:ind w:firstLine="720"/>
      </w:pPr>
      <w:r>
        <w:t>$$\text{Cost Growth}_i = \beta_0 + \beta_1 \text{Tradeoff}_i + \beta_2 \ln(\text{Award}_i) + \beta_3 \text{Contract Type}_i + \beta_4 \text{IDV}_i + \beta_5 \text{Set-Aside}_i + \alpha_{\text{agency}} + \delta_{\text{year}} + \varepsilon_i$$</w:t>
      </w:r>
    </w:p>
    <w:p>
      <w:pPr>
        <w:ind w:firstLine="720"/>
      </w:pPr>
      <w:r>
        <w:t>The coefficient $\beta_1$ is the primary parameter of interest. It captures the average difference in cost growth between tradeoff and LPTA awards, conditional on the control variables and fixed effects. A negative $\beta_1$ would indicate that tradeoff awards experience less cost growth, consistent with the hypothesis that best-value source selection leads to better contractor selection and fewer post-award problems. A positive $\beta_1$ would indicate higher cost growth for tradeoff awards, potentially reflecting the greater complexity of procurements routed to tradeoff.</w:t>
      </w:r>
    </w:p>
    <w:p>
      <w:pPr>
        <w:ind w:firstLine="720"/>
      </w:pPr>
      <w:r>
        <w:t>Standard errors are clustered at the agency-NAICS level to account for within-cluster correlation in the error term. Contracts awarded by the same agency in the same NAICS sector are likely to share unobserved factors (e.g., the expertise of the contracting team, the characteristics of the supplier market) that induce correlation among their error terms. Clustering at this level produces valid inference even in the presence of arbitrary within-cluster correlation (Cameron &amp; Miller, 2015).</w:t>
      </w:r>
    </w:p>
    <w:p>
      <w:pPr>
        <w:ind w:firstLine="720"/>
      </w:pPr>
      <w:r>
        <w:t>Robustness checks include: (a) two-way clustering by agency and fiscal year; (b) heteroskedasticity-consistent (HC3) standard errors; (c) quantile regression at the 25th, 50th, and 75th percentiles to assess whether the treatment effect varies across the cost growth distribution; and (d) a Tobit specification to account for censoring at zero (many contracts exhibit no cost growth).</w:t>
      </w:r>
    </w:p>
    <w:p>
      <w:pPr>
        <w:pStyle w:val="Heading3"/>
      </w:pPr>
      <w:r>
        <w:rPr>
          <w:rFonts w:ascii="Times New Roman" w:hAnsi="Times New Roman"/>
          <w:color w:val="000000"/>
        </w:rPr>
        <w:t>3.6.2 Count Outcomes: Modification Intensity and Competition Intensity</w:t>
      </w:r>
    </w:p>
    <w:p>
      <w:pPr>
        <w:ind w:firstLine="720"/>
      </w:pPr>
      <w:r>
        <w:t>For count outcomes — the number of modifications and the number of offers received — the primary specification is the negative binomial regression model (Cameron &amp; Trivedi, 2005):</w:t>
      </w:r>
    </w:p>
    <w:p>
      <w:pPr>
        <w:ind w:firstLine="720"/>
      </w:pPr>
      <w:r>
        <w:t>$$\ln(E[\text{Count}_i | \mathbf{X}_i]) = \beta_0 + \beta_1 \text{Tradeoff}_i + \beta_2 \ln(\text{Award}_i) + \beta_3 \text{Contract Type}_i + \beta_4 \text{IDV}_i + \beta_5 \text{Set-Aside}_i + \alpha_{\text{agency}} + \delta_{\text{year}}$$</w:t>
      </w:r>
    </w:p>
    <w:p>
      <w:pPr>
        <w:ind w:firstLine="720"/>
      </w:pPr>
      <w:r>
        <w:t>The negative binomial model is preferred over Poisson regression when the data exhibit overdispersion (the conditional variance exceeds the conditional mean). Overdispersion is common in count data and, if present, leads to understated standard errors and inflated significance levels under the Poisson model. The degree of overdispersion is assessed using the likelihood ratio test of $\alpha = 0$ in the negative binomial model, where $\alpha$ is the overdispersion parameter.</w:t>
      </w:r>
    </w:p>
    <w:p>
      <w:pPr>
        <w:ind w:firstLine="720"/>
      </w:pPr>
      <w:r>
        <w:t xml:space="preserve">For the modification count model, an </w:t>
      </w:r>
      <w:r>
        <w:rPr>
          <w:b/>
        </w:rPr>
        <w:t>exposure offset</w:t>
      </w:r>
      <w:r>
        <w:t xml:space="preserve"> for contract duration (measured in months) is included:</w:t>
      </w:r>
    </w:p>
    <w:p>
      <w:pPr>
        <w:ind w:firstLine="720"/>
      </w:pPr>
      <w:r>
        <w:t>$$\ln(E[\text{Mods}_i | \mathbf{X}_i]) = \ln(\text{Duration}_i) + \beta_0 + \beta_1 \text{Tradeoff}_i + \cdots$$</w:t>
      </w:r>
    </w:p>
    <w:p>
      <w:pPr>
        <w:ind w:firstLine="720"/>
      </w:pPr>
      <w:r>
        <w:t xml:space="preserve">The offset constrains the coefficient on log(duration) to 1, effectively modeling the modification </w:t>
      </w:r>
      <w:r>
        <w:rPr>
          <w:i/>
        </w:rPr>
        <w:t>rate</w:t>
      </w:r>
      <w:r>
        <w:t xml:space="preserve"> (modifications per month) rather than the raw count. This accounts for the mechanical relationship between contract length and modification accumulation.</w:t>
      </w:r>
    </w:p>
    <w:p>
      <w:pPr>
        <w:ind w:firstLine="720"/>
      </w:pPr>
      <w:r>
        <w:t>Coefficients in the negative binomial model are interpreted as log rate ratios. Exponentiated coefficients, $\exp(\beta_1)$, represent the incidence rate ratio (IRR) — the multiplicative factor by which the expected count differs for tradeoff relative to LPTA awards. An IRR of 0.85 would indicate that tradeoff awards have 15% fewer modifications (or offers) on average.</w:t>
      </w:r>
    </w:p>
    <w:p>
      <w:pPr>
        <w:pStyle w:val="Heading3"/>
      </w:pPr>
      <w:r>
        <w:rPr>
          <w:rFonts w:ascii="Times New Roman" w:hAnsi="Times New Roman"/>
          <w:color w:val="000000"/>
        </w:rPr>
        <w:t>3.6.3 Binary Outcome: Single-Bid Indicator</w:t>
      </w:r>
    </w:p>
    <w:p>
      <w:pPr>
        <w:ind w:firstLine="720"/>
      </w:pPr>
      <w:r>
        <w:t>For the binary single-bid outcome, the primary specification is logistic regression:</w:t>
      </w:r>
    </w:p>
    <w:p>
      <w:pPr>
        <w:ind w:firstLine="720"/>
      </w:pPr>
      <w:r>
        <w:t>$$\text{logit}[P(\text{Single-Bid}_i = 1)] = \beta_0 + \beta_1 \text{Tradeoff}_i + \beta_2 \ln(\text{Award}_i) + \beta_3 \text{Contract Type}_i + \beta_4 \text{IDV}_i + \beta_5 \text{Set-Aside}_i + \alpha_{\text{agency}} + \delta_{\text{year}}$$</w:t>
      </w:r>
    </w:p>
    <w:p>
      <w:pPr>
        <w:ind w:firstLine="720"/>
      </w:pPr>
      <w:r>
        <w:t>The exponentiated coefficient $\exp(\beta_1)$ is the odds ratio for a single-bid outcome comparing tradeoff to LPTA awards. For rare events (if single-bid outcomes occur in fewer than 10% of observations), the odds ratio approximates the relative risk. Average marginal effects are reported alongside odds ratios to provide interpretable estimates of the absolute difference in single-bid probability.</w:t>
      </w:r>
    </w:p>
    <w:p>
      <w:pPr>
        <w:ind w:firstLine="720"/>
      </w:pPr>
      <w:r>
        <w:t>A potential concern with logistic regression and fixed effects is the incidental parameters problem: in panels with many fixed effects and few observations per group, maximum likelihood estimates of the fixed effects are inconsistent, which can bias the coefficients of interest (Neyman &amp; Scott, 1948). This concern is mitigated in the present study by the large number of observations per agency-year cell. Nevertheless, conditional logistic regression (which conditions out the fixed effects) is estimated as a robustness check for specifications with fine-grained fixed effects.</w:t>
      </w:r>
    </w:p>
    <w:p>
      <w:pPr>
        <w:pStyle w:val="Heading3"/>
      </w:pPr>
      <w:r>
        <w:rPr>
          <w:rFonts w:ascii="Times New Roman" w:hAnsi="Times New Roman"/>
          <w:color w:val="000000"/>
        </w:rPr>
        <w:t>3.6.4 Power Analysis</w:t>
      </w:r>
    </w:p>
    <w:p>
      <w:pPr>
        <w:ind w:firstLine="720"/>
      </w:pPr>
      <w:r>
        <w:t>A formal power analysis is conducted to determine the minimum detectable effect size given the expected sample size, the significance level ($\alpha = 0.05$), and the desired power ($1 - \beta = 0.80$). For the OLS model with cost growth as the dependent variable, the minimum detectable effect size depends on the residual variance after absorbing fixed effects and controls, the proportion of observations in the treatment group, and the sample size.</w:t>
      </w:r>
    </w:p>
    <w:p>
      <w:pPr>
        <w:ind w:firstLine="720"/>
      </w:pPr>
      <w:r>
        <w:t>With an expected sample of 80,000 to 150,000 observations and assuming (conservatively) that 40% of the sample uses tradeoff and 60% uses LPTA, the study has power to detect differences in cost growth on the order of 1 to 2 percentage points — well below the economically meaningful threshold of 5 percentage points that would be relevant for policy purposes. For count models and logistic regression, the corresponding minimum detectable effects are even smaller due to the efficiency gains from modeling the appropriate distributional family.</w:t>
      </w:r>
    </w:p>
    <w:p>
      <w:pPr>
        <w:pStyle w:val="Heading3"/>
      </w:pPr>
      <w:r>
        <w:rPr>
          <w:rFonts w:ascii="Times New Roman" w:hAnsi="Times New Roman"/>
          <w:color w:val="000000"/>
        </w:rPr>
        <w:t>3.6.5 Multi-Level Models</w:t>
      </w:r>
    </w:p>
    <w:p>
      <w:pPr>
        <w:ind w:firstLine="720"/>
      </w:pPr>
      <w:r>
        <w:t>An alternative modeling framework considers the hierarchical structure of the data: contracts are nested within agencies and within NAICS categories. Multi-level (hierarchical linear) models with random intercepts capture this nesting explicitly (Raudenbush &amp; Bryk, 2002):</w:t>
      </w:r>
    </w:p>
    <w:p>
      <w:pPr>
        <w:ind w:firstLine="720"/>
      </w:pPr>
      <w:r>
        <w:rPr>
          <w:b/>
        </w:rPr>
        <w:t>Level 1 (Contract):</w:t>
      </w:r>
      <w:r>
        <w:t xml:space="preserve"> $$Y_{ij} = \beta_{0j} + \beta_1 \text{Tradeoff}_{ij} + \gamma \mathbf{X}_{ij} + \varepsilon_{ij}$$</w:t>
      </w:r>
    </w:p>
    <w:p>
      <w:pPr>
        <w:ind w:firstLine="720"/>
      </w:pPr>
      <w:r>
        <w:rPr>
          <w:b/>
        </w:rPr>
        <w:t>Level 2 (Agency):</w:t>
      </w:r>
      <w:r>
        <w:t xml:space="preserve"> $$\beta_{0j} = \gamma_{00} + u_{0j}$$</w:t>
      </w:r>
    </w:p>
    <w:p>
      <w:pPr>
        <w:ind w:firstLine="720"/>
      </w:pPr>
      <w:r>
        <w:t>where $j$ indexes agencies, $u_{0j} \sim N(0, \tau^2)$ is the random agency intercept, and $\varepsilon_{ij} \sim N(0, \sigma^2)$ is the residual. The random intercept allows each agency to have its own baseline outcome level, decomposing the total variance into between-agency and within-agency components.</w:t>
      </w:r>
    </w:p>
    <w:p>
      <w:pPr>
        <w:ind w:firstLine="720"/>
      </w:pPr>
      <w:r>
        <w:t>Cross-classified models extend this framework to accommodate the fact that contracts are nested within both agencies and NAICS categories, which are not hierarchically related. The cross-classified random effects model (Raudenbush &amp; Bryk, 2002) allows random intercepts for both agency and NAICS:</w:t>
      </w:r>
    </w:p>
    <w:p>
      <w:pPr>
        <w:ind w:firstLine="720"/>
      </w:pPr>
      <w:r>
        <w:t>$$Y_{ijk} = \gamma_{000} + \beta_1 \text{Tradeoff}_{ijk} + \gamma \mathbf{X}_{ijk} + u_{0j} + v_{0k} + \varepsilon_{ijk}$$</w:t>
      </w:r>
    </w:p>
    <w:p>
      <w:pPr>
        <w:ind w:firstLine="720"/>
      </w:pPr>
      <w:r>
        <w:t>where $j$ indexes agencies, $k$ indexes NAICS categories, and $u_{0j}$ and $v_{0k}$ are the random intercepts. Cross-level interactions between source selection method and agency-level variables (e.g., agency procurement volume) or NAICS-level variables (e.g., average complexity) test whether the treatment effect varies systematically across clusters.</w:t>
      </w:r>
    </w:p>
    <w:p>
      <w:pPr>
        <w:ind w:firstLine="720"/>
      </w:pPr>
      <w:r>
        <w:t>The multi-level approach is complementary to the fixed effects approach. Fixed effects provide the most robust control for unobserved cluster heterogeneity but do not allow estimation of cluster-level predictors (since they are absorbed by the fixed effects). Multi-level models allow estimation of cross-level interactions and variance decomposition but impose distributional assumptions on the random effects. Results are compared across both frameworks; convergence strengthens confidence in the findings.</w:t>
      </w:r>
    </w:p>
    <w:p>
      <w:pPr>
        <w:pStyle w:val="Heading2"/>
      </w:pPr>
      <w:r>
        <w:rPr>
          <w:rFonts w:ascii="Times New Roman" w:hAnsi="Times New Roman"/>
          <w:color w:val="000000"/>
        </w:rPr>
        <w:t>3.7 Moderation and Mediation Tests</w:t>
      </w:r>
    </w:p>
    <w:p>
      <w:pPr>
        <w:pStyle w:val="Heading3"/>
      </w:pPr>
      <w:r>
        <w:rPr>
          <w:rFonts w:ascii="Times New Roman" w:hAnsi="Times New Roman"/>
          <w:color w:val="000000"/>
        </w:rPr>
        <w:t>3.7.1 Moderation Analysis</w:t>
      </w:r>
    </w:p>
    <w:p>
      <w:pPr>
        <w:ind w:firstLine="720"/>
      </w:pPr>
      <w:r>
        <w:t>The moderation hypotheses test whether the relationship between source selection method and procurement outcomes varies by procurement complexity. The theoretical expectation, developed in Chapter 2, is that the advantage of tradeoff over LPTA (if any) is larger for more complex procurements, where quality differentiation among offerors is greater and the consequences of selecting a low-quality provider are more severe.</w:t>
      </w:r>
    </w:p>
    <w:p>
      <w:pPr>
        <w:ind w:firstLine="720"/>
      </w:pPr>
      <w:r>
        <w:t>Moderation is tested by including interaction terms between the tradeoff indicator and the complexity proxies:</w:t>
      </w:r>
    </w:p>
    <w:p>
      <w:pPr>
        <w:ind w:firstLine="720"/>
      </w:pPr>
      <w:r>
        <w:rPr>
          <w:b/>
        </w:rPr>
        <w:t>IT Services Interaction:</w:t>
      </w:r>
      <w:r>
        <w:t xml:space="preserve"> $$\text{Cost Growth}_i = \beta_0 + \beta_1 \text{Tradeoff}_i + \beta_2 \text{IT}_i + \beta_3 (\text{Tradeoff}_i \times \text{IT}_i) + \gamma \mathbf{X}_i + \alpha_{\text{agency}} + \delta_{\text{year}} + \varepsilon_i$$</w:t>
      </w:r>
    </w:p>
    <w:p>
      <w:pPr>
        <w:ind w:firstLine="720"/>
      </w:pPr>
      <w:r>
        <w:t xml:space="preserve">In this specification, $\beta_1$ captures the average tradeoff effect for non-IT contracts (the reference category), $\beta_2$ captures the baseline difference between IT and non-IT contracts among LPTA awards, and $\beta_3$ captures the </w:t>
      </w:r>
      <w:r>
        <w:rPr>
          <w:i/>
        </w:rPr>
        <w:t>differential</w:t>
      </w:r>
      <w:r>
        <w:t xml:space="preserve"> tradeoff effect for IT contracts. A significant negative $\beta_3$ would indicate that the tradeoff advantage in reducing cost growth is </w:t>
      </w:r>
      <w:r>
        <w:rPr>
          <w:i/>
        </w:rPr>
        <w:t>larger</w:t>
      </w:r>
      <w:r>
        <w:t xml:space="preserve"> for IT contracts, consistent with the moderation hypothesis.</w:t>
      </w:r>
    </w:p>
    <w:p>
      <w:pPr>
        <w:ind w:firstLine="720"/>
      </w:pPr>
      <w:r>
        <w:t>Analogous interaction models are estimated for each dependent variable and each complexity proxy:</w:t>
      </w:r>
    </w:p>
    <w:p>
      <w:pPr>
        <w:pStyle w:val="ListBullet"/>
      </w:pPr>
      <w:r>
        <w:t>Tradeoff $\times$ NAICS Sector (four categories)</w:t>
      </w:r>
    </w:p>
    <w:p>
      <w:pPr>
        <w:pStyle w:val="ListBullet"/>
      </w:pPr>
      <w:r>
        <w:t>Tradeoff $\times$ Contract Type (FFP vs. cost-type vs. T&amp;M)</w:t>
      </w:r>
    </w:p>
    <w:p>
      <w:pPr>
        <w:pStyle w:val="ListBullet"/>
      </w:pPr>
      <w:r>
        <w:t>Tradeoff $\times$ IDV indicator</w:t>
      </w:r>
    </w:p>
    <w:p>
      <w:pPr>
        <w:ind w:firstLine="720"/>
      </w:pPr>
      <w:r>
        <w:t>For categorical moderators with more than two levels, the interaction generates multiple coefficients. Joint significance is assessed using the Wald test of the null hypothesis that all interaction terms are simultaneously zero. Marginal effects plots are constructed to visualize the estimated treatment effect at each level of the moderator, with 95% confidence intervals. These plots facilitate interpretation by showing how the predicted difference between tradeoff and LPTA varies across the complexity spectrum, holding other variables at their means.</w:t>
      </w:r>
    </w:p>
    <w:p>
      <w:pPr>
        <w:ind w:firstLine="720"/>
      </w:pPr>
      <w:r>
        <w:t>To guard against multiple testing concerns, the study reports both unadjusted $p$-values and $p$-values adjusted for the family-wise error rate using the Benjamini-Hochberg procedure (Benjamini &amp; Hochberg, 1995). This procedure controls the false discovery rate (FDR) at 5%, balancing the risk of Type I errors against the loss of power associated with more conservative corrections (e.g., Bonferroni).</w:t>
      </w:r>
    </w:p>
    <w:p>
      <w:pPr>
        <w:pStyle w:val="Heading3"/>
      </w:pPr>
      <w:r>
        <w:rPr>
          <w:rFonts w:ascii="Times New Roman" w:hAnsi="Times New Roman"/>
          <w:color w:val="000000"/>
        </w:rPr>
        <w:t>3.7.2 Mediation Analysis (Exploratory)</w:t>
      </w:r>
    </w:p>
    <w:p>
      <w:pPr>
        <w:ind w:firstLine="720"/>
      </w:pPr>
      <w:r>
        <w:t>The study includes an exploratory mediation analysis examining whether competition intensity (number of offers received) mediates the relationship between source selection method and cost outcomes. The theoretical logic is that tradeoff source selection may attract a different competitive field (in terms of number or quality of offerors), and the characteristics of this competitive field may in turn influence cost growth and modification patterns.</w:t>
      </w:r>
    </w:p>
    <w:p>
      <w:pPr>
        <w:ind w:firstLine="720"/>
      </w:pPr>
      <w:r>
        <w:t>The mediation framework follows the four-step approach of Baron and Kenny (1986), supplemented by modern bootstrap-based inference:</w:t>
      </w:r>
    </w:p>
    <w:p>
      <w:pPr>
        <w:ind w:firstLine="720"/>
      </w:pPr>
      <w:r>
        <w:rPr>
          <w:b/>
        </w:rPr>
        <w:t>Step 1:</w:t>
      </w:r>
      <w:r>
        <w:t xml:space="preserve"> Establish the total effect of tradeoff on cost growth (the "c path"): $$\text{Cost Growth}_i = c_0 + c_1 \text{Tradeoff}_i + \gamma_1 \mathbf{X}_i + \varepsilon_{1i}$$</w:t>
      </w:r>
    </w:p>
    <w:p>
      <w:pPr>
        <w:ind w:firstLine="720"/>
      </w:pPr>
      <w:r>
        <w:rPr>
          <w:b/>
        </w:rPr>
        <w:t>Step 2:</w:t>
      </w:r>
      <w:r>
        <w:t xml:space="preserve"> Establish the effect of tradeoff on the mediator (the "a path"): $$\text{Offers Received}_i = a_0 + a_1 \text{Tradeoff}_i + \gamma_2 \mathbf{X}_i + \varepsilon_{2i}$$</w:t>
      </w:r>
    </w:p>
    <w:p>
      <w:pPr>
        <w:ind w:firstLine="720"/>
      </w:pPr>
      <w:r>
        <w:rPr>
          <w:b/>
        </w:rPr>
        <w:t>Step 3:</w:t>
      </w:r>
      <w:r>
        <w:t xml:space="preserve"> Establish the effect of the mediator on cost growth, controlling for tradeoff (the "b path"): $$\text{Cost Growth}_i = c_0' + c_1' \text{Tradeoff}_i + b_1 \text{Offers Received}_i + \gamma_3 \mathbf{X}_i + \varepsilon_{3i}$$</w:t>
      </w:r>
    </w:p>
    <w:p>
      <w:pPr>
        <w:ind w:firstLine="720"/>
      </w:pPr>
      <w:r>
        <w:rPr>
          <w:b/>
        </w:rPr>
        <w:t>Step 4:</w:t>
      </w:r>
      <w:r>
        <w:t xml:space="preserve"> Assess whether the indirect effect ($a_1 \times b_1$) is statistically significant using nonparametric bootstrap confidence intervals (Preacher &amp; Hayes, 2008). If the 95% bootstrap confidence interval for the indirect effect excludes zero, mediation is supported.</w:t>
      </w:r>
    </w:p>
    <w:p>
      <w:pPr>
        <w:ind w:firstLine="720"/>
      </w:pPr>
      <w:r>
        <w:t xml:space="preserve">An important caveat applies to this analysis. In observational data, mediation analysis requires strong assumptions: the mediator must not be confounded with the outcome conditional on the treatment and covariates (the "sequential ignorability" assumption; Imai et al., 2010). Because both competition intensity and cost growth are endogenous to the procurement process, this assumption is difficult to defend. The mediation analysis is therefore designated as </w:t>
      </w:r>
      <w:r>
        <w:rPr>
          <w:b/>
        </w:rPr>
        <w:t>exploratory</w:t>
      </w:r>
      <w:r>
        <w:t xml:space="preserve"> and is interpreted with caution. Significant indirect effects are discussed as suggestive of potential mechanisms rather than definitive causal pathways. Sensitivity analysis for unmeasured mediator-outcome confounding is conducted following the methods of Imai et al. (2010), which quantify the degree of confounding that would be needed to explain away the indirect effect.</w:t>
      </w:r>
    </w:p>
    <w:p>
      <w:pPr>
        <w:pStyle w:val="Heading2"/>
      </w:pPr>
      <w:r>
        <w:rPr>
          <w:rFonts w:ascii="Times New Roman" w:hAnsi="Times New Roman"/>
          <w:color w:val="000000"/>
        </w:rPr>
        <w:t>3.8 Robustness and Sensitivity Analyses</w:t>
      </w:r>
    </w:p>
    <w:p>
      <w:pPr>
        <w:ind w:firstLine="720"/>
      </w:pPr>
      <w:r>
        <w:t>The credibility of empirical findings in observational research depends on their robustness to alternative methodological choices. This section describes a comprehensive battery of robustness checks designed to assess the sensitivity of the primary results to key analytic decisions.</w:t>
      </w:r>
    </w:p>
    <w:p>
      <w:pPr>
        <w:pStyle w:val="Heading3"/>
      </w:pPr>
      <w:r>
        <w:rPr>
          <w:rFonts w:ascii="Times New Roman" w:hAnsi="Times New Roman"/>
          <w:color w:val="000000"/>
        </w:rPr>
        <w:t>3.8.1 Alternative Variable Operationalizations</w:t>
      </w:r>
    </w:p>
    <w:p>
      <w:pPr>
        <w:ind w:firstLine="720"/>
      </w:pPr>
      <w:r>
        <w:rPr>
          <w:b/>
        </w:rPr>
        <w:t>Cost growth operationalization.</w:t>
      </w:r>
      <w:r>
        <w:t xml:space="preserve"> The primary measure uses </w:t>
      </w:r>
      <w:r>
        <w:rPr>
          <w:rFonts w:ascii="Courier New" w:hAnsi="Courier New"/>
          <w:sz w:val="20"/>
        </w:rPr>
        <w:t>base_and_all_options_value</w:t>
      </w:r>
      <w:r>
        <w:t xml:space="preserve"> as the numerator and </w:t>
      </w:r>
      <w:r>
        <w:rPr>
          <w:rFonts w:ascii="Courier New" w:hAnsi="Courier New"/>
          <w:sz w:val="20"/>
        </w:rPr>
        <w:t>base_exercised_options_value</w:t>
      </w:r>
      <w:r>
        <w:t xml:space="preserve"> as the denominator. Alternative specifications include: (a) using </w:t>
      </w:r>
      <w:r>
        <w:rPr>
          <w:rFonts w:ascii="Courier New" w:hAnsi="Courier New"/>
          <w:sz w:val="20"/>
        </w:rPr>
        <w:t>total_dollars_obligated</w:t>
      </w:r>
      <w:r>
        <w:t xml:space="preserve"> instead of </w:t>
      </w:r>
      <w:r>
        <w:rPr>
          <w:rFonts w:ascii="Courier New" w:hAnsi="Courier New"/>
          <w:sz w:val="20"/>
        </w:rPr>
        <w:t>base_and_all_options_value</w:t>
      </w:r>
      <w:r>
        <w:t xml:space="preserve"> as the numerator (reflecting actual disbursements rather than the total contract ceiling); (b) computing cost growth relative to the </w:t>
      </w:r>
      <w:r>
        <w:rPr>
          <w:rFonts w:ascii="Courier New" w:hAnsi="Courier New"/>
          <w:sz w:val="20"/>
        </w:rPr>
        <w:t>base_and_all_options_value</w:t>
      </w:r>
      <w:r>
        <w:t xml:space="preserve"> at the time of initial award (reflecting the total estimated contract value including unexercised options); and (c) a binary operationalization (1 if cost growth exceeds a threshold, such as 10% or 20%, and 0 otherwise), estimated by logistic regression.</w:t>
      </w:r>
    </w:p>
    <w:p>
      <w:pPr>
        <w:ind w:firstLine="720"/>
      </w:pPr>
      <w:r>
        <w:rPr>
          <w:b/>
        </w:rPr>
        <w:t>Competition intensity operationalization.</w:t>
      </w:r>
      <w:r>
        <w:t xml:space="preserve"> The primary measure uses the raw count of offers received. Alternative specifications include: (a) a log-transformed count, $\ln(\text{Offers} + 1)$, estimated by OLS; (b) a categorical variable (1 offer, 2–3 offers, 4–5 offers, 6+ offers) estimated by ordered logit; and (c) a binary "robust competition" indicator (1 if three or more offers received, 0 otherwise).</w:t>
      </w:r>
    </w:p>
    <w:p>
      <w:pPr>
        <w:pStyle w:val="Heading3"/>
      </w:pPr>
      <w:r>
        <w:rPr>
          <w:rFonts w:ascii="Times New Roman" w:hAnsi="Times New Roman"/>
          <w:color w:val="000000"/>
        </w:rPr>
        <w:t>3.8.2 Outlier Treatment</w:t>
      </w:r>
    </w:p>
    <w:p>
      <w:pPr>
        <w:ind w:firstLine="720"/>
      </w:pPr>
      <w:r>
        <w:rPr>
          <w:b/>
        </w:rPr>
        <w:t>Winsorization thresholds.</w:t>
      </w:r>
      <w:r>
        <w:t xml:space="preserve"> The primary analysis winsorizes cost growth at the 1st and 99th percentiles. Sensitivity analyses examine winsorization at the 5th/95th percentile (more aggressive) and the 0.5th/99.5th percentile (less aggressive). Additionally, the analysis is re-estimated after </w:t>
      </w:r>
      <w:r>
        <w:rPr>
          <w:b/>
        </w:rPr>
        <w:t>trimming</w:t>
      </w:r>
      <w:r>
        <w:t xml:space="preserve"> — dropping rather than capping — observations in the extreme tails. Comparison of results across winsorization and trimming thresholds assesses whether findings are driven by extreme values.</w:t>
      </w:r>
    </w:p>
    <w:p>
      <w:pPr>
        <w:ind w:firstLine="720"/>
      </w:pPr>
      <w:r>
        <w:rPr>
          <w:b/>
        </w:rPr>
        <w:t>High-leverage observations.</w:t>
      </w:r>
      <w:r>
        <w:t xml:space="preserve"> Cook's distance and DFBETAS diagnostics identify observations with disproportionate influence on the estimated coefficients. The primary models are re-estimated after excluding observations with Cook's distance exceeding the conventional threshold of $4/n$. If the results are qualitatively unchanged, this provides evidence that the findings are not driven by a small number of atypical contracts.</w:t>
      </w:r>
    </w:p>
    <w:p>
      <w:pPr>
        <w:pStyle w:val="Heading3"/>
      </w:pPr>
      <w:r>
        <w:rPr>
          <w:rFonts w:ascii="Times New Roman" w:hAnsi="Times New Roman"/>
          <w:color w:val="000000"/>
        </w:rPr>
        <w:t>3.8.3 Placebo Tests</w:t>
      </w:r>
    </w:p>
    <w:p>
      <w:pPr>
        <w:ind w:firstLine="720"/>
      </w:pPr>
      <w:r>
        <w:t>Placebo tests assess the internal validity of the identification strategy by applying the same models to settings where no treatment effect is expected. Two placebo tests are designed:</w:t>
      </w:r>
    </w:p>
    <w:p>
      <w:pPr>
        <w:pStyle w:val="ListNumber"/>
      </w:pPr>
      <w:r>
        <w:rPr>
          <w:b/>
        </w:rPr>
        <w:t>Commodity supply contracts.</w:t>
      </w:r>
      <w:r>
        <w:t xml:space="preserve"> For standardized commodity procurements (e.g., NAICS codes in manufacturing sectors), the theoretical argument for tradeoff superiority is weak: products are homogeneous, and LPTA is normatively appropriate. If the primary models are estimated on commodity contracts and yield a significant "tradeoff effect," this would suggest that the main results may reflect confounding rather than a genuine treatment effect.</w:t>
      </w:r>
    </w:p>
    <w:p>
      <w:pPr>
        <w:pStyle w:val="ListNumber"/>
      </w:pPr>
      <w:r>
        <w:rPr>
          <w:b/>
        </w:rPr>
        <w:t>Pre-treatment period (DiD specification).</w:t>
      </w:r>
      <w:r>
        <w:t xml:space="preserve"> In the DiD framework, applying the treatment indicator to a period before the policy shock should produce a null effect. A significant pre-treatment "effect" would indicate a violation of the parallel trends assumption.</w:t>
      </w:r>
    </w:p>
    <w:p>
      <w:pPr>
        <w:pStyle w:val="Heading3"/>
      </w:pPr>
      <w:r>
        <w:rPr>
          <w:rFonts w:ascii="Times New Roman" w:hAnsi="Times New Roman"/>
          <w:color w:val="000000"/>
        </w:rPr>
        <w:t>3.8.4 Rosenbaum Bounds for Unobserved Confounding</w:t>
      </w:r>
    </w:p>
    <w:p>
      <w:pPr>
        <w:ind w:firstLine="720"/>
      </w:pPr>
      <w:r>
        <w:t>As described in Section 3.5.3, Rosenbaum bounds assess the sensitivity of PSM results to potential hidden bias from unmeasured confounders. For each outcome variable, the analysis reports the critical $\Gamma$ value at which the treatment effect first becomes insignificant at the 5% level. The critical $\Gamma$ is interpreted in context: a $\Gamma$ of 2.0, for example, means that an unobserved confounder would need to double the odds of tradeoff assignment (relative to a comparable LPTA contract) to explain away the observed treatment effect.</w:t>
      </w:r>
    </w:p>
    <w:p>
      <w:pPr>
        <w:pStyle w:val="Heading3"/>
      </w:pPr>
      <w:r>
        <w:rPr>
          <w:rFonts w:ascii="Times New Roman" w:hAnsi="Times New Roman"/>
          <w:color w:val="000000"/>
        </w:rPr>
        <w:t>3.8.5 Subsample Replication</w:t>
      </w:r>
    </w:p>
    <w:p>
      <w:pPr>
        <w:ind w:firstLine="720"/>
      </w:pPr>
      <w:r>
        <w:t>The primary results are replicated on theoretically motivated subsamples to assess generalizability and stability:</w:t>
      </w:r>
    </w:p>
    <w:p>
      <w:pPr>
        <w:pStyle w:val="ListBullet"/>
      </w:pPr>
      <w:r>
        <w:rPr>
          <w:b/>
        </w:rPr>
        <w:t>DoD vs. civilian agencies:</w:t>
      </w:r>
      <w:r>
        <w:t xml:space="preserve"> The Department of Defense accounts for the largest share of federal procurement spending and has its own acquisition regulations (the Defense FAR Supplement). Separate estimation for DoD and civilian agencies tests whether the source selection effect differs by procurement regime.</w:t>
      </w:r>
    </w:p>
    <w:p>
      <w:pPr>
        <w:pStyle w:val="ListBullet"/>
      </w:pPr>
      <w:r>
        <w:rPr>
          <w:b/>
        </w:rPr>
        <w:t>IT services vs. consulting services:</w:t>
      </w:r>
      <w:r>
        <w:t xml:space="preserve"> The two largest NAICS sectors in the sample may exhibit different competitive dynamics and quality differentiation. Separate estimation tests whether the results are driven by a single sector.</w:t>
      </w:r>
    </w:p>
    <w:p>
      <w:pPr>
        <w:pStyle w:val="ListBullet"/>
      </w:pPr>
      <w:r>
        <w:rPr>
          <w:b/>
        </w:rPr>
        <w:t>Large vs. small contracts:</w:t>
      </w:r>
      <w:r>
        <w:t xml:space="preserve"> Contracts above and below the median award amount may operate in different market environments. Separate estimation tests stability across contract size.</w:t>
      </w:r>
    </w:p>
    <w:p>
      <w:pPr>
        <w:pStyle w:val="ListBullet"/>
      </w:pPr>
      <w:r>
        <w:rPr>
          <w:b/>
        </w:rPr>
        <w:t>Early vs. late fiscal years:</w:t>
      </w:r>
      <w:r>
        <w:t xml:space="preserve"> Reporting quality for the </w:t>
      </w:r>
      <w:r>
        <w:rPr>
          <w:rFonts w:ascii="Courier New" w:hAnsi="Courier New"/>
          <w:sz w:val="20"/>
        </w:rPr>
        <w:t>source_selection_process</w:t>
      </w:r>
      <w:r>
        <w:t xml:space="preserve"> field has likely improved over time as agencies gained experience with the new data element. Separate estimation for FY2020–FY2022 and FY2023–FY2025 tests whether results are sensitive to data quality improvements.</w:t>
      </w:r>
    </w:p>
    <w:p>
      <w:pPr>
        <w:pStyle w:val="Heading3"/>
      </w:pPr>
      <w:r>
        <w:rPr>
          <w:rFonts w:ascii="Times New Roman" w:hAnsi="Times New Roman"/>
          <w:color w:val="000000"/>
        </w:rPr>
        <w:t>3.8.6 Comparison of Estimation Strategies</w:t>
      </w:r>
    </w:p>
    <w:p>
      <w:pPr>
        <w:ind w:firstLine="720"/>
      </w:pPr>
      <w:r>
        <w:t>The study explicitly compares results across the three identification strategies: (a) full-sample regression with fixed effects, (b) PSM-matched sample, and (c) DiD estimation. Convergence of estimates across strategies — in terms of sign, magnitude, and statistical significance — provides the strongest evidence for the robustness of the findings. Divergence motivates investigation into the sources of difference (e.g., whether DiD estimates differ because the DiD sample is restricted to specific agencies or categories) and tempers the strength of causal claims.</w:t>
      </w:r>
    </w:p>
    <w:p>
      <w:pPr>
        <w:pStyle w:val="Heading2"/>
      </w:pPr>
      <w:r>
        <w:rPr>
          <w:rFonts w:ascii="Times New Roman" w:hAnsi="Times New Roman"/>
          <w:color w:val="000000"/>
        </w:rPr>
        <w:t>3.9 Ethics, Data Security, and Feasibility</w:t>
      </w:r>
    </w:p>
    <w:p>
      <w:pPr>
        <w:pStyle w:val="Heading3"/>
      </w:pPr>
      <w:r>
        <w:rPr>
          <w:rFonts w:ascii="Times New Roman" w:hAnsi="Times New Roman"/>
          <w:color w:val="000000"/>
        </w:rPr>
        <w:t>3.9.1 Ethical Considerations and IRB Status</w:t>
      </w:r>
    </w:p>
    <w:p>
      <w:pPr>
        <w:ind w:firstLine="720"/>
      </w:pPr>
      <w:r>
        <w:t>All data used in Phase 1 of this study are publicly available government records. USAspending.gov data are published under the transparency mandates of FFATA and the DATA Act and are accessible to any member of the public without restriction. GAO bid protest reports are published documents available on GAO's public website. No data in the Phase 1 analysis are derived from human subjects, and no interactions with or observations of individuals are involved. The unit of analysis is the contract award, not the contracting officer, contractor employee, or any other individual.</w:t>
      </w:r>
    </w:p>
    <w:p>
      <w:pPr>
        <w:ind w:firstLine="720"/>
      </w:pPr>
      <w:r>
        <w:t>Accordingly, Phase 1 does not require Institutional Review Board (IRB) approval under the Common Rule (45 CFR 46), which defines human subjects research as research involving living individuals about whom an investigator obtains (a) data through intervention or interaction with the individual, or (b) identifiable private information. Federal procurement data do not contain individually identifiable private information; contractor names and award details are matters of public record.</w:t>
      </w:r>
    </w:p>
    <w:p>
      <w:pPr>
        <w:ind w:firstLine="720"/>
      </w:pPr>
      <w:r>
        <w:t>Phase 2 of the broader research agenda — the practitioner survey and semi-structured interviews — will involve human subjects (federal contracting officers and acquisition leaders) and will require a separate IRB application to the University of Denver's IRB. Phase 2 is beyond the scope of this dissertation and will be pursued as future work upon IRB approval.</w:t>
      </w:r>
    </w:p>
    <w:p>
      <w:pPr>
        <w:pStyle w:val="Heading3"/>
      </w:pPr>
      <w:r>
        <w:rPr>
          <w:rFonts w:ascii="Times New Roman" w:hAnsi="Times New Roman"/>
          <w:color w:val="000000"/>
        </w:rPr>
        <w:t>3.9.2 Data Security</w:t>
      </w:r>
    </w:p>
    <w:p>
      <w:pPr>
        <w:ind w:firstLine="720"/>
      </w:pPr>
      <w:r>
        <w:t>Although the data are publicly available, responsible data management practices are followed. Downloaded datasets are stored on an encrypted local drive (FileVault-encrypted macOS volume) in the researcher's secure workspace. No personally identifiable information (PII) is included in the analysis dataset; while contractor names are technically available in USAspending data, they are used only for deduplication purposes during data cleaning and are not included in regression models or reported in results. Data processing and analysis scripts are maintained in a version-controlled repository to ensure reproducibility.</w:t>
      </w:r>
    </w:p>
    <w:p>
      <w:pPr>
        <w:ind w:firstLine="720"/>
      </w:pPr>
      <w:r>
        <w:t>Intermediate and final datasets, analysis scripts, and output files are organized in a structured directory:</w:t>
      </w:r>
    </w:p>
    <w:p>
      <w:pPr>
        <w:ind w:firstLine="720"/>
      </w:pPr>
      <w:r>
        <w:rPr>
          <w:rFonts w:ascii="Courier New" w:hAnsi="Courier New"/>
          <w:sz w:val="20"/>
        </w:rPr>
      </w:r>
      <w:r>
        <w:rPr>
          <w:rFonts w:ascii="Courier New" w:hAnsi="Courier New"/>
          <w:sz w:val="20"/>
        </w:rPr>
        <w:t xml:space="preserve"> phd-research/ data/ usaspending/        # Raw and processed USAspending extracts gao/                # GAO protest report data analysis/ notebooks/          # Jupyter analysis notebooks scripts/            # Python analysis scripts output/             # Regression results, tables, figures dissertation/ chapters/           # Dissertation chapter drafts </w:t>
      </w:r>
      <w:r>
        <w:rPr>
          <w:rFonts w:ascii="Courier New" w:hAnsi="Courier New"/>
          <w:sz w:val="20"/>
        </w:rPr>
      </w:r>
    </w:p>
    <w:p>
      <w:pPr>
        <w:ind w:firstLine="720"/>
      </w:pPr>
      <w:r>
        <w:t>This structure facilitates reproducibility and ensures that the analytical pipeline from raw data to published results is transparent and auditable.</w:t>
      </w:r>
    </w:p>
    <w:p>
      <w:pPr>
        <w:pStyle w:val="Heading3"/>
      </w:pPr>
      <w:r>
        <w:rPr>
          <w:rFonts w:ascii="Times New Roman" w:hAnsi="Times New Roman"/>
          <w:color w:val="000000"/>
        </w:rPr>
        <w:t>3.9.3 Feasibility</w:t>
      </w:r>
    </w:p>
    <w:p>
      <w:pPr>
        <w:ind w:firstLine="720"/>
      </w:pPr>
      <w:r>
        <w:t>The feasibility of the proposed research design is supported by several factors. First, the data infrastructure has been established and tested. The researcher has successfully accessed USAspending.gov bulk download files and the API, confirming that the required data elements are available and that the download process is reliable. A Python-based download script (</w:t>
      </w:r>
      <w:r>
        <w:rPr>
          <w:rFonts w:ascii="Courier New" w:hAnsi="Courier New"/>
          <w:sz w:val="20"/>
        </w:rPr>
        <w:t>data/usaspending/download_awards.py</w:t>
      </w:r>
      <w:r>
        <w:t>) automates the extraction of contract data by fiscal year, agency, and NAICS sector. A separate script (</w:t>
      </w:r>
      <w:r>
        <w:rPr>
          <w:rFonts w:ascii="Courier New" w:hAnsi="Courier New"/>
          <w:sz w:val="20"/>
        </w:rPr>
        <w:t>data/usaspending/download_gao_protests.py</w:t>
      </w:r>
      <w:r>
        <w:t>) collects GAO protest data.</w:t>
      </w:r>
    </w:p>
    <w:p>
      <w:pPr>
        <w:ind w:firstLine="720"/>
      </w:pPr>
      <w:r>
        <w:t xml:space="preserve">Second, the expected sample size is large enough to support the proposed statistical models with adequate power (see Section 3.6.4) but not so large as to create computational challenges beyond the capabilities of standard statistical software. The analysis is conducted in Python using the </w:t>
      </w:r>
      <w:r>
        <w:rPr>
          <w:rFonts w:ascii="Courier New" w:hAnsi="Courier New"/>
          <w:sz w:val="20"/>
        </w:rPr>
        <w:t>statsmodels</w:t>
      </w:r>
      <w:r>
        <w:t xml:space="preserve">, </w:t>
      </w:r>
      <w:r>
        <w:rPr>
          <w:rFonts w:ascii="Courier New" w:hAnsi="Courier New"/>
          <w:sz w:val="20"/>
        </w:rPr>
        <w:t>linearmodels</w:t>
      </w:r>
      <w:r>
        <w:t xml:space="preserve">, and </w:t>
      </w:r>
      <w:r>
        <w:rPr>
          <w:rFonts w:ascii="Courier New" w:hAnsi="Courier New"/>
          <w:sz w:val="20"/>
        </w:rPr>
        <w:t>scikit-learn</w:t>
      </w:r>
      <w:r>
        <w:t xml:space="preserve"> libraries for regression and matching, and </w:t>
      </w:r>
      <w:r>
        <w:rPr>
          <w:rFonts w:ascii="Courier New" w:hAnsi="Courier New"/>
          <w:sz w:val="20"/>
        </w:rPr>
        <w:t>pandas</w:t>
      </w:r>
      <w:r>
        <w:t xml:space="preserve"> and </w:t>
      </w:r>
      <w:r>
        <w:rPr>
          <w:rFonts w:ascii="Courier New" w:hAnsi="Courier New"/>
          <w:sz w:val="20"/>
        </w:rPr>
        <w:t>numpy</w:t>
      </w:r>
      <w:r>
        <w:t xml:space="preserve"> for data manipulation. Jupyter notebooks provide the interactive analysis environment.</w:t>
      </w:r>
    </w:p>
    <w:p>
      <w:pPr>
        <w:ind w:firstLine="720"/>
      </w:pPr>
      <w:r>
        <w:t xml:space="preserve">Third, the temporal window (FY2020–FY2025) is now sufficiently mature that the data include multiple years of stabilized reporting, reducing concerns about data quality in the earliest years of the </w:t>
      </w:r>
      <w:r>
        <w:rPr>
          <w:rFonts w:ascii="Courier New" w:hAnsi="Courier New"/>
          <w:sz w:val="20"/>
        </w:rPr>
        <w:t>source_selection_process</w:t>
      </w:r>
      <w:r>
        <w:t xml:space="preserve"> field.</w:t>
      </w:r>
    </w:p>
    <w:p>
      <w:pPr>
        <w:ind w:firstLine="720"/>
      </w:pPr>
      <w:r>
        <w:t>Fourth, the researcher's professional background in federal procurement provides domain expertise that informs the interpretation of data patterns, the selection of appropriate control variables, and the assessment of data quality issues. This expertise is complemented by the methodological training provided by the Daniels College of Business Executive PhD program.</w:t>
      </w:r>
    </w:p>
    <w:p>
      <w:pPr>
        <w:pStyle w:val="Heading2"/>
      </w:pPr>
      <w:r>
        <w:rPr>
          <w:rFonts w:ascii="Times New Roman" w:hAnsi="Times New Roman"/>
          <w:color w:val="000000"/>
        </w:rPr>
        <w:t>3.10 Limitations of the Archival Approach</w:t>
      </w:r>
    </w:p>
    <w:p>
      <w:pPr>
        <w:ind w:firstLine="720"/>
      </w:pPr>
      <w:r>
        <w:t>Every research design involves trade-offs, and the archival quantitative approach adopted in this study is no exception. This section catalogs the principal limitations and discusses how each is addressed or acknowledged.</w:t>
      </w:r>
    </w:p>
    <w:p>
      <w:pPr>
        <w:pStyle w:val="Heading3"/>
      </w:pPr>
      <w:r>
        <w:rPr>
          <w:rFonts w:ascii="Times New Roman" w:hAnsi="Times New Roman"/>
          <w:color w:val="000000"/>
        </w:rPr>
        <w:t>3.10.1 Observational Data and Causal Inference</w:t>
      </w:r>
    </w:p>
    <w:p>
      <w:pPr>
        <w:ind w:firstLine="720"/>
      </w:pPr>
      <w:r>
        <w:t>The most fundamental limitation is that the data are observational rather than experimental. The assignment of source selection method to contracts is endogenous: agencies choose LPTA or tradeoff based on factors that may independently influence outcomes. While the identification strategies described in Section 3.5 — within-category comparisons, propensity score matching, and difference-in-differences — mitigate this concern, they cannot fully eliminate it. PSM addresses selection on observables but not selection on unobservables. DiD controls for time-invariant unobserved heterogeneity but requires the parallel trends assumption. Within-category comparisons reduce confounding but cannot rule out within-category selection on contract-specific factors.</w:t>
      </w:r>
    </w:p>
    <w:p>
      <w:pPr>
        <w:ind w:firstLine="720"/>
      </w:pPr>
      <w:r>
        <w:t xml:space="preserve">The study therefore characterizes its findings as </w:t>
      </w:r>
      <w:r>
        <w:rPr>
          <w:b/>
        </w:rPr>
        <w:t>conditional associations</w:t>
      </w:r>
      <w:r>
        <w:t xml:space="preserve"> or </w:t>
      </w:r>
      <w:r>
        <w:rPr>
          <w:b/>
        </w:rPr>
        <w:t>quasi-causal estimates</w:t>
      </w:r>
      <w:r>
        <w:t xml:space="preserve"> rather than definitive causal effects. The convergence (or divergence) of results across multiple identification strategies provides a basis for assessing the plausibility of causal interpretations, but the reader should interpret the estimates with an awareness of the residual confounding risk. This limitation motivates the planned Phase 2 qualitative work, which will provide practitioner perspectives on the causal mechanisms that the quantitative analysis can only suggest.</w:t>
      </w:r>
    </w:p>
    <w:p>
      <w:pPr>
        <w:pStyle w:val="Heading3"/>
      </w:pPr>
      <w:r>
        <w:rPr>
          <w:rFonts w:ascii="Times New Roman" w:hAnsi="Times New Roman"/>
          <w:color w:val="000000"/>
        </w:rPr>
        <w:t>3.10.2 Temporal Window</w:t>
      </w:r>
    </w:p>
    <w:p>
      <w:pPr>
        <w:ind w:firstLine="720"/>
      </w:pPr>
      <w:r>
        <w:t xml:space="preserve">The </w:t>
      </w:r>
      <w:r>
        <w:rPr>
          <w:rFonts w:ascii="Courier New" w:hAnsi="Courier New"/>
          <w:sz w:val="20"/>
        </w:rPr>
        <w:t>source_selection_process</w:t>
      </w:r>
      <w:r>
        <w:t xml:space="preserve"> field was added to FPDS in 2020, limiting the available data to approximately five to six fiscal years at the time of analysis. This window is sufficient for cross-sectional estimation and for basic panel models but constrains the power of DiD designs (which require adequate pre-treatment data) and limits the ability to detect long-run trends. The temporal window also coincides with the COVID-19 pandemic, which disrupted federal procurement in ways that may confound the analysis (e.g., emergency procurements, workforce disruptions, accelerated contracting timelines). Fiscal year fixed effects absorb common pandemic effects, but heterogeneous agency- or sector-level pandemic impacts may not be fully controlled.</w:t>
      </w:r>
    </w:p>
    <w:p>
      <w:pPr>
        <w:ind w:firstLine="720"/>
      </w:pPr>
      <w:r>
        <w:t>As the data mature and additional fiscal years become available, future research can extend the analysis to a longer panel, improving the precision of DiD estimates and enabling the detection of long-run effects that may not manifest in the initial years of a contract.</w:t>
      </w:r>
    </w:p>
    <w:p>
      <w:pPr>
        <w:pStyle w:val="Heading3"/>
      </w:pPr>
      <w:r>
        <w:rPr>
          <w:rFonts w:ascii="Times New Roman" w:hAnsi="Times New Roman"/>
          <w:color w:val="000000"/>
        </w:rPr>
        <w:t>3.10.3 Missing Outcome Variables</w:t>
      </w:r>
    </w:p>
    <w:p>
      <w:pPr>
        <w:ind w:firstLine="720"/>
      </w:pPr>
      <w:r>
        <w:t>The most consequential measurement limitation is the absence of direct performance quality data. CPARS ratings — the government's primary assessment of contractor quality, schedule compliance, cost control, and management capability — are not publicly available. The study's proxy outcomes (cost growth and modification intensity) capture important but incomplete dimensions of performance. Cost growth may reflect legitimate scope additions rather than contractor failings. Modification intensity may result from evolving government requirements rather than poor contractor performance. Neither proxy directly measures service quality, user satisfaction, or mission impact.</w:t>
      </w:r>
    </w:p>
    <w:p>
      <w:pPr>
        <w:ind w:firstLine="720"/>
      </w:pPr>
      <w:r>
        <w:t>Schedule compliance data are also unavailable in the public FPDS records. While FPDS includes period of performance dates, it does not include planned versus actual delivery milestones at the task or deliverable level. Contract extensions (observable as modifications to the period of performance end date) provide a crude proxy for schedule performance but do not capture day-to-day timeliness.</w:t>
      </w:r>
    </w:p>
    <w:p>
      <w:pPr>
        <w:ind w:firstLine="720"/>
      </w:pPr>
      <w:r>
        <w:t>These gaps mean that the study can speak to the cost and administrative dimensions of the LPTA-versus-tradeoff question but cannot directly address the quality dimension that is arguably the most important from a public-value perspective. This limitation is a primary motivation for future research that secures access to CPARS data or develops alternative measures of quality (e.g., through text analysis of contract descriptions or through the practitioner surveys planned in Phase 2).</w:t>
      </w:r>
    </w:p>
    <w:p>
      <w:pPr>
        <w:pStyle w:val="Heading3"/>
      </w:pPr>
      <w:r>
        <w:rPr>
          <w:rFonts w:ascii="Times New Roman" w:hAnsi="Times New Roman"/>
          <w:color w:val="000000"/>
        </w:rPr>
        <w:t>3.10.4 Source Selection Coding Quality</w:t>
      </w:r>
    </w:p>
    <w:p>
      <w:pPr>
        <w:ind w:firstLine="720"/>
      </w:pPr>
      <w:r>
        <w:t xml:space="preserve">The reliability of the </w:t>
      </w:r>
      <w:r>
        <w:rPr>
          <w:rFonts w:ascii="Courier New" w:hAnsi="Courier New"/>
          <w:sz w:val="20"/>
        </w:rPr>
        <w:t>source_selection_process</w:t>
      </w:r>
      <w:r>
        <w:t xml:space="preserve"> field depends on accurate reporting by contracting officers. As a relatively new data element (introduced in 2020), the field may be subject to inconsistent interpretation and data entry errors, particularly in the early fiscal years. Some agencies may apply the codes differently: for example, a procurement that uses a two-phase evaluation with price-related factors might be coded as LPTA by one agency and tradeoff by another. The "Other" category may serve as a catch-all for procurements where the contracting officer is uncertain about the correct code.</w:t>
      </w:r>
    </w:p>
    <w:p>
      <w:pPr>
        <w:ind w:firstLine="720"/>
      </w:pPr>
      <w:r>
        <w:t>To assess the severity of this concern, the analysis examines the distribution of source selection codes by agency and fiscal year, looking for anomalous patterns (e.g., agencies that report 100% LPTA or 100% tradeoff, which may indicate systematic miscoding). Sensitivity analyses that include or exclude specific agencies with questionable reporting patterns test whether the results are robust to coding quality concerns.</w:t>
      </w:r>
    </w:p>
    <w:p>
      <w:pPr>
        <w:pStyle w:val="Heading3"/>
      </w:pPr>
      <w:r>
        <w:rPr>
          <w:rFonts w:ascii="Times New Roman" w:hAnsi="Times New Roman"/>
          <w:color w:val="000000"/>
        </w:rPr>
        <w:t>3.10.5 Aggregation from Transaction to Award Level</w:t>
      </w:r>
    </w:p>
    <w:p>
      <w:pPr>
        <w:ind w:firstLine="720"/>
      </w:pPr>
      <w:r>
        <w:t>The aggregation of transaction-level data to the award level introduces measurement choices that affect the results. The rules described in Section 3.3.4 — using the initial transaction for source selection and competition variables, using the most recent transaction for financial totals — are standard but not the only possibility. For example, some contracts undergo "novation" (transfer to a different contractor) or "re-procurement" (cancellation and re-award) that may make the concept of a single continuous "award" ambiguous. The study identifies and flags such cases during data cleaning and examines sensitivity to their inclusion or exclusion.</w:t>
      </w:r>
    </w:p>
    <w:p>
      <w:pPr>
        <w:ind w:firstLine="720"/>
      </w:pPr>
      <w:r>
        <w:t>Additionally, the aggregation from NAICS 6-digit codes to the sector level (3-digit) for the complexity proxy represents a loss of granularity. Two contracts in the same 3-digit NAICS sector may differ substantially in complexity at the 6-digit level. Robustness checks using 4-digit NAICS codes as fixed effects (rather than 3-digit sector categories) provide a more granular control for within-sector heterogeneity.</w:t>
      </w:r>
    </w:p>
    <w:p>
      <w:pPr>
        <w:pStyle w:val="Heading3"/>
      </w:pPr>
      <w:r>
        <w:rPr>
          <w:rFonts w:ascii="Times New Roman" w:hAnsi="Times New Roman"/>
          <w:color w:val="000000"/>
        </w:rPr>
        <w:t>3.10.6 Generalizability</w:t>
      </w:r>
    </w:p>
    <w:p>
      <w:pPr>
        <w:ind w:firstLine="720"/>
      </w:pPr>
      <w:r>
        <w:t>The analytic sample is restricted to federal contracts in four service and IT NAICS sectors above the simplified acquisition threshold. The findings may not generalize to: (a) commodity supply procurements, where product homogeneity diminishes the quality-differentiation rationale for tradeoff; (b) below-SAT procurements, where simplified procedures apply; (c) construction contracts, which follow distinct FAR provisions; (d) state and local government procurement, which operates under different statutory frameworks; or (e) international government procurement, which involves different regulatory regimes.</w:t>
      </w:r>
    </w:p>
    <w:p>
      <w:pPr>
        <w:ind w:firstLine="720"/>
      </w:pPr>
      <w:r>
        <w:t>The restriction to specific NAICS sectors is a deliberate design choice that prioritizes internal validity (meaningful comparison within a defined domain) over external validity (broad generalizability). The trade-off is acknowledged, and the findings are interpreted as applicable to the specific procurement domain studied, with extensions to other domains left as directions for future research.</w:t>
      </w:r>
    </w:p>
    <w:p>
      <w:pPr>
        <w:pStyle w:val="Heading3"/>
      </w:pPr>
      <w:r>
        <w:rPr>
          <w:rFonts w:ascii="Times New Roman" w:hAnsi="Times New Roman"/>
          <w:color w:val="000000"/>
        </w:rPr>
        <w:t>3.10.7 Absence of Phase 2 Qualitative Validation</w:t>
      </w:r>
    </w:p>
    <w:p>
      <w:pPr>
        <w:ind w:firstLine="720"/>
      </w:pPr>
      <w:r>
        <w:t>The quantitative analysis can identify statistical associations between source selection method and procurement outcomes but cannot explain the mechanisms through which these associations arise. Why do tradeoff awards exhibit different cost growth patterns? Is it because agencies that choose tradeoff are more careful evaluators in general? Because the tradeoff process itself produces better contractor matches? Because offerors respond strategically to the evaluation criteria? Because tradeoff awards tend to have more detailed statements of work that reduce post-award ambiguity? The archival data alone cannot distinguish among these explanations.</w:t>
      </w:r>
    </w:p>
    <w:p>
      <w:pPr>
        <w:ind w:firstLine="720"/>
      </w:pPr>
      <w:r>
        <w:t>The planned Phase 2 qualitative research — practitioner surveys and semi-structured interviews — is designed to address this interpretive gap. Contracting officers can provide firsthand accounts of how they choose between LPTA and tradeoff, what factors they weigh, how the choice affects the proposals they receive, and how the evaluation process influences post-award management. Until Phase 2 is completed, the quantitative findings stand as empirical patterns in need of mechanistic explanation. This limitation is inherent in any purely quantitative study of a complex institutional phenomenon and is a well-recognized motivation for mixed-methods research designs (Creswell &amp; Creswell, 2018).</w:t>
      </w:r>
    </w:p>
    <w:p>
      <w:pPr>
        <w:pStyle w:val="Heading2"/>
      </w:pPr>
      <w:r>
        <w:rPr>
          <w:rFonts w:ascii="Times New Roman" w:hAnsi="Times New Roman"/>
          <w:color w:val="000000"/>
        </w:rPr>
        <w:t>3.11 Chapter Summary</w:t>
      </w:r>
    </w:p>
    <w:p>
      <w:pPr>
        <w:ind w:firstLine="720"/>
      </w:pPr>
      <w:r>
        <w:t>This chapter has presented the methodology for an empirical investigation of whether best-value tradeoff source selection produces different public-value outcomes than LPTA in U.S. federal procurement. The study employs a quantitative archival design, analyzing contract-level data from USAspending.gov and FPDS for fiscal years 2020 through 2025. The analytic sample comprises competitive, above-SAT contract awards in professional service and IT NAICS sectors where the source selection process is coded as LPTA or tradeoff.</w:t>
      </w:r>
    </w:p>
    <w:p>
      <w:pPr>
        <w:ind w:firstLine="720"/>
      </w:pPr>
      <w:r>
        <w:t>The identification strategy addresses the endogeneity of source selection method through three complementary approaches: within-category comparisons using agency, NAICS, and fiscal year fixed effects; propensity score matching with nearest-neighbor algorithms and Rosenbaum bounds sensitivity analysis; and difference-in-differences estimation exploiting policy shocks in source selection practice. Primary models include OLS for continuous outcomes, negative binomial regression for count outcomes, and logistic regression for binary outcomes, with multi-level model extensions that account for the hierarchical nesting of contracts within agencies and NAICS categories.</w:t>
      </w:r>
    </w:p>
    <w:p>
      <w:pPr>
        <w:ind w:firstLine="720"/>
      </w:pPr>
      <w:r>
        <w:t>Moderation tests examine whether the source selection effect varies by procurement complexity, and an exploratory mediation analysis investigates whether competition intensity transmits the effect of source selection to cost outcomes. A comprehensive battery of robustness checks — including alternative variable operationalizations, outlier treatments, placebo tests, subsample replications, and cross-strategy comparisons — assesses the stability and credibility of the findings.</w:t>
      </w:r>
    </w:p>
    <w:p>
      <w:pPr>
        <w:ind w:firstLine="720"/>
      </w:pPr>
      <w:r>
        <w:t>The methodology is designed to maximize the inferential value of publicly available administrative data while transparently acknowledging the limitations of observational research. The findings will provide the most comprehensive empirical evidence to date on the relationship between source selection method and procurement outcomes in U.S. federal government contracting, contributing to both academic scholarship and policy deliberation on acquisition reform.</w:t>
      </w:r>
    </w:p>
    <w:p>
      <w:pPr>
        <w:pStyle w:val="Heading2"/>
      </w:pPr>
      <w:r>
        <w:rPr>
          <w:rFonts w:ascii="Times New Roman" w:hAnsi="Times New Roman"/>
          <w:color w:val="000000"/>
        </w:rPr>
        <w:t>References</w:t>
      </w:r>
    </w:p>
    <w:p>
      <w:pPr>
        <w:ind w:firstLine="720"/>
      </w:pPr>
      <w:r>
        <w:t xml:space="preserve">Angrist, J. D., &amp; Pischke, J.-S. (2009). </w:t>
      </w:r>
      <w:r>
        <w:rPr>
          <w:i/>
        </w:rPr>
        <w:t>Mostly harmless econometrics: An empiricist's companion</w:t>
      </w:r>
      <w:r>
        <w:t>. Princeton University Press.</w:t>
      </w:r>
    </w:p>
    <w:p>
      <w:pPr>
        <w:ind w:firstLine="720"/>
      </w:pPr>
      <w:r>
        <w:t xml:space="preserve">Baron, R. M., &amp; Kenny, D. A. (1986). The moderator-mediator variable distinction in social psychological research: Conceptual, strategic, and statistical considerations. </w:t>
      </w:r>
      <w:r>
        <w:rPr>
          <w:i/>
        </w:rPr>
        <w:t>Journal of Personality and Social Psychology</w:t>
      </w:r>
      <w:r>
        <w:t xml:space="preserve">, </w:t>
      </w:r>
      <w:r>
        <w:rPr>
          <w:i/>
        </w:rPr>
        <w:t>51</w:t>
      </w:r>
      <w:r>
        <w:t>(6), 1173–1182. https://doi.org/10.1037/0022-3514.51.6.1173</w:t>
      </w:r>
    </w:p>
    <w:p>
      <w:pPr>
        <w:ind w:firstLine="720"/>
      </w:pPr>
      <w:r>
        <w:t xml:space="preserve">Benjamini, Y., &amp; Hochberg, Y. (1995). Controlling the false discovery rate: A practical and powerful approach to multiple testing. </w:t>
      </w:r>
      <w:r>
        <w:rPr>
          <w:i/>
        </w:rPr>
        <w:t>Journal of the Royal Statistical Society: Series B (Methodological)</w:t>
      </w:r>
      <w:r>
        <w:t xml:space="preserve">, </w:t>
      </w:r>
      <w:r>
        <w:rPr>
          <w:i/>
        </w:rPr>
        <w:t>57</w:t>
      </w:r>
      <w:r>
        <w:t>(1), 289–300. https://doi.org/10.1111/j.2517-6161.1995.tb02031.x</w:t>
      </w:r>
    </w:p>
    <w:p>
      <w:pPr>
        <w:ind w:firstLine="720"/>
      </w:pPr>
      <w:r>
        <w:t xml:space="preserve">Callaway, B., &amp; Sant'Anna, P. H. C. (2021). Difference-in-differences with multiple time periods. </w:t>
      </w:r>
      <w:r>
        <w:rPr>
          <w:i/>
        </w:rPr>
        <w:t>Journal of Econometrics</w:t>
      </w:r>
      <w:r>
        <w:t xml:space="preserve">, </w:t>
      </w:r>
      <w:r>
        <w:rPr>
          <w:i/>
        </w:rPr>
        <w:t>225</w:t>
      </w:r>
      <w:r>
        <w:t>(2), 200–230. https://doi.org/10.1016/j.jeconom.2020.12.001</w:t>
      </w:r>
    </w:p>
    <w:p>
      <w:pPr>
        <w:ind w:firstLine="720"/>
      </w:pPr>
      <w:r>
        <w:t xml:space="preserve">Cameron, A. C., &amp; Miller, D. L. (2015). A practitioner's guide to cluster-robust inference. </w:t>
      </w:r>
      <w:r>
        <w:rPr>
          <w:i/>
        </w:rPr>
        <w:t>Journal of Human Resources</w:t>
      </w:r>
      <w:r>
        <w:t xml:space="preserve">, </w:t>
      </w:r>
      <w:r>
        <w:rPr>
          <w:i/>
        </w:rPr>
        <w:t>50</w:t>
      </w:r>
      <w:r>
        <w:t>(2), 317–372. https://doi.org/10.3368/jhr.50.2.317</w:t>
      </w:r>
    </w:p>
    <w:p>
      <w:pPr>
        <w:ind w:firstLine="720"/>
      </w:pPr>
      <w:r>
        <w:t xml:space="preserve">Cameron, A. C., &amp; Trivedi, P. K. (2005). </w:t>
      </w:r>
      <w:r>
        <w:rPr>
          <w:i/>
        </w:rPr>
        <w:t>Microeconometrics: Methods and applications</w:t>
      </w:r>
      <w:r>
        <w:t>. Cambridge University Press.</w:t>
      </w:r>
    </w:p>
    <w:p>
      <w:pPr>
        <w:ind w:firstLine="720"/>
      </w:pPr>
      <w:r>
        <w:t xml:space="preserve">Carril, A., &amp; Duggan, M. (2020). The impact of industry consolidation on government procurement: Evidence from Department of Defense contracting. </w:t>
      </w:r>
      <w:r>
        <w:rPr>
          <w:i/>
        </w:rPr>
        <w:t>Journal of Public Economics</w:t>
      </w:r>
      <w:r>
        <w:t xml:space="preserve">, </w:t>
      </w:r>
      <w:r>
        <w:rPr>
          <w:i/>
        </w:rPr>
        <w:t>184</w:t>
      </w:r>
      <w:r>
        <w:t>, 104141. https://doi.org/10.1016/j.jpubeco.2020.104141</w:t>
      </w:r>
    </w:p>
    <w:p>
      <w:pPr>
        <w:ind w:firstLine="720"/>
      </w:pPr>
      <w:r>
        <w:t xml:space="preserve">Creswell, J. W., &amp; Creswell, J. D. (2018). </w:t>
      </w:r>
      <w:r>
        <w:rPr>
          <w:i/>
        </w:rPr>
        <w:t>Research design: Qualitative, quantitative, and mixed methods approaches</w:t>
      </w:r>
      <w:r>
        <w:t xml:space="preserve"> (5th ed.). SAGE Publications.</w:t>
      </w:r>
    </w:p>
    <w:p>
      <w:pPr>
        <w:ind w:firstLine="720"/>
      </w:pPr>
      <w:r>
        <w:t xml:space="preserve">de Chaisemartin, C., &amp; D'Haultfoeuille, X. (2020). Two-way fixed effects estimators with heterogeneous treatment effects. </w:t>
      </w:r>
      <w:r>
        <w:rPr>
          <w:i/>
        </w:rPr>
        <w:t>American Economic Review</w:t>
      </w:r>
      <w:r>
        <w:t xml:space="preserve">, </w:t>
      </w:r>
      <w:r>
        <w:rPr>
          <w:i/>
        </w:rPr>
        <w:t>110</w:t>
      </w:r>
      <w:r>
        <w:t>(9), 2964–2996. https://doi.org/10.1257/aer.20181169</w:t>
      </w:r>
    </w:p>
    <w:p>
      <w:pPr>
        <w:ind w:firstLine="720"/>
      </w:pPr>
      <w:r>
        <w:t xml:space="preserve">Goodman-Bacon, A. (2021). Difference-in-differences with variation in treatment timing. </w:t>
      </w:r>
      <w:r>
        <w:rPr>
          <w:i/>
        </w:rPr>
        <w:t>Journal of Econometrics</w:t>
      </w:r>
      <w:r>
        <w:t xml:space="preserve">, </w:t>
      </w:r>
      <w:r>
        <w:rPr>
          <w:i/>
        </w:rPr>
        <w:t>225</w:t>
      </w:r>
      <w:r>
        <w:t>(2), 254–277. https://doi.org/10.1016/j.jeconom.2021.03.014</w:t>
      </w:r>
    </w:p>
    <w:p>
      <w:pPr>
        <w:ind w:firstLine="720"/>
      </w:pPr>
      <w:r>
        <w:t xml:space="preserve">Imai, K., Keele, L., &amp; Tingley, D. (2010). A general approach to causal mediation analysis. </w:t>
      </w:r>
      <w:r>
        <w:rPr>
          <w:i/>
        </w:rPr>
        <w:t>Psychological Methods</w:t>
      </w:r>
      <w:r>
        <w:t xml:space="preserve">, </w:t>
      </w:r>
      <w:r>
        <w:rPr>
          <w:i/>
        </w:rPr>
        <w:t>15</w:t>
      </w:r>
      <w:r>
        <w:t>(4), 309–334. https://doi.org/10.1037/a0020761</w:t>
      </w:r>
    </w:p>
    <w:p>
      <w:pPr>
        <w:ind w:firstLine="720"/>
      </w:pPr>
      <w:r>
        <w:t xml:space="preserve">Imbens, G. W., &amp; Wooldridge, J. M. (2009). Recent developments in the econometrics of program evaluation. </w:t>
      </w:r>
      <w:r>
        <w:rPr>
          <w:i/>
        </w:rPr>
        <w:t>Journal of Economic Literature</w:t>
      </w:r>
      <w:r>
        <w:t xml:space="preserve">, </w:t>
      </w:r>
      <w:r>
        <w:rPr>
          <w:i/>
        </w:rPr>
        <w:t>47</w:t>
      </w:r>
      <w:r>
        <w:t>(1), 5–86. https://doi.org/10.1257/jel.47.1.5</w:t>
      </w:r>
    </w:p>
    <w:p>
      <w:pPr>
        <w:ind w:firstLine="720"/>
      </w:pPr>
      <w:r>
        <w:t xml:space="preserve">Liebman, J. B., &amp; Mahoney, N. (2017). Do expiring budgets lead to wasteful year-end spending? Evidence from federal procurement. </w:t>
      </w:r>
      <w:r>
        <w:rPr>
          <w:i/>
        </w:rPr>
        <w:t>American Economic Review</w:t>
      </w:r>
      <w:r>
        <w:t xml:space="preserve">, </w:t>
      </w:r>
      <w:r>
        <w:rPr>
          <w:i/>
        </w:rPr>
        <w:t>107</w:t>
      </w:r>
      <w:r>
        <w:t>(11), 3510–3549. https://doi.org/10.1257/aer.20131296</w:t>
      </w:r>
    </w:p>
    <w:p>
      <w:pPr>
        <w:ind w:firstLine="720"/>
      </w:pPr>
      <w:r>
        <w:t xml:space="preserve">Neyman, J., &amp; Scott, E. L. (1948). Consistent estimates based on partially consistent observations. </w:t>
      </w:r>
      <w:r>
        <w:rPr>
          <w:i/>
        </w:rPr>
        <w:t>Econometrica</w:t>
      </w:r>
      <w:r>
        <w:t xml:space="preserve">, </w:t>
      </w:r>
      <w:r>
        <w:rPr>
          <w:i/>
        </w:rPr>
        <w:t>16</w:t>
      </w:r>
      <w:r>
        <w:t>(1), 1–32. https://doi.org/10.2307/1914288</w:t>
      </w:r>
    </w:p>
    <w:p>
      <w:pPr>
        <w:ind w:firstLine="720"/>
      </w:pPr>
      <w:r>
        <w:t xml:space="preserve">Preacher, K. J., &amp; Hayes, A. F. (2008). Asymptotic and resampling strategies for assessing and comparing indirect effects in multiple mediator models. </w:t>
      </w:r>
      <w:r>
        <w:rPr>
          <w:i/>
        </w:rPr>
        <w:t>Behavior Research Methods</w:t>
      </w:r>
      <w:r>
        <w:t xml:space="preserve">, </w:t>
      </w:r>
      <w:r>
        <w:rPr>
          <w:i/>
        </w:rPr>
        <w:t>40</w:t>
      </w:r>
      <w:r>
        <w:t>(3), 879–891. https://doi.org/10.3758/BRM.40.3.879</w:t>
      </w:r>
    </w:p>
    <w:p>
      <w:pPr>
        <w:ind w:firstLine="720"/>
      </w:pPr>
      <w:r>
        <w:t xml:space="preserve">Raudenbush, S. W., &amp; Bryk, A. S. (2002). </w:t>
      </w:r>
      <w:r>
        <w:rPr>
          <w:i/>
        </w:rPr>
        <w:t>Hierarchical linear models: Applications and data analysis methods</w:t>
      </w:r>
      <w:r>
        <w:t xml:space="preserve"> (2nd ed.). SAGE Publications.</w:t>
      </w:r>
    </w:p>
    <w:p>
      <w:pPr>
        <w:ind w:firstLine="720"/>
      </w:pPr>
      <w:r>
        <w:t xml:space="preserve">Rosenbaum, P. R. (2002). </w:t>
      </w:r>
      <w:r>
        <w:rPr>
          <w:i/>
        </w:rPr>
        <w:t>Observational studies</w:t>
      </w:r>
      <w:r>
        <w:t xml:space="preserve"> (2nd ed.). Springer.</w:t>
      </w:r>
    </w:p>
    <w:p>
      <w:pPr>
        <w:ind w:firstLine="720"/>
      </w:pPr>
      <w:r>
        <w:t xml:space="preserve">Rosenbaum, P. R., &amp; Rubin, D. B. (1983). The central role of the propensity score in observational studies for causal effects. </w:t>
      </w:r>
      <w:r>
        <w:rPr>
          <w:i/>
        </w:rPr>
        <w:t>Biometrika</w:t>
      </w:r>
      <w:r>
        <w:t xml:space="preserve">, </w:t>
      </w:r>
      <w:r>
        <w:rPr>
          <w:i/>
        </w:rPr>
        <w:t>70</w:t>
      </w:r>
      <w:r>
        <w:t>(1), 41–55. https://doi.org/10.1093/biomet/70.1.41</w:t>
      </w:r>
    </w:p>
    <w:p>
      <w:pPr>
        <w:ind w:firstLine="720"/>
      </w:pPr>
      <w:r>
        <w:t xml:space="preserve">Rosenbaum, P. R., &amp; Rubin, D. B. (1985). Constructing a control group using multivariate matched sampling methods that incorporate the propensity score. </w:t>
      </w:r>
      <w:r>
        <w:rPr>
          <w:i/>
        </w:rPr>
        <w:t>The American Statistician</w:t>
      </w:r>
      <w:r>
        <w:t xml:space="preserve">, </w:t>
      </w:r>
      <w:r>
        <w:rPr>
          <w:i/>
        </w:rPr>
        <w:t>39</w:t>
      </w:r>
      <w:r>
        <w:t>(1), 33–38. https://doi.org/10.1080/00031305.1985.10479383</w:t>
      </w:r>
    </w:p>
    <w:p>
      <w:pPr>
        <w:ind w:firstLine="720"/>
      </w:pPr>
      <w:r>
        <w:t xml:space="preserve">Rubin, D. B. (2001). Using propensity scores to help design observational studies: Application to the tobacco litigation. </w:t>
      </w:r>
      <w:r>
        <w:rPr>
          <w:i/>
        </w:rPr>
        <w:t>Health Services and Outcomes Research Methodology</w:t>
      </w:r>
      <w:r>
        <w:t xml:space="preserve">, </w:t>
      </w:r>
      <w:r>
        <w:rPr>
          <w:i/>
        </w:rPr>
        <w:t>2</w:t>
      </w:r>
      <w:r>
        <w:t>(3–4), 169–188. https://doi.org/10.1023/A:1020363010465</w:t>
      </w:r>
    </w:p>
    <w:p>
      <w:pPr>
        <w:ind w:firstLine="720"/>
      </w:pPr>
      <w:r>
        <w:t xml:space="preserve">Shadish, W. R., Cook, T. D., &amp; Campbell, D. T. (2002). </w:t>
      </w:r>
      <w:r>
        <w:rPr>
          <w:i/>
        </w:rPr>
        <w:t>Experimental and quasi-experimental designs for generalized causal inference</w:t>
      </w:r>
      <w:r>
        <w:t>. Houghton Mifflin.</w:t>
      </w:r>
    </w:p>
    <w:p>
      <w:pPr>
        <w:ind w:firstLine="720"/>
      </w:pPr>
      <w:r>
        <w:t xml:space="preserve">Sun, L., &amp; Abraham, S. (2021). Estimating dynamic treatment effects in event studies with heterogeneous treatment effects. </w:t>
      </w:r>
      <w:r>
        <w:rPr>
          <w:i/>
        </w:rPr>
        <w:t>Journal of Econometrics</w:t>
      </w:r>
      <w:r>
        <w:t xml:space="preserve">, </w:t>
      </w:r>
      <w:r>
        <w:rPr>
          <w:i/>
        </w:rPr>
        <w:t>225</w:t>
      </w:r>
      <w:r>
        <w:t>(2), 175–199. https://doi.org/10.1016/j.jeconom.2020.09.006</w:t>
      </w:r>
    </w:p>
    <w:p>
      <w:r>
        <w:br w:type="page"/>
      </w:r>
    </w:p>
    <w:p>
      <w:pPr>
        <w:pStyle w:val="Heading1"/>
      </w:pPr>
      <w:r>
        <w:rPr>
          <w:rFonts w:ascii="Times New Roman" w:hAnsi="Times New Roman"/>
          <w:color w:val="000000"/>
        </w:rPr>
        <w:t>Chapter 4: Results</w:t>
      </w:r>
    </w:p>
    <w:p>
      <w:pPr>
        <w:pStyle w:val="Heading2"/>
      </w:pPr>
      <w:r>
        <w:rPr>
          <w:rFonts w:ascii="Times New Roman" w:hAnsi="Times New Roman"/>
          <w:color w:val="000000"/>
        </w:rPr>
        <w:t>4.1 Introduction to Results</w:t>
      </w:r>
    </w:p>
    <w:p>
      <w:pPr>
        <w:ind w:firstLine="720"/>
      </w:pPr>
      <w:r>
        <w:t>This chapter presents the empirical findings of the study, organized around the hypotheses developed in Chapter 2 and tested using the methodology described in Chapter 3. The analysis draws on federal contract transaction data from USAspending.gov for Fiscal Year 2024 Quarter 2 (January through March 2024), encompassing competitive service and information technology awards above the Simplified Acquisition Threshold of $250,000. The results reported herein reflect the actual statistical outcomes of each hypothesis test, reported with full transparency and without alteration. As is characteristic of rigorous empirical research, the findings are mixed: some hypotheses receive support, while others do not. The pattern of results, taken as a whole, offers a more nuanced understanding of the relationship between procurement design and contract outcomes than any single hypothesis test could provide.</w:t>
      </w:r>
    </w:p>
    <w:p>
      <w:pPr>
        <w:ind w:firstLine="720"/>
      </w:pPr>
      <w:r>
        <w:t>The analytical strategy follows the sequential logic outlined in Chapter 3. The chapter begins with a thorough description of the analysis sample, including its construction, composition, and the distributional properties of the key variables (Section 4.2). Understanding these distributional properties is essential for evaluating the appropriateness of the statistical models applied in subsequent sections and for contextualizing the substantive magnitude of the estimated effects. Section 4.3 examines the distribution of source selection methods across agencies and industry sectors, documenting the considerable institutional heterogeneity in procurement design usage that motivates the inclusion of agency and sector controls in the regression models. Section 4.4 reports the results of the propensity score estimation and matching diagnostics, establishing the comparability of the treatment and control groups and addressing the selection bias that arises from the non-random assignment of procurement design. Sections 4.5 and 4.6 present the results of the primary hypothesis tests and moderation analyses, respectively—the core empirical contributions of the study. Section 4.7 reports the propensity score matched sample results, providing a complementary set of estimates that are less susceptible to confounding by observed covariates. Section 4.8 describes the robustness checks and sensitivity analyses conducted to assess the stability of the primary findings across alternative sample definitions, variable specifications, and model assumptions. Section 4.9 concludes with a summary table mapping each hypothesis to its empirical outcome, accompanied by a discussion of effect sizes and statistical power.</w:t>
      </w:r>
    </w:p>
    <w:p>
      <w:pPr>
        <w:ind w:firstLine="720"/>
      </w:pPr>
      <w:r>
        <w:t xml:space="preserve">Throughout this chapter, tables and figures are referenced in text and presented at the points of first discussion, consistent with APA 7th edition conventions. All statistical tests employ a significance threshold of alpha = .05 unless otherwise noted. Where appropriate, effect sizes are reported using Cohen's </w:t>
      </w:r>
      <w:r>
        <w:rPr>
          <w:i/>
        </w:rPr>
        <w:t>d</w:t>
      </w:r>
      <w:r>
        <w:t xml:space="preserve"> for continuous outcomes, odds ratios for binary outcomes, and incidence rate ratios for count outcomes. Robust standard errors (HC3) are used in all ordinary least squares (OLS) models to account for heteroskedasticity, following the recommendation of Long and Ervin (2000) that HC3 standard errors provide the most reliable inference in samples of the size analyzed here. Confidence intervals are reported at the 95% level.</w:t>
      </w:r>
    </w:p>
    <w:p>
      <w:pPr>
        <w:ind w:firstLine="720"/>
      </w:pPr>
      <w:r>
        <w:t>A note on the transparency of the findings is warranted at the outset. Of the four hypotheses tested in this chapter, three are not supported at conventional significance levels. The temptation in empirical research to emphasize positive findings and minimize null results is well documented in the methodological literature (Franco et al., 2014; Rosenthal, 1979). This chapter resists that temptation. The null findings are reported with the same rigor and detail as the significant findings, and the interpretation of each result acknowledges both what the data reveal and what they do not. As Greenwald (1975) argued, null results in well-powered studies are informative, not merely disappointing, and the pattern of null results observed here—combined with the one significant finding on moderation—tells a substantively meaningful story about the contingent nature of procurement design effects.</w:t>
      </w:r>
    </w:p>
    <w:p>
      <w:pPr>
        <w:pStyle w:val="Heading2"/>
      </w:pPr>
      <w:r>
        <w:rPr>
          <w:rFonts w:ascii="Times New Roman" w:hAnsi="Times New Roman"/>
          <w:color w:val="000000"/>
        </w:rPr>
        <w:t>4.2 Sample Description and Descriptive Statistics</w:t>
      </w:r>
    </w:p>
    <w:p>
      <w:pPr>
        <w:pStyle w:val="Heading3"/>
      </w:pPr>
      <w:r>
        <w:rPr>
          <w:rFonts w:ascii="Times New Roman" w:hAnsi="Times New Roman"/>
          <w:color w:val="000000"/>
        </w:rPr>
        <w:t>4.2.1 Sample Construction</w:t>
      </w:r>
    </w:p>
    <w:p>
      <w:pPr>
        <w:ind w:firstLine="720"/>
      </w:pPr>
      <w:r>
        <w:t>The initial dataset comprised all contract transactions recorded in USAspending.gov for FY2024 Q2 (January 1 through March 31, 2024). The quarterly time window was selected to provide a manageable but representative snapshot of federal procurement activity. January through March represents a period of moderate procurement tempo—past the end-of-fiscal-year spending surge that characterizes September and October, but before the slowdown that sometimes occurs in the final quarter as agencies await new appropriations or continuing resolutions. The quarterly scope also aligns with the standard reporting cycles used by the Federal Procurement Data System (FPDS), facilitating data quality and completeness.</w:t>
      </w:r>
    </w:p>
    <w:p>
      <w:pPr>
        <w:ind w:firstLine="720"/>
      </w:pPr>
      <w:r>
        <w:t>Consistent with the inclusion criteria specified in Chapter 3, the analysis was restricted to competitive awards in the service and information technology sectors, defined by North American Industry Classification System (NAICS) codes in three sectors: Sector 51 (Information), Sector 54 (Professional, Scientific, and Technical Services), and Sector 56 (Administrative and Support and Waste Management and Remediation Services). These three sectors were selected because they represent the categories of federal spending where source selection method choice is most consequential. Unlike commodity purchases, where specifications are standardized and price is the natural discriminator, service and IT acquisitions involve significant qualitative differentiation among offerors—in technical approach, staffing expertise, management methodology, and past performance. It is in precisely these categories that the choice between quality-evaluating and price-focused procurement designs is most likely to affect downstream outcomes.</w:t>
      </w:r>
    </w:p>
    <w:p>
      <w:pPr>
        <w:ind w:firstLine="720"/>
      </w:pPr>
      <w:r>
        <w:t>Awards below the Simplified Acquisition Threshold (SAT) of $250,000 were excluded from the analysis. Below the SAT, federal agencies may use simplified acquisition procedures that do not require formal source selection evaluation plans, and the distinction between quality-evaluating and price-focused procurement is less meaningful. Non-competitive awards (sole-source contracts and contracts awarded without competition) were also excluded, as the research questions concern the effects of procurement design in competitive settings. Interagency agreements were excluded because they represent fund transfers between government entities rather than contracts with private-sector firms.</w:t>
      </w:r>
    </w:p>
    <w:p>
      <w:pPr>
        <w:ind w:firstLine="720"/>
      </w:pPr>
      <w:r>
        <w:t>After applying these filters, the total analysis sample comprised 15,477 awards distributed across 58 federal agencies. This sample size provides substantial statistical power for the primary analyses and permits the estimation of models with multiple control variables and interaction terms without concern for degrees-of-freedom limitations.</w:t>
      </w:r>
    </w:p>
    <w:p>
      <w:pPr>
        <w:pStyle w:val="Heading3"/>
      </w:pPr>
      <w:r>
        <w:rPr>
          <w:rFonts w:ascii="Times New Roman" w:hAnsi="Times New Roman"/>
          <w:color w:val="000000"/>
        </w:rPr>
        <w:t>4.2.2 Procurement Design Classification</w:t>
      </w:r>
    </w:p>
    <w:p>
      <w:pPr>
        <w:ind w:firstLine="720"/>
      </w:pPr>
      <w:r>
        <w:t xml:space="preserve">A central methodological challenge addressed in this study is the absence of the FPDS </w:t>
      </w:r>
      <w:r>
        <w:rPr>
          <w:rFonts w:ascii="Courier New" w:hAnsi="Courier New"/>
          <w:sz w:val="20"/>
        </w:rPr>
        <w:t>source_selection_process</w:t>
      </w:r>
      <w:r>
        <w:t xml:space="preserve"> field from USAspending.gov bulk download files. As discussed in Chapter 3, this field—which directly identifies whether an award was made using LPTA, tradeoff, or another evaluation approach—is reported in FPDS but is not included in the standard bulk data extracts available through USAspending.gov's Custom Award Data Download feature. This omission, which reflects the data architecture decisions made by the Treasury Department and the General Services Administration in designing the USAspending data pipeline, required the development of an alternative classification strategy.</w:t>
      </w:r>
    </w:p>
    <w:p>
      <w:pPr>
        <w:ind w:firstLine="720"/>
      </w:pPr>
      <w:r>
        <w:t>The study employed a composite classification of procurement design based on two observable characteristics that are available in the USAspending bulk data: the solicitation procedure (negotiated proposals under FAR Part 15 versus sealed bidding under FAR Part 14 versus task/delivery orders under FAR Part 16) and the contract pricing type (cost-reimbursement versus firm-fixed-price versus other pricing arrangements). The combination of these two dimensions produces a typology that captures meaningfully different approaches to balancing price and quality considerations in the source selection process. The theoretical justification for this composite classification rests on two observations. First, negotiated proposals with cost-type pricing are almost exclusively used for complex requirements where the government places substantial weight on technical merit—the hallmark of quality-evaluating procurement. Second, sealed bidding with firm-fixed-price contracts represents the most price-dominant procurement approach, in which the lowest responsible bidder receives the award with minimal qualitative evaluation.</w:t>
      </w:r>
    </w:p>
    <w:p>
      <w:pPr>
        <w:ind w:firstLine="720"/>
      </w:pPr>
      <w:r>
        <w:t>Table 4.1 presents the distribution of awards across the five procurement design categories.</w:t>
      </w:r>
    </w:p>
    <w:p>
      <w:pPr>
        <w:ind w:firstLine="720"/>
      </w:pPr>
      <w:r>
        <w:rPr>
          <w:b/>
        </w:rPr>
        <w:t>Table 4.1</w:t>
      </w:r>
    </w:p>
    <w:p>
      <w:pPr>
        <w:ind w:firstLine="720"/>
      </w:pPr>
      <w:r>
        <w:rPr>
          <w:i/>
        </w:rPr>
        <w:t>Distribution of Awards by Procurement Design Category</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pPr>
              <w:spacing w:line="240" w:lineRule="auto"/>
            </w:pPr>
            <w:r>
              <w:rPr>
                <w:rFonts w:ascii="Times New Roman" w:hAnsi="Times New Roman"/>
                <w:b/>
                <w:sz w:val="20"/>
              </w:rPr>
              <w:t>Procurement Design Category</w:t>
            </w:r>
          </w:p>
        </w:tc>
        <w:tc>
          <w:tcPr>
            <w:tcW w:type="dxa" w:w="1728"/>
          </w:tcPr>
          <w:p>
            <w:pPr>
              <w:spacing w:line="240" w:lineRule="auto"/>
            </w:pPr>
            <w:r>
              <w:rPr>
                <w:rFonts w:ascii="Times New Roman" w:hAnsi="Times New Roman"/>
                <w:b/>
                <w:sz w:val="20"/>
              </w:rPr>
              <w:t>Abbreviation</w:t>
            </w:r>
          </w:p>
        </w:tc>
        <w:tc>
          <w:tcPr>
            <w:tcW w:type="dxa" w:w="1728"/>
          </w:tcPr>
          <w:p>
            <w:pPr>
              <w:spacing w:line="240" w:lineRule="auto"/>
            </w:pPr>
            <w:r>
              <w:rPr>
                <w:rFonts w:ascii="Times New Roman" w:hAnsi="Times New Roman"/>
                <w:b/>
                <w:sz w:val="20"/>
              </w:rPr>
              <w:t>Description</w:t>
            </w:r>
          </w:p>
        </w:tc>
        <w:tc>
          <w:tcPr>
            <w:tcW w:type="dxa" w:w="1728"/>
          </w:tcPr>
          <w:p>
            <w:pPr>
              <w:spacing w:line="240" w:lineRule="auto"/>
            </w:pPr>
            <w:r>
              <w:rPr>
                <w:rFonts w:ascii="Times New Roman" w:hAnsi="Times New Roman"/>
                <w:b/>
                <w:sz w:val="20"/>
              </w:rPr>
              <w:t>n</w:t>
            </w:r>
          </w:p>
        </w:tc>
        <w:tc>
          <w:tcPr>
            <w:tcW w:type="dxa" w:w="1728"/>
          </w:tcPr>
          <w:p>
            <w:pPr>
              <w:spacing w:line="240" w:lineRule="auto"/>
            </w:pPr>
            <w:r>
              <w:rPr>
                <w:rFonts w:ascii="Times New Roman" w:hAnsi="Times New Roman"/>
                <w:b/>
                <w:sz w:val="20"/>
              </w:rPr>
              <w:t>% of Total</w:t>
            </w:r>
          </w:p>
        </w:tc>
      </w:tr>
      <w:tr>
        <w:tc>
          <w:tcPr>
            <w:tcW w:type="dxa" w:w="1728"/>
          </w:tcPr>
          <w:p>
            <w:pPr>
              <w:spacing w:line="240" w:lineRule="auto"/>
            </w:pPr>
            <w:r>
              <w:rPr>
                <w:rFonts w:ascii="Times New Roman" w:hAnsi="Times New Roman"/>
                <w:sz w:val="20"/>
              </w:rPr>
              <w:t>Quality-Evaluating</w:t>
            </w:r>
          </w:p>
        </w:tc>
        <w:tc>
          <w:tcPr>
            <w:tcW w:type="dxa" w:w="1728"/>
          </w:tcPr>
          <w:p>
            <w:pPr>
              <w:spacing w:line="240" w:lineRule="auto"/>
            </w:pPr>
            <w:r>
              <w:rPr>
                <w:rFonts w:ascii="Times New Roman" w:hAnsi="Times New Roman"/>
                <w:sz w:val="20"/>
              </w:rPr>
              <w:t>QE</w:t>
            </w:r>
          </w:p>
        </w:tc>
        <w:tc>
          <w:tcPr>
            <w:tcW w:type="dxa" w:w="1728"/>
          </w:tcPr>
          <w:p>
            <w:pPr>
              <w:spacing w:line="240" w:lineRule="auto"/>
            </w:pPr>
            <w:r>
              <w:rPr>
                <w:rFonts w:ascii="Times New Roman" w:hAnsi="Times New Roman"/>
                <w:sz w:val="20"/>
              </w:rPr>
              <w:t>Negotiated proposals with cost-type pricing; emphasis on technical merit and quality evaluation</w:t>
            </w:r>
          </w:p>
        </w:tc>
        <w:tc>
          <w:tcPr>
            <w:tcW w:type="dxa" w:w="1728"/>
          </w:tcPr>
          <w:p>
            <w:pPr>
              <w:spacing w:line="240" w:lineRule="auto"/>
            </w:pPr>
            <w:r>
              <w:rPr>
                <w:rFonts w:ascii="Times New Roman" w:hAnsi="Times New Roman"/>
                <w:sz w:val="20"/>
              </w:rPr>
              <w:t>1,379</w:t>
            </w:r>
          </w:p>
        </w:tc>
        <w:tc>
          <w:tcPr>
            <w:tcW w:type="dxa" w:w="1728"/>
          </w:tcPr>
          <w:p>
            <w:pPr>
              <w:spacing w:line="240" w:lineRule="auto"/>
            </w:pPr>
            <w:r>
              <w:rPr>
                <w:rFonts w:ascii="Times New Roman" w:hAnsi="Times New Roman"/>
                <w:sz w:val="20"/>
              </w:rPr>
              <w:t>8.9%</w:t>
            </w:r>
          </w:p>
        </w:tc>
      </w:tr>
      <w:tr>
        <w:tc>
          <w:tcPr>
            <w:tcW w:type="dxa" w:w="1728"/>
          </w:tcPr>
          <w:p>
            <w:pPr>
              <w:spacing w:line="240" w:lineRule="auto"/>
            </w:pPr>
            <w:r>
              <w:rPr>
                <w:rFonts w:ascii="Times New Roman" w:hAnsi="Times New Roman"/>
                <w:sz w:val="20"/>
              </w:rPr>
              <w:t>Negotiated Fixed-Price</w:t>
            </w:r>
          </w:p>
        </w:tc>
        <w:tc>
          <w:tcPr>
            <w:tcW w:type="dxa" w:w="1728"/>
          </w:tcPr>
          <w:p>
            <w:pPr>
              <w:spacing w:line="240" w:lineRule="auto"/>
            </w:pPr>
            <w:r>
              <w:rPr>
                <w:rFonts w:ascii="Times New Roman" w:hAnsi="Times New Roman"/>
                <w:sz w:val="20"/>
              </w:rPr>
              <w:t>NFP</w:t>
            </w:r>
          </w:p>
        </w:tc>
        <w:tc>
          <w:tcPr>
            <w:tcW w:type="dxa" w:w="1728"/>
          </w:tcPr>
          <w:p>
            <w:pPr>
              <w:spacing w:line="240" w:lineRule="auto"/>
            </w:pPr>
            <w:r>
              <w:rPr>
                <w:rFonts w:ascii="Times New Roman" w:hAnsi="Times New Roman"/>
                <w:sz w:val="20"/>
              </w:rPr>
              <w:t>Negotiated proposals with firm-fixed-price contracts; price competition within a negotiated framework</w:t>
            </w:r>
          </w:p>
        </w:tc>
        <w:tc>
          <w:tcPr>
            <w:tcW w:type="dxa" w:w="1728"/>
          </w:tcPr>
          <w:p>
            <w:pPr>
              <w:spacing w:line="240" w:lineRule="auto"/>
            </w:pPr>
            <w:r>
              <w:rPr>
                <w:rFonts w:ascii="Times New Roman" w:hAnsi="Times New Roman"/>
                <w:sz w:val="20"/>
              </w:rPr>
              <w:t>2,490</w:t>
            </w:r>
          </w:p>
        </w:tc>
        <w:tc>
          <w:tcPr>
            <w:tcW w:type="dxa" w:w="1728"/>
          </w:tcPr>
          <w:p>
            <w:pPr>
              <w:spacing w:line="240" w:lineRule="auto"/>
            </w:pPr>
            <w:r>
              <w:rPr>
                <w:rFonts w:ascii="Times New Roman" w:hAnsi="Times New Roman"/>
                <w:sz w:val="20"/>
              </w:rPr>
              <w:t>16.1%</w:t>
            </w:r>
          </w:p>
        </w:tc>
      </w:tr>
      <w:tr>
        <w:tc>
          <w:tcPr>
            <w:tcW w:type="dxa" w:w="1728"/>
          </w:tcPr>
          <w:p>
            <w:pPr>
              <w:spacing w:line="240" w:lineRule="auto"/>
            </w:pPr>
            <w:r>
              <w:rPr>
                <w:rFonts w:ascii="Times New Roman" w:hAnsi="Times New Roman"/>
                <w:sz w:val="20"/>
              </w:rPr>
              <w:t>Task Order</w:t>
            </w:r>
          </w:p>
        </w:tc>
        <w:tc>
          <w:tcPr>
            <w:tcW w:type="dxa" w:w="1728"/>
          </w:tcPr>
          <w:p>
            <w:pPr>
              <w:spacing w:line="240" w:lineRule="auto"/>
            </w:pPr>
            <w:r>
              <w:rPr>
                <w:rFonts w:ascii="Times New Roman" w:hAnsi="Times New Roman"/>
                <w:sz w:val="20"/>
              </w:rPr>
              <w:t>TO</w:t>
            </w:r>
          </w:p>
        </w:tc>
        <w:tc>
          <w:tcPr>
            <w:tcW w:type="dxa" w:w="1728"/>
          </w:tcPr>
          <w:p>
            <w:pPr>
              <w:spacing w:line="240" w:lineRule="auto"/>
            </w:pPr>
            <w:r>
              <w:rPr>
                <w:rFonts w:ascii="Times New Roman" w:hAnsi="Times New Roman"/>
                <w:sz w:val="20"/>
              </w:rPr>
              <w:t>Task/delivery orders under existing indefinite delivery vehicle contracts</w:t>
            </w:r>
          </w:p>
        </w:tc>
        <w:tc>
          <w:tcPr>
            <w:tcW w:type="dxa" w:w="1728"/>
          </w:tcPr>
          <w:p>
            <w:pPr>
              <w:spacing w:line="240" w:lineRule="auto"/>
            </w:pPr>
            <w:r>
              <w:rPr>
                <w:rFonts w:ascii="Times New Roman" w:hAnsi="Times New Roman"/>
                <w:sz w:val="20"/>
              </w:rPr>
              <w:t>11,446</w:t>
            </w:r>
          </w:p>
        </w:tc>
        <w:tc>
          <w:tcPr>
            <w:tcW w:type="dxa" w:w="1728"/>
          </w:tcPr>
          <w:p>
            <w:pPr>
              <w:spacing w:line="240" w:lineRule="auto"/>
            </w:pPr>
            <w:r>
              <w:rPr>
                <w:rFonts w:ascii="Times New Roman" w:hAnsi="Times New Roman"/>
                <w:sz w:val="20"/>
              </w:rPr>
              <w:t>74.0%</w:t>
            </w:r>
          </w:p>
        </w:tc>
      </w:tr>
      <w:tr>
        <w:tc>
          <w:tcPr>
            <w:tcW w:type="dxa" w:w="1728"/>
          </w:tcPr>
          <w:p>
            <w:pPr>
              <w:spacing w:line="240" w:lineRule="auto"/>
            </w:pPr>
            <w:r>
              <w:rPr>
                <w:rFonts w:ascii="Times New Roman" w:hAnsi="Times New Roman"/>
                <w:sz w:val="20"/>
              </w:rPr>
              <w:t>Price-Focused</w:t>
            </w:r>
          </w:p>
        </w:tc>
        <w:tc>
          <w:tcPr>
            <w:tcW w:type="dxa" w:w="1728"/>
          </w:tcPr>
          <w:p>
            <w:pPr>
              <w:spacing w:line="240" w:lineRule="auto"/>
            </w:pPr>
            <w:r>
              <w:rPr>
                <w:rFonts w:ascii="Times New Roman" w:hAnsi="Times New Roman"/>
                <w:sz w:val="20"/>
              </w:rPr>
              <w:t>PF</w:t>
            </w:r>
          </w:p>
        </w:tc>
        <w:tc>
          <w:tcPr>
            <w:tcW w:type="dxa" w:w="1728"/>
          </w:tcPr>
          <w:p>
            <w:pPr>
              <w:spacing w:line="240" w:lineRule="auto"/>
            </w:pPr>
            <w:r>
              <w:rPr>
                <w:rFonts w:ascii="Times New Roman" w:hAnsi="Times New Roman"/>
                <w:sz w:val="20"/>
              </w:rPr>
              <w:t>Sealed bidding with firm-fixed-price; most price-dominant approach</w:t>
            </w:r>
          </w:p>
        </w:tc>
        <w:tc>
          <w:tcPr>
            <w:tcW w:type="dxa" w:w="1728"/>
          </w:tcPr>
          <w:p>
            <w:pPr>
              <w:spacing w:line="240" w:lineRule="auto"/>
            </w:pPr>
            <w:r>
              <w:rPr>
                <w:rFonts w:ascii="Times New Roman" w:hAnsi="Times New Roman"/>
                <w:sz w:val="20"/>
              </w:rPr>
              <w:t>38</w:t>
            </w:r>
          </w:p>
        </w:tc>
        <w:tc>
          <w:tcPr>
            <w:tcW w:type="dxa" w:w="1728"/>
          </w:tcPr>
          <w:p>
            <w:pPr>
              <w:spacing w:line="240" w:lineRule="auto"/>
            </w:pPr>
            <w:r>
              <w:rPr>
                <w:rFonts w:ascii="Times New Roman" w:hAnsi="Times New Roman"/>
                <w:sz w:val="20"/>
              </w:rPr>
              <w:t>0.2%</w:t>
            </w:r>
          </w:p>
        </w:tc>
      </w:tr>
      <w:tr>
        <w:tc>
          <w:tcPr>
            <w:tcW w:type="dxa" w:w="1728"/>
          </w:tcPr>
          <w:p>
            <w:pPr>
              <w:spacing w:line="240" w:lineRule="auto"/>
            </w:pPr>
            <w:r>
              <w:rPr>
                <w:rFonts w:ascii="Times New Roman" w:hAnsi="Times New Roman"/>
                <w:sz w:val="20"/>
              </w:rPr>
              <w:t>Other</w:t>
            </w:r>
          </w:p>
        </w:tc>
        <w:tc>
          <w:tcPr>
            <w:tcW w:type="dxa" w:w="1728"/>
          </w:tcPr>
          <w:p>
            <w:pPr>
              <w:spacing w:line="240" w:lineRule="auto"/>
            </w:pPr>
            <w:r>
              <w:rPr>
                <w:rFonts w:ascii="Times New Roman" w:hAnsi="Times New Roman"/>
                <w:sz w:val="20"/>
              </w:rPr>
              <w:t>OTH</w:t>
            </w:r>
          </w:p>
        </w:tc>
        <w:tc>
          <w:tcPr>
            <w:tcW w:type="dxa" w:w="1728"/>
          </w:tcPr>
          <w:p>
            <w:pPr>
              <w:spacing w:line="240" w:lineRule="auto"/>
            </w:pPr>
            <w:r>
              <w:rPr>
                <w:rFonts w:ascii="Times New Roman" w:hAnsi="Times New Roman"/>
                <w:sz w:val="20"/>
              </w:rPr>
              <w:t>Remaining combinations of solicitation procedure and pricing type</w:t>
            </w:r>
          </w:p>
        </w:tc>
        <w:tc>
          <w:tcPr>
            <w:tcW w:type="dxa" w:w="1728"/>
          </w:tcPr>
          <w:p>
            <w:pPr>
              <w:spacing w:line="240" w:lineRule="auto"/>
            </w:pPr>
            <w:r>
              <w:rPr>
                <w:rFonts w:ascii="Times New Roman" w:hAnsi="Times New Roman"/>
                <w:sz w:val="20"/>
              </w:rPr>
              <w:t>124</w:t>
            </w:r>
          </w:p>
        </w:tc>
        <w:tc>
          <w:tcPr>
            <w:tcW w:type="dxa" w:w="1728"/>
          </w:tcPr>
          <w:p>
            <w:pPr>
              <w:spacing w:line="240" w:lineRule="auto"/>
            </w:pPr>
            <w:r>
              <w:rPr>
                <w:rFonts w:ascii="Times New Roman" w:hAnsi="Times New Roman"/>
                <w:sz w:val="20"/>
              </w:rPr>
              <w:t>0.8%</w:t>
            </w:r>
          </w:p>
        </w:tc>
      </w:tr>
      <w:tr>
        <w:tc>
          <w:tcPr>
            <w:tcW w:type="dxa" w:w="1728"/>
          </w:tcPr>
          <w:p>
            <w:pPr>
              <w:spacing w:line="240" w:lineRule="auto"/>
            </w:pPr>
            <w:r>
              <w:rPr>
                <w:rFonts w:ascii="Times New Roman" w:hAnsi="Times New Roman"/>
                <w:sz w:val="20"/>
              </w:rPr>
              <w:t>Total</w:t>
            </w:r>
          </w:p>
        </w:tc>
        <w:tc>
          <w:tcPr>
            <w:tcW w:type="dxa" w:w="1728"/>
          </w:tcPr>
          <w:p>
            <w:pPr>
              <w:spacing w:line="240" w:lineRule="auto"/>
            </w:pPr>
            <w:r>
              <w:rPr>
                <w:rFonts w:ascii="Times New Roman" w:hAnsi="Times New Roman"/>
                <w:sz w:val="20"/>
              </w:rPr>
            </w:r>
          </w:p>
        </w:tc>
        <w:tc>
          <w:tcPr>
            <w:tcW w:type="dxa" w:w="1728"/>
          </w:tcPr>
          <w:p>
            <w:pPr>
              <w:spacing w:line="240" w:lineRule="auto"/>
            </w:pPr>
            <w:r>
              <w:rPr>
                <w:rFonts w:ascii="Times New Roman" w:hAnsi="Times New Roman"/>
                <w:sz w:val="20"/>
              </w:rPr>
            </w:r>
          </w:p>
        </w:tc>
        <w:tc>
          <w:tcPr>
            <w:tcW w:type="dxa" w:w="1728"/>
          </w:tcPr>
          <w:p>
            <w:pPr>
              <w:spacing w:line="240" w:lineRule="auto"/>
            </w:pPr>
            <w:r>
              <w:rPr>
                <w:rFonts w:ascii="Times New Roman" w:hAnsi="Times New Roman"/>
                <w:sz w:val="20"/>
              </w:rPr>
              <w:t>15,477</w:t>
            </w:r>
          </w:p>
        </w:tc>
        <w:tc>
          <w:tcPr>
            <w:tcW w:type="dxa" w:w="1728"/>
          </w:tcPr>
          <w:p>
            <w:pPr>
              <w:spacing w:line="240" w:lineRule="auto"/>
            </w:pPr>
            <w:r>
              <w:rPr>
                <w:rFonts w:ascii="Times New Roman" w:hAnsi="Times New Roman"/>
                <w:sz w:val="20"/>
              </w:rPr>
              <w:t>100.0%</w:t>
            </w:r>
          </w:p>
        </w:tc>
      </w:tr>
    </w:tbl>
    <w:p>
      <w:pPr>
        <w:ind w:firstLine="720"/>
      </w:pPr>
      <w:r>
        <w:t>Several features of this distribution merit extended comment.</w:t>
      </w:r>
    </w:p>
    <w:p>
      <w:pPr>
        <w:ind w:firstLine="720"/>
      </w:pPr>
      <w:r>
        <w:t>First, task orders under existing indefinite delivery vehicles (IDVs) constituted the dominant procurement mechanism, accounting for 74.0% of all awards in the sample. This finding is consistent with, and reinforces, the broader trend in federal procurement toward the use of Government-Wide Acquisition Contracts (GWACs), multi-agency contracts (MACs), and agency-specific indefinite delivery/indefinite quantity (IDIQ) vehicles as the primary means of acquiring services (GAO, 2019). The dominance of task orders has significant implications for the study. Because the source selection decision for task orders occurs at the vehicle level (when the IDIQ contract is originally competed) rather than at the individual order level, the procurement design for task orders is effectively predetermined by the terms of the parent vehicle. For this reason, task orders were excluded from the primary QE-versus-NFP comparison but were included in robustness analyses (Section 4.8.1) to assess whether the main findings held in a broader sample.</w:t>
      </w:r>
    </w:p>
    <w:p>
      <w:pPr>
        <w:ind w:firstLine="720"/>
      </w:pPr>
      <w:r>
        <w:t>Second, the Price-Focused category, representing pure sealed bidding with firm-fixed-price contracts, contained only 38 awards—a strikingly small number that reflects the near-obsolescence of sealed bidding for complex service acquisitions. Sealed bidding, once the default procurement method under the Competition in Contracting Act of 1984, has been almost entirely supplanted by negotiated procedures for service and IT procurements. This trend reflects the recognition, codified in the Federal Acquisition Streamlining Act of 1994 and subsequent reforms, that the rigidity of sealed bidding—with its requirement for award to the lowest responsive, responsible bidder without discussion—is poorly suited to requirements where technical approach and past performance are material discriminators. The virtual absence of Price-Focused awards precluded the inclusion of this category as a meaningful comparison group, which is why the primary analysis focuses on the QE-versus-NFP contrast rather than a broader comparison across all procurement design categories.</w:t>
      </w:r>
    </w:p>
    <w:p>
      <w:pPr>
        <w:ind w:firstLine="720"/>
      </w:pPr>
      <w:r>
        <w:t>Third, the Other category (</w:t>
      </w:r>
      <w:r>
        <w:rPr>
          <w:i/>
        </w:rPr>
        <w:t>n</w:t>
      </w:r>
      <w:r>
        <w:t xml:space="preserve"> = 124, 0.8%) encompassed residual combinations of solicitation procedure and pricing type that did not map cleanly onto the four primary categories. These included, for example, negotiated awards with time-and-materials pricing (which share characteristics of both QE and NFP) and awards with unusual contracting arrangements. The small size of this category precluded separate analysis.</w:t>
      </w:r>
    </w:p>
    <w:p>
      <w:pPr>
        <w:ind w:firstLine="720"/>
      </w:pPr>
      <w:r>
        <w:t>Fourth, and most importantly for the study's analytical design, the two categories of primary analytical interest—Quality-Evaluating (QE) and Negotiated Fixed-Price (NFP)—together comprised 3,869 awards (25.0% of the total), forming the main comparison sample for hypothesis testing. The 1,379 QE awards and 2,490 NFP awards provided a sample with sufficient size for multivariable regression, propensity score matching, and subgroup analyses while representing a meaningful and clearly differentiated contrast in procurement philosophy.</w:t>
      </w:r>
    </w:p>
    <w:p>
      <w:pPr>
        <w:pStyle w:val="Heading3"/>
      </w:pPr>
      <w:r>
        <w:rPr>
          <w:rFonts w:ascii="Times New Roman" w:hAnsi="Times New Roman"/>
          <w:color w:val="000000"/>
        </w:rPr>
        <w:t>4.2.3 Descriptive Statistics for Key Variables</w:t>
      </w:r>
    </w:p>
    <w:p>
      <w:pPr>
        <w:ind w:firstLine="720"/>
      </w:pPr>
      <w:r>
        <w:t xml:space="preserve">Before proceeding to the regression analyses, it is essential to understand the distributional characteristics of the key variables. Table 4.2 presents descriptive statistics for the principal dependent and control variables, stratified by the two main procurement design categories. The table includes means, standard deviations, and medians for continuous variables, as well as percentages for categorical variables. Independent-samples </w:t>
      </w:r>
      <w:r>
        <w:rPr>
          <w:i/>
        </w:rPr>
        <w:t>t</w:t>
      </w:r>
      <w:r>
        <w:t xml:space="preserve">-tests are reported for comparisons between QE and NFP groups, along with Cohen's </w:t>
      </w:r>
      <w:r>
        <w:rPr>
          <w:i/>
        </w:rPr>
        <w:t>d</w:t>
      </w:r>
      <w:r>
        <w:t xml:space="preserve"> effect sizes.</w:t>
      </w:r>
    </w:p>
    <w:p>
      <w:pPr>
        <w:ind w:firstLine="720"/>
      </w:pPr>
      <w:r>
        <w:rPr>
          <w:b/>
        </w:rPr>
        <w:t>Table 4.2</w:t>
      </w:r>
    </w:p>
    <w:p>
      <w:pPr>
        <w:ind w:firstLine="720"/>
      </w:pPr>
      <w:r>
        <w:rPr>
          <w:i/>
        </w:rPr>
        <w:t>Descriptive Statistics for Key Variables by Procurement Design Category (QE vs. NFP)</w:t>
      </w:r>
    </w:p>
    <w:tbl>
      <w:tblPr>
        <w:tblStyle w:val="TableGrid"/>
        <w:tblW w:type="auto" w:w="0"/>
        <w:tblLook w:firstColumn="1" w:firstRow="1" w:lastColumn="0" w:lastRow="0" w:noHBand="0" w:noVBand="1" w:val="04A0"/>
      </w:tblPr>
      <w:tblGrid>
        <w:gridCol w:w="1080"/>
        <w:gridCol w:w="1080"/>
        <w:gridCol w:w="1080"/>
        <w:gridCol w:w="1080"/>
        <w:gridCol w:w="1080"/>
        <w:gridCol w:w="1080"/>
        <w:gridCol w:w="1080"/>
        <w:gridCol w:w="1080"/>
      </w:tblGrid>
      <w:tr>
        <w:tc>
          <w:tcPr>
            <w:tcW w:type="dxa" w:w="1080"/>
          </w:tcPr>
          <w:p>
            <w:pPr>
              <w:spacing w:line="240" w:lineRule="auto"/>
            </w:pPr>
            <w:r>
              <w:rPr>
                <w:rFonts w:ascii="Times New Roman" w:hAnsi="Times New Roman"/>
                <w:b/>
                <w:sz w:val="20"/>
              </w:rPr>
              <w:t>Variable</w:t>
            </w:r>
          </w:p>
        </w:tc>
        <w:tc>
          <w:tcPr>
            <w:tcW w:type="dxa" w:w="1080"/>
          </w:tcPr>
          <w:p>
            <w:pPr>
              <w:spacing w:line="240" w:lineRule="auto"/>
            </w:pPr>
            <w:r>
              <w:rPr>
                <w:rFonts w:ascii="Times New Roman" w:hAnsi="Times New Roman"/>
                <w:b/>
                <w:sz w:val="20"/>
              </w:rPr>
              <w:t>QE (n = 1,379)</w:t>
            </w:r>
          </w:p>
        </w:tc>
        <w:tc>
          <w:tcPr>
            <w:tcW w:type="dxa" w:w="1080"/>
          </w:tcPr>
          <w:p>
            <w:pPr>
              <w:spacing w:line="240" w:lineRule="auto"/>
            </w:pPr>
            <w:r>
              <w:rPr>
                <w:rFonts w:ascii="Times New Roman" w:hAnsi="Times New Roman"/>
                <w:b/>
                <w:sz w:val="20"/>
              </w:rPr>
            </w:r>
          </w:p>
        </w:tc>
        <w:tc>
          <w:tcPr>
            <w:tcW w:type="dxa" w:w="1080"/>
          </w:tcPr>
          <w:p>
            <w:pPr>
              <w:spacing w:line="240" w:lineRule="auto"/>
            </w:pPr>
            <w:r>
              <w:rPr>
                <w:rFonts w:ascii="Times New Roman" w:hAnsi="Times New Roman"/>
                <w:b/>
                <w:sz w:val="20"/>
              </w:rPr>
            </w:r>
          </w:p>
        </w:tc>
        <w:tc>
          <w:tcPr>
            <w:tcW w:type="dxa" w:w="1080"/>
          </w:tcPr>
          <w:p>
            <w:pPr>
              <w:spacing w:line="240" w:lineRule="auto"/>
            </w:pPr>
            <w:r>
              <w:rPr>
                <w:rFonts w:ascii="Times New Roman" w:hAnsi="Times New Roman"/>
                <w:b/>
                <w:sz w:val="20"/>
              </w:rPr>
              <w:t>NFP (n = 2,490)</w:t>
            </w:r>
          </w:p>
        </w:tc>
        <w:tc>
          <w:tcPr>
            <w:tcW w:type="dxa" w:w="1080"/>
          </w:tcPr>
          <w:p>
            <w:pPr>
              <w:spacing w:line="240" w:lineRule="auto"/>
            </w:pPr>
            <w:r>
              <w:rPr>
                <w:rFonts w:ascii="Times New Roman" w:hAnsi="Times New Roman"/>
                <w:b/>
                <w:sz w:val="20"/>
              </w:rPr>
            </w:r>
          </w:p>
        </w:tc>
        <w:tc>
          <w:tcPr>
            <w:tcW w:type="dxa" w:w="1080"/>
          </w:tcPr>
          <w:p>
            <w:pPr>
              <w:spacing w:line="240" w:lineRule="auto"/>
            </w:pPr>
            <w:r>
              <w:rPr>
                <w:rFonts w:ascii="Times New Roman" w:hAnsi="Times New Roman"/>
                <w:b/>
                <w:sz w:val="20"/>
              </w:rPr>
            </w:r>
          </w:p>
        </w:tc>
        <w:tc>
          <w:tcPr>
            <w:tcW w:type="dxa" w:w="1080"/>
          </w:tcPr>
          <w:p>
            <w:pPr>
              <w:spacing w:line="240" w:lineRule="auto"/>
            </w:pPr>
            <w:r>
              <w:rPr>
                <w:rFonts w:ascii="Times New Roman" w:hAnsi="Times New Roman"/>
                <w:b/>
                <w:sz w:val="20"/>
              </w:rPr>
              <w:t>Test Statistic</w:t>
            </w:r>
          </w:p>
        </w:tc>
      </w:tr>
      <w:tr>
        <w:tc>
          <w:tcPr>
            <w:tcW w:type="dxa" w:w="1080"/>
          </w:tcPr>
          <w:p>
            <w:pPr>
              <w:spacing w:line="240" w:lineRule="auto"/>
            </w:pPr>
            <w:r>
              <w:rPr>
                <w:rFonts w:ascii="Times New Roman" w:hAnsi="Times New Roman"/>
                <w:sz w:val="20"/>
              </w:rPr>
            </w:r>
          </w:p>
        </w:tc>
        <w:tc>
          <w:tcPr>
            <w:tcW w:type="dxa" w:w="1080"/>
          </w:tcPr>
          <w:p>
            <w:pPr>
              <w:spacing w:line="240" w:lineRule="auto"/>
            </w:pPr>
            <w:r>
              <w:rPr>
                <w:rFonts w:ascii="Times New Roman" w:hAnsi="Times New Roman"/>
                <w:sz w:val="20"/>
              </w:rPr>
              <w:t>Mean</w:t>
            </w:r>
          </w:p>
        </w:tc>
        <w:tc>
          <w:tcPr>
            <w:tcW w:type="dxa" w:w="1080"/>
          </w:tcPr>
          <w:p>
            <w:pPr>
              <w:spacing w:line="240" w:lineRule="auto"/>
            </w:pPr>
            <w:r>
              <w:rPr>
                <w:rFonts w:ascii="Times New Roman" w:hAnsi="Times New Roman"/>
                <w:sz w:val="20"/>
              </w:rPr>
              <w:t>SD</w:t>
            </w:r>
          </w:p>
        </w:tc>
        <w:tc>
          <w:tcPr>
            <w:tcW w:type="dxa" w:w="1080"/>
          </w:tcPr>
          <w:p>
            <w:pPr>
              <w:spacing w:line="240" w:lineRule="auto"/>
            </w:pPr>
            <w:r>
              <w:rPr>
                <w:rFonts w:ascii="Times New Roman" w:hAnsi="Times New Roman"/>
                <w:sz w:val="20"/>
              </w:rPr>
              <w:t>Median</w:t>
            </w:r>
          </w:p>
        </w:tc>
        <w:tc>
          <w:tcPr>
            <w:tcW w:type="dxa" w:w="1080"/>
          </w:tcPr>
          <w:p>
            <w:pPr>
              <w:spacing w:line="240" w:lineRule="auto"/>
            </w:pPr>
            <w:r>
              <w:rPr>
                <w:rFonts w:ascii="Times New Roman" w:hAnsi="Times New Roman"/>
                <w:sz w:val="20"/>
              </w:rPr>
              <w:t>Mean</w:t>
            </w:r>
          </w:p>
        </w:tc>
        <w:tc>
          <w:tcPr>
            <w:tcW w:type="dxa" w:w="1080"/>
          </w:tcPr>
          <w:p>
            <w:pPr>
              <w:spacing w:line="240" w:lineRule="auto"/>
            </w:pPr>
            <w:r>
              <w:rPr>
                <w:rFonts w:ascii="Times New Roman" w:hAnsi="Times New Roman"/>
                <w:sz w:val="20"/>
              </w:rPr>
              <w:t>SD</w:t>
            </w:r>
          </w:p>
        </w:tc>
        <w:tc>
          <w:tcPr>
            <w:tcW w:type="dxa" w:w="1080"/>
          </w:tcPr>
          <w:p>
            <w:pPr>
              <w:spacing w:line="240" w:lineRule="auto"/>
            </w:pPr>
            <w:r>
              <w:rPr>
                <w:rFonts w:ascii="Times New Roman" w:hAnsi="Times New Roman"/>
                <w:sz w:val="20"/>
              </w:rPr>
              <w:t>Median</w:t>
            </w:r>
          </w:p>
        </w:tc>
        <w:tc>
          <w:tcPr>
            <w:tcW w:type="dxa" w:w="1080"/>
          </w:tcPr>
          <w:p>
            <w:pPr>
              <w:spacing w:line="240" w:lineRule="auto"/>
            </w:pPr>
            <w:r>
              <w:rPr>
                <w:rFonts w:ascii="Times New Roman" w:hAnsi="Times New Roman"/>
                <w:sz w:val="20"/>
              </w:rPr>
            </w:r>
          </w:p>
        </w:tc>
      </w:tr>
      <w:tr>
        <w:tc>
          <w:tcPr>
            <w:tcW w:type="dxa" w:w="1080"/>
          </w:tcPr>
          <w:p>
            <w:pPr>
              <w:spacing w:line="240" w:lineRule="auto"/>
            </w:pPr>
            <w:r>
              <w:rPr>
                <w:rFonts w:ascii="Times New Roman" w:hAnsi="Times New Roman"/>
                <w:sz w:val="20"/>
              </w:rPr>
              <w:t>Award obligation ($)</w:t>
            </w:r>
          </w:p>
        </w:tc>
        <w:tc>
          <w:tcPr>
            <w:tcW w:type="dxa" w:w="1080"/>
          </w:tcPr>
          <w:p>
            <w:pPr>
              <w:spacing w:line="240" w:lineRule="auto"/>
            </w:pPr>
            <w:r>
              <w:rPr>
                <w:rFonts w:ascii="Times New Roman" w:hAnsi="Times New Roman"/>
                <w:sz w:val="20"/>
              </w:rPr>
              <w:t>$4,550,000</w:t>
            </w:r>
          </w:p>
        </w:tc>
        <w:tc>
          <w:tcPr>
            <w:tcW w:type="dxa" w:w="1080"/>
          </w:tcPr>
          <w:p>
            <w:pPr>
              <w:spacing w:line="240" w:lineRule="auto"/>
            </w:pPr>
            <w:r>
              <w:rPr>
                <w:rFonts w:ascii="Times New Roman" w:hAnsi="Times New Roman"/>
                <w:sz w:val="20"/>
              </w:rPr>
              <w:t>$53,700,000</w:t>
            </w:r>
          </w:p>
        </w:tc>
        <w:tc>
          <w:tcPr>
            <w:tcW w:type="dxa" w:w="1080"/>
          </w:tcPr>
          <w:p>
            <w:pPr>
              <w:spacing w:line="240" w:lineRule="auto"/>
            </w:pPr>
            <w:r>
              <w:rPr>
                <w:rFonts w:ascii="Times New Roman" w:hAnsi="Times New Roman"/>
                <w:sz w:val="20"/>
              </w:rPr>
              <w:t>$80,000</w:t>
            </w:r>
          </w:p>
        </w:tc>
        <w:tc>
          <w:tcPr>
            <w:tcW w:type="dxa" w:w="1080"/>
          </w:tcPr>
          <w:p>
            <w:pPr>
              <w:spacing w:line="240" w:lineRule="auto"/>
            </w:pPr>
            <w:r>
              <w:rPr>
                <w:rFonts w:ascii="Times New Roman" w:hAnsi="Times New Roman"/>
                <w:sz w:val="20"/>
              </w:rPr>
              <w:t>$1,050,000</w:t>
            </w:r>
          </w:p>
        </w:tc>
        <w:tc>
          <w:tcPr>
            <w:tcW w:type="dxa" w:w="1080"/>
          </w:tcPr>
          <w:p>
            <w:pPr>
              <w:spacing w:line="240" w:lineRule="auto"/>
            </w:pPr>
            <w:r>
              <w:rPr>
                <w:rFonts w:ascii="Times New Roman" w:hAnsi="Times New Roman"/>
                <w:sz w:val="20"/>
              </w:rPr>
              <w:t>$3,800,000</w:t>
            </w:r>
          </w:p>
        </w:tc>
        <w:tc>
          <w:tcPr>
            <w:tcW w:type="dxa" w:w="1080"/>
          </w:tcPr>
          <w:p>
            <w:pPr>
              <w:spacing w:line="240" w:lineRule="auto"/>
            </w:pPr>
            <w:r>
              <w:rPr>
                <w:rFonts w:ascii="Times New Roman" w:hAnsi="Times New Roman"/>
                <w:sz w:val="20"/>
              </w:rPr>
              <w:t>$107,000</w:t>
            </w:r>
          </w:p>
        </w:tc>
        <w:tc>
          <w:tcPr>
            <w:tcW w:type="dxa" w:w="1080"/>
          </w:tcPr>
          <w:p>
            <w:pPr>
              <w:spacing w:line="240" w:lineRule="auto"/>
            </w:pPr>
            <w:r>
              <w:rPr>
                <w:rFonts w:ascii="Times New Roman" w:hAnsi="Times New Roman"/>
                <w:sz w:val="20"/>
              </w:rPr>
              <w:t>—</w:t>
            </w:r>
          </w:p>
        </w:tc>
      </w:tr>
      <w:tr>
        <w:tc>
          <w:tcPr>
            <w:tcW w:type="dxa" w:w="1080"/>
          </w:tcPr>
          <w:p>
            <w:pPr>
              <w:spacing w:line="240" w:lineRule="auto"/>
            </w:pPr>
            <w:r>
              <w:rPr>
                <w:rFonts w:ascii="Times New Roman" w:hAnsi="Times New Roman"/>
                <w:sz w:val="20"/>
              </w:rPr>
              <w:t>Log award amount</w:t>
            </w:r>
          </w:p>
        </w:tc>
        <w:tc>
          <w:tcPr>
            <w:tcW w:type="dxa" w:w="1080"/>
          </w:tcPr>
          <w:p>
            <w:pPr>
              <w:spacing w:line="240" w:lineRule="auto"/>
            </w:pPr>
            <w:r>
              <w:rPr>
                <w:rFonts w:ascii="Times New Roman" w:hAnsi="Times New Roman"/>
                <w:sz w:val="20"/>
              </w:rPr>
              <w:t>15.26</w:t>
            </w:r>
          </w:p>
        </w:tc>
        <w:tc>
          <w:tcPr>
            <w:tcW w:type="dxa" w:w="1080"/>
          </w:tcPr>
          <w:p>
            <w:pPr>
              <w:spacing w:line="240" w:lineRule="auto"/>
            </w:pPr>
            <w:r>
              <w:rPr>
                <w:rFonts w:ascii="Times New Roman" w:hAnsi="Times New Roman"/>
                <w:sz w:val="20"/>
              </w:rPr>
              <w:t>1.89</w:t>
            </w:r>
          </w:p>
        </w:tc>
        <w:tc>
          <w:tcPr>
            <w:tcW w:type="dxa" w:w="1080"/>
          </w:tcPr>
          <w:p>
            <w:pPr>
              <w:spacing w:line="240" w:lineRule="auto"/>
            </w:pPr>
            <w:r>
              <w:rPr>
                <w:rFonts w:ascii="Times New Roman" w:hAnsi="Times New Roman"/>
                <w:sz w:val="20"/>
              </w:rPr>
              <w:t>—</w:t>
            </w:r>
          </w:p>
        </w:tc>
        <w:tc>
          <w:tcPr>
            <w:tcW w:type="dxa" w:w="1080"/>
          </w:tcPr>
          <w:p>
            <w:pPr>
              <w:spacing w:line="240" w:lineRule="auto"/>
            </w:pPr>
            <w:r>
              <w:rPr>
                <w:rFonts w:ascii="Times New Roman" w:hAnsi="Times New Roman"/>
                <w:sz w:val="20"/>
              </w:rPr>
              <w:t>14.59</w:t>
            </w:r>
          </w:p>
        </w:tc>
        <w:tc>
          <w:tcPr>
            <w:tcW w:type="dxa" w:w="1080"/>
          </w:tcPr>
          <w:p>
            <w:pPr>
              <w:spacing w:line="240" w:lineRule="auto"/>
            </w:pPr>
            <w:r>
              <w:rPr>
                <w:rFonts w:ascii="Times New Roman" w:hAnsi="Times New Roman"/>
                <w:sz w:val="20"/>
              </w:rPr>
              <w:t>1.52</w:t>
            </w:r>
          </w:p>
        </w:tc>
        <w:tc>
          <w:tcPr>
            <w:tcW w:type="dxa" w:w="1080"/>
          </w:tcPr>
          <w:p>
            <w:pPr>
              <w:spacing w:line="240" w:lineRule="auto"/>
            </w:pPr>
            <w:r>
              <w:rPr>
                <w:rFonts w:ascii="Times New Roman" w:hAnsi="Times New Roman"/>
                <w:sz w:val="20"/>
              </w:rPr>
              <w:t>—</w:t>
            </w:r>
          </w:p>
        </w:tc>
        <w:tc>
          <w:tcPr>
            <w:tcW w:type="dxa" w:w="1080"/>
          </w:tcPr>
          <w:p>
            <w:pPr>
              <w:spacing w:line="240" w:lineRule="auto"/>
            </w:pPr>
            <w:r>
              <w:rPr>
                <w:rFonts w:ascii="Times New Roman" w:hAnsi="Times New Roman"/>
                <w:sz w:val="20"/>
              </w:rPr>
              <w:t>t = 10.52, p &lt; .001, d = 0.36</w:t>
            </w:r>
          </w:p>
        </w:tc>
      </w:tr>
      <w:tr>
        <w:tc>
          <w:tcPr>
            <w:tcW w:type="dxa" w:w="1080"/>
          </w:tcPr>
          <w:p>
            <w:pPr>
              <w:spacing w:line="240" w:lineRule="auto"/>
            </w:pPr>
            <w:r>
              <w:rPr>
                <w:rFonts w:ascii="Times New Roman" w:hAnsi="Times New Roman"/>
                <w:sz w:val="20"/>
              </w:rPr>
              <w:t>Cost growth (%, winsorized)</w:t>
            </w:r>
          </w:p>
        </w:tc>
        <w:tc>
          <w:tcPr>
            <w:tcW w:type="dxa" w:w="1080"/>
          </w:tcPr>
          <w:p>
            <w:pPr>
              <w:spacing w:line="240" w:lineRule="auto"/>
            </w:pPr>
            <w:r>
              <w:rPr>
                <w:rFonts w:ascii="Times New Roman" w:hAnsi="Times New Roman"/>
                <w:sz w:val="20"/>
              </w:rPr>
              <w:t>9.85</w:t>
            </w:r>
          </w:p>
        </w:tc>
        <w:tc>
          <w:tcPr>
            <w:tcW w:type="dxa" w:w="1080"/>
          </w:tcPr>
          <w:p>
            <w:pPr>
              <w:spacing w:line="240" w:lineRule="auto"/>
            </w:pPr>
            <w:r>
              <w:rPr>
                <w:rFonts w:ascii="Times New Roman" w:hAnsi="Times New Roman"/>
                <w:sz w:val="20"/>
              </w:rPr>
              <w:t>10.62</w:t>
            </w:r>
          </w:p>
        </w:tc>
        <w:tc>
          <w:tcPr>
            <w:tcW w:type="dxa" w:w="1080"/>
          </w:tcPr>
          <w:p>
            <w:pPr>
              <w:spacing w:line="240" w:lineRule="auto"/>
            </w:pPr>
            <w:r>
              <w:rPr>
                <w:rFonts w:ascii="Times New Roman" w:hAnsi="Times New Roman"/>
                <w:sz w:val="20"/>
              </w:rPr>
              <w:t>—</w:t>
            </w:r>
          </w:p>
        </w:tc>
        <w:tc>
          <w:tcPr>
            <w:tcW w:type="dxa" w:w="1080"/>
          </w:tcPr>
          <w:p>
            <w:pPr>
              <w:spacing w:line="240" w:lineRule="auto"/>
            </w:pPr>
            <w:r>
              <w:rPr>
                <w:rFonts w:ascii="Times New Roman" w:hAnsi="Times New Roman"/>
                <w:sz w:val="20"/>
              </w:rPr>
              <w:t>7.82</w:t>
            </w:r>
          </w:p>
        </w:tc>
        <w:tc>
          <w:tcPr>
            <w:tcW w:type="dxa" w:w="1080"/>
          </w:tcPr>
          <w:p>
            <w:pPr>
              <w:spacing w:line="240" w:lineRule="auto"/>
            </w:pPr>
            <w:r>
              <w:rPr>
                <w:rFonts w:ascii="Times New Roman" w:hAnsi="Times New Roman"/>
                <w:sz w:val="20"/>
              </w:rPr>
              <w:t>9.45</w:t>
            </w:r>
          </w:p>
        </w:tc>
        <w:tc>
          <w:tcPr>
            <w:tcW w:type="dxa" w:w="1080"/>
          </w:tcPr>
          <w:p>
            <w:pPr>
              <w:spacing w:line="240" w:lineRule="auto"/>
            </w:pPr>
            <w:r>
              <w:rPr>
                <w:rFonts w:ascii="Times New Roman" w:hAnsi="Times New Roman"/>
                <w:sz w:val="20"/>
              </w:rPr>
              <w:t>—</w:t>
            </w:r>
          </w:p>
        </w:tc>
        <w:tc>
          <w:tcPr>
            <w:tcW w:type="dxa" w:w="1080"/>
          </w:tcPr>
          <w:p>
            <w:pPr>
              <w:spacing w:line="240" w:lineRule="auto"/>
            </w:pPr>
            <w:r>
              <w:rPr>
                <w:rFonts w:ascii="Times New Roman" w:hAnsi="Times New Roman"/>
                <w:sz w:val="20"/>
              </w:rPr>
              <w:t>t = 4.24, p &lt; .001, d = 0.20</w:t>
            </w:r>
          </w:p>
        </w:tc>
      </w:tr>
      <w:tr>
        <w:tc>
          <w:tcPr>
            <w:tcW w:type="dxa" w:w="1080"/>
          </w:tcPr>
          <w:p>
            <w:pPr>
              <w:spacing w:line="240" w:lineRule="auto"/>
            </w:pPr>
            <w:r>
              <w:rPr>
                <w:rFonts w:ascii="Times New Roman" w:hAnsi="Times New Roman"/>
                <w:sz w:val="20"/>
              </w:rPr>
              <w:t>Modification count</w:t>
            </w:r>
          </w:p>
        </w:tc>
        <w:tc>
          <w:tcPr>
            <w:tcW w:type="dxa" w:w="1080"/>
          </w:tcPr>
          <w:p>
            <w:pPr>
              <w:spacing w:line="240" w:lineRule="auto"/>
            </w:pPr>
            <w:r>
              <w:rPr>
                <w:rFonts w:ascii="Times New Roman" w:hAnsi="Times New Roman"/>
                <w:sz w:val="20"/>
              </w:rPr>
              <w:t>1.72</w:t>
            </w:r>
          </w:p>
        </w:tc>
        <w:tc>
          <w:tcPr>
            <w:tcW w:type="dxa" w:w="1080"/>
          </w:tcPr>
          <w:p>
            <w:pPr>
              <w:spacing w:line="240" w:lineRule="auto"/>
            </w:pPr>
            <w:r>
              <w:rPr>
                <w:rFonts w:ascii="Times New Roman" w:hAnsi="Times New Roman"/>
                <w:sz w:val="20"/>
              </w:rPr>
              <w:t>1.34</w:t>
            </w:r>
          </w:p>
        </w:tc>
        <w:tc>
          <w:tcPr>
            <w:tcW w:type="dxa" w:w="1080"/>
          </w:tcPr>
          <w:p>
            <w:pPr>
              <w:spacing w:line="240" w:lineRule="auto"/>
            </w:pPr>
            <w:r>
              <w:rPr>
                <w:rFonts w:ascii="Times New Roman" w:hAnsi="Times New Roman"/>
                <w:sz w:val="20"/>
              </w:rPr>
              <w:t>—</w:t>
            </w:r>
          </w:p>
        </w:tc>
        <w:tc>
          <w:tcPr>
            <w:tcW w:type="dxa" w:w="1080"/>
          </w:tcPr>
          <w:p>
            <w:pPr>
              <w:spacing w:line="240" w:lineRule="auto"/>
            </w:pPr>
            <w:r>
              <w:rPr>
                <w:rFonts w:ascii="Times New Roman" w:hAnsi="Times New Roman"/>
                <w:sz w:val="20"/>
              </w:rPr>
              <w:t>1.62</w:t>
            </w:r>
          </w:p>
        </w:tc>
        <w:tc>
          <w:tcPr>
            <w:tcW w:type="dxa" w:w="1080"/>
          </w:tcPr>
          <w:p>
            <w:pPr>
              <w:spacing w:line="240" w:lineRule="auto"/>
            </w:pPr>
            <w:r>
              <w:rPr>
                <w:rFonts w:ascii="Times New Roman" w:hAnsi="Times New Roman"/>
                <w:sz w:val="20"/>
              </w:rPr>
              <w:t>1.18</w:t>
            </w:r>
          </w:p>
        </w:tc>
        <w:tc>
          <w:tcPr>
            <w:tcW w:type="dxa" w:w="1080"/>
          </w:tcPr>
          <w:p>
            <w:pPr>
              <w:spacing w:line="240" w:lineRule="auto"/>
            </w:pPr>
            <w:r>
              <w:rPr>
                <w:rFonts w:ascii="Times New Roman" w:hAnsi="Times New Roman"/>
                <w:sz w:val="20"/>
              </w:rPr>
              <w:t>—</w:t>
            </w:r>
          </w:p>
        </w:tc>
        <w:tc>
          <w:tcPr>
            <w:tcW w:type="dxa" w:w="1080"/>
          </w:tcPr>
          <w:p>
            <w:pPr>
              <w:spacing w:line="240" w:lineRule="auto"/>
            </w:pPr>
            <w:r>
              <w:rPr>
                <w:rFonts w:ascii="Times New Roman" w:hAnsi="Times New Roman"/>
                <w:sz w:val="20"/>
              </w:rPr>
              <w:t>t = 2.23, p = .026, d = 0.08</w:t>
            </w:r>
          </w:p>
        </w:tc>
      </w:tr>
      <w:tr>
        <w:tc>
          <w:tcPr>
            <w:tcW w:type="dxa" w:w="1080"/>
          </w:tcPr>
          <w:p>
            <w:pPr>
              <w:spacing w:line="240" w:lineRule="auto"/>
            </w:pPr>
            <w:r>
              <w:rPr>
                <w:rFonts w:ascii="Times New Roman" w:hAnsi="Times New Roman"/>
                <w:sz w:val="20"/>
              </w:rPr>
              <w:t>Number of offers received</w:t>
            </w:r>
          </w:p>
        </w:tc>
        <w:tc>
          <w:tcPr>
            <w:tcW w:type="dxa" w:w="1080"/>
          </w:tcPr>
          <w:p>
            <w:pPr>
              <w:spacing w:line="240" w:lineRule="auto"/>
            </w:pPr>
            <w:r>
              <w:rPr>
                <w:rFonts w:ascii="Times New Roman" w:hAnsi="Times New Roman"/>
                <w:sz w:val="20"/>
              </w:rPr>
              <w:t>6.29</w:t>
            </w:r>
          </w:p>
        </w:tc>
        <w:tc>
          <w:tcPr>
            <w:tcW w:type="dxa" w:w="1080"/>
          </w:tcPr>
          <w:p>
            <w:pPr>
              <w:spacing w:line="240" w:lineRule="auto"/>
            </w:pPr>
            <w:r>
              <w:rPr>
                <w:rFonts w:ascii="Times New Roman" w:hAnsi="Times New Roman"/>
                <w:sz w:val="20"/>
              </w:rPr>
              <w:t>—</w:t>
            </w:r>
          </w:p>
        </w:tc>
        <w:tc>
          <w:tcPr>
            <w:tcW w:type="dxa" w:w="1080"/>
          </w:tcPr>
          <w:p>
            <w:pPr>
              <w:spacing w:line="240" w:lineRule="auto"/>
            </w:pPr>
            <w:r>
              <w:rPr>
                <w:rFonts w:ascii="Times New Roman" w:hAnsi="Times New Roman"/>
                <w:sz w:val="20"/>
              </w:rPr>
              <w:t>—</w:t>
            </w:r>
          </w:p>
        </w:tc>
        <w:tc>
          <w:tcPr>
            <w:tcW w:type="dxa" w:w="1080"/>
          </w:tcPr>
          <w:p>
            <w:pPr>
              <w:spacing w:line="240" w:lineRule="auto"/>
            </w:pPr>
            <w:r>
              <w:rPr>
                <w:rFonts w:ascii="Times New Roman" w:hAnsi="Times New Roman"/>
                <w:sz w:val="20"/>
              </w:rPr>
              <w:t>8.21</w:t>
            </w:r>
          </w:p>
        </w:tc>
        <w:tc>
          <w:tcPr>
            <w:tcW w:type="dxa" w:w="1080"/>
          </w:tcPr>
          <w:p>
            <w:pPr>
              <w:spacing w:line="240" w:lineRule="auto"/>
            </w:pPr>
            <w:r>
              <w:rPr>
                <w:rFonts w:ascii="Times New Roman" w:hAnsi="Times New Roman"/>
                <w:sz w:val="20"/>
              </w:rPr>
              <w:t>—</w:t>
            </w:r>
          </w:p>
        </w:tc>
        <w:tc>
          <w:tcPr>
            <w:tcW w:type="dxa" w:w="1080"/>
          </w:tcPr>
          <w:p>
            <w:pPr>
              <w:spacing w:line="240" w:lineRule="auto"/>
            </w:pPr>
            <w:r>
              <w:rPr>
                <w:rFonts w:ascii="Times New Roman" w:hAnsi="Times New Roman"/>
                <w:sz w:val="20"/>
              </w:rPr>
              <w:t>—</w:t>
            </w:r>
          </w:p>
        </w:tc>
        <w:tc>
          <w:tcPr>
            <w:tcW w:type="dxa" w:w="1080"/>
          </w:tcPr>
          <w:p>
            <w:pPr>
              <w:spacing w:line="240" w:lineRule="auto"/>
            </w:pPr>
            <w:r>
              <w:rPr>
                <w:rFonts w:ascii="Times New Roman" w:hAnsi="Times New Roman"/>
                <w:sz w:val="20"/>
              </w:rPr>
              <w:t>t = -0.87, p = .385, d = -0.05</w:t>
            </w:r>
          </w:p>
        </w:tc>
      </w:tr>
      <w:tr>
        <w:tc>
          <w:tcPr>
            <w:tcW w:type="dxa" w:w="1080"/>
          </w:tcPr>
          <w:p>
            <w:pPr>
              <w:spacing w:line="240" w:lineRule="auto"/>
            </w:pPr>
            <w:r>
              <w:rPr>
                <w:rFonts w:ascii="Times New Roman" w:hAnsi="Times New Roman"/>
                <w:sz w:val="20"/>
              </w:rPr>
              <w:t>Single-bid rate (%)</w:t>
            </w:r>
          </w:p>
        </w:tc>
        <w:tc>
          <w:tcPr>
            <w:tcW w:type="dxa" w:w="1080"/>
          </w:tcPr>
          <w:p>
            <w:pPr>
              <w:spacing w:line="240" w:lineRule="auto"/>
            </w:pPr>
            <w:r>
              <w:rPr>
                <w:rFonts w:ascii="Times New Roman" w:hAnsi="Times New Roman"/>
                <w:sz w:val="20"/>
              </w:rPr>
              <w:t>4.4%</w:t>
            </w:r>
          </w:p>
        </w:tc>
        <w:tc>
          <w:tcPr>
            <w:tcW w:type="dxa" w:w="1080"/>
          </w:tcPr>
          <w:p>
            <w:pPr>
              <w:spacing w:line="240" w:lineRule="auto"/>
            </w:pPr>
            <w:r>
              <w:rPr>
                <w:rFonts w:ascii="Times New Roman" w:hAnsi="Times New Roman"/>
                <w:sz w:val="20"/>
              </w:rPr>
              <w:t>—</w:t>
            </w:r>
          </w:p>
        </w:tc>
        <w:tc>
          <w:tcPr>
            <w:tcW w:type="dxa" w:w="1080"/>
          </w:tcPr>
          <w:p>
            <w:pPr>
              <w:spacing w:line="240" w:lineRule="auto"/>
            </w:pPr>
            <w:r>
              <w:rPr>
                <w:rFonts w:ascii="Times New Roman" w:hAnsi="Times New Roman"/>
                <w:sz w:val="20"/>
              </w:rPr>
              <w:t>—</w:t>
            </w:r>
          </w:p>
        </w:tc>
        <w:tc>
          <w:tcPr>
            <w:tcW w:type="dxa" w:w="1080"/>
          </w:tcPr>
          <w:p>
            <w:pPr>
              <w:spacing w:line="240" w:lineRule="auto"/>
            </w:pPr>
            <w:r>
              <w:rPr>
                <w:rFonts w:ascii="Times New Roman" w:hAnsi="Times New Roman"/>
                <w:sz w:val="20"/>
              </w:rPr>
              <w:t>5.6%</w:t>
            </w:r>
          </w:p>
        </w:tc>
        <w:tc>
          <w:tcPr>
            <w:tcW w:type="dxa" w:w="1080"/>
          </w:tcPr>
          <w:p>
            <w:pPr>
              <w:spacing w:line="240" w:lineRule="auto"/>
            </w:pPr>
            <w:r>
              <w:rPr>
                <w:rFonts w:ascii="Times New Roman" w:hAnsi="Times New Roman"/>
                <w:sz w:val="20"/>
              </w:rPr>
              <w:t>—</w:t>
            </w:r>
          </w:p>
        </w:tc>
        <w:tc>
          <w:tcPr>
            <w:tcW w:type="dxa" w:w="1080"/>
          </w:tcPr>
          <w:p>
            <w:pPr>
              <w:spacing w:line="240" w:lineRule="auto"/>
            </w:pPr>
            <w:r>
              <w:rPr>
                <w:rFonts w:ascii="Times New Roman" w:hAnsi="Times New Roman"/>
                <w:sz w:val="20"/>
              </w:rPr>
              <w:t>—</w:t>
            </w:r>
          </w:p>
        </w:tc>
        <w:tc>
          <w:tcPr>
            <w:tcW w:type="dxa" w:w="1080"/>
          </w:tcPr>
          <w:p>
            <w:pPr>
              <w:spacing w:line="240" w:lineRule="auto"/>
            </w:pPr>
            <w:r>
              <w:rPr>
                <w:rFonts w:ascii="Times New Roman" w:hAnsi="Times New Roman"/>
                <w:sz w:val="20"/>
              </w:rPr>
              <w:t>t = -1.66, p = .096, d = -0.05</w:t>
            </w:r>
          </w:p>
        </w:tc>
      </w:tr>
    </w:tbl>
    <w:p>
      <w:pPr>
        <w:ind w:firstLine="720"/>
      </w:pPr>
      <w:r>
        <w:t>The descriptive statistics reveal several patterns that are critical for interpreting the subsequent regression results.</w:t>
      </w:r>
    </w:p>
    <w:p>
      <w:pPr>
        <w:ind w:firstLine="720"/>
      </w:pPr>
      <w:r>
        <w:rPr>
          <w:b/>
        </w:rPr>
        <w:t>Award Size.</w:t>
      </w:r>
      <w:r>
        <w:t xml:space="preserve"> QE awards were substantially larger than NFP awards in raw dollar terms. The mean obligation for QE awards was $4.55 million, compared with $1.05 million for NFP awards—a ratio of approximately 4.3 to 1. However, the distributions of award amounts were heavily right-skewed for both categories, as evidenced by the large disparity between means and medians. The QE median obligation of $80,000 was actually </w:t>
      </w:r>
      <w:r>
        <w:rPr>
          <w:i/>
        </w:rPr>
        <w:t>lower</w:t>
      </w:r>
      <w:r>
        <w:t xml:space="preserve"> than the NFP median of $107,000, a seemingly paradoxical finding that indicates the higher QE mean was driven by a relatively small number of very large cost-type awards. The standard deviation of QE award amounts ($53.7 million) was more than fourteen times that of NFP awards ($3.8 million), further confirming the presence of extreme right-tail observations in the QE distribution. These distributional characteristics are typical of federal procurement data, where a small number of multibillion-dollar defense and health care contracts coexist with thousands of awards in the hundreds of thousands of dollars.</w:t>
      </w:r>
    </w:p>
    <w:p>
      <w:pPr>
        <w:ind w:firstLine="720"/>
      </w:pPr>
      <w:r>
        <w:t>The extreme skewness of the award size distribution motivated the use of the natural logarithm of award amount (log award amount) as the operational measure of contract size in all regression models. When award amounts were log-transformed, QE awards remained significantly larger than NFP awards (</w:t>
      </w:r>
      <w:r>
        <w:rPr>
          <w:i/>
        </w:rPr>
        <w:t>t</w:t>
      </w:r>
      <w:r>
        <w:t xml:space="preserve"> = 10.52, </w:t>
      </w:r>
      <w:r>
        <w:rPr>
          <w:i/>
        </w:rPr>
        <w:t>p</w:t>
      </w:r>
      <w:r>
        <w:t xml:space="preserve"> &lt; .001), with a small-to-medium effect size of </w:t>
      </w:r>
      <w:r>
        <w:rPr>
          <w:i/>
        </w:rPr>
        <w:t>d</w:t>
      </w:r>
      <w:r>
        <w:t xml:space="preserve"> = 0.36. The Cohen's </w:t>
      </w:r>
      <w:r>
        <w:rPr>
          <w:i/>
        </w:rPr>
        <w:t>d</w:t>
      </w:r>
      <w:r>
        <w:t xml:space="preserve"> of 0.36 indicates that QE awards were approximately one-third of a standard deviation larger than NFP awards on the log scale—a meaningful difference that confirmed the size differential was not solely attributable to outliers and that motivated the inclusion of log award amount as a control variable in all subsequent models. The systematic size difference between QE and NFP awards also underscored the importance of propensity score matching (Section 4.4), which explicitly balances the groups on this and other observed confounders.</w:t>
      </w:r>
    </w:p>
    <w:p>
      <w:pPr>
        <w:ind w:firstLine="720"/>
      </w:pPr>
      <w:r>
        <w:rPr>
          <w:b/>
        </w:rPr>
        <w:t>Cost Growth.</w:t>
      </w:r>
      <w:r>
        <w:t xml:space="preserve"> The raw descriptive comparison showed that QE awards exhibited </w:t>
      </w:r>
      <w:r>
        <w:rPr>
          <w:i/>
        </w:rPr>
        <w:t>higher</w:t>
      </w:r>
      <w:r>
        <w:t xml:space="preserve"> mean cost growth (9.85%, </w:t>
      </w:r>
      <w:r>
        <w:rPr>
          <w:i/>
        </w:rPr>
        <w:t>SD</w:t>
      </w:r>
      <w:r>
        <w:t xml:space="preserve"> = 10.62%) than NFP awards (7.82%, </w:t>
      </w:r>
      <w:r>
        <w:rPr>
          <w:i/>
        </w:rPr>
        <w:t>SD</w:t>
      </w:r>
      <w:r>
        <w:t xml:space="preserve"> = 9.45%), a difference that was statistically significant (</w:t>
      </w:r>
      <w:r>
        <w:rPr>
          <w:i/>
        </w:rPr>
        <w:t>t</w:t>
      </w:r>
      <w:r>
        <w:t xml:space="preserve"> = 4.24, </w:t>
      </w:r>
      <w:r>
        <w:rPr>
          <w:i/>
        </w:rPr>
        <w:t>p</w:t>
      </w:r>
      <w:r>
        <w:t xml:space="preserve"> &lt; .001) with a small effect size (</w:t>
      </w:r>
      <w:r>
        <w:rPr>
          <w:i/>
        </w:rPr>
        <w:t>d</w:t>
      </w:r>
      <w:r>
        <w:t xml:space="preserve"> = 0.20). This pattern ran contrary to the directional prediction of Hypothesis 1, which posited that quality-evaluating procurement designs would be associated with </w:t>
      </w:r>
      <w:r>
        <w:rPr>
          <w:i/>
        </w:rPr>
        <w:t>lower</w:t>
      </w:r>
      <w:r>
        <w:t xml:space="preserve"> cost growth. The descriptive finding is provocative and warrants careful interpretation.</w:t>
      </w:r>
    </w:p>
    <w:p>
      <w:pPr>
        <w:ind w:firstLine="720"/>
      </w:pPr>
      <w:r>
        <w:t>The higher cost growth observed in QE awards in the unadjusted comparison could reflect several mechanisms operating simultaneously. First, QE awards are systematically larger, and larger contracts may experience greater absolute and percentage cost growth due to their longer performance periods, more complex deliverable structures, and greater exposure to requirements changes. Second, QE awards in this study are operationally defined by cost-type pricing, and cost-reimbursement contracts structurally permit—and indeed, under certain conditions, incentivize—cost growth, because the government bears the risk of cost overruns rather than the contractor. Third, confounding by agency could drive the observed difference if agencies that favor QE procurement also happen to have organizational characteristics (e.g., more complex missions, less stable requirements, or weaker contract oversight) that independently contribute to cost growth. The regression analyses reported in Section 4.5 address these confounds by controlling for log award amount, NAICS sector, and agency.</w:t>
      </w:r>
    </w:p>
    <w:p>
      <w:pPr>
        <w:ind w:firstLine="720"/>
      </w:pPr>
      <w:r>
        <w:rPr>
          <w:b/>
        </w:rPr>
        <w:t>Modification Intensity.</w:t>
      </w:r>
      <w:r>
        <w:t xml:space="preserve"> Modification counts were slightly higher for QE awards (mean = 1.72, </w:t>
      </w:r>
      <w:r>
        <w:rPr>
          <w:i/>
        </w:rPr>
        <w:t>SD</w:t>
      </w:r>
      <w:r>
        <w:t xml:space="preserve"> = 1.34) than for NFP awards (mean = 1.62, </w:t>
      </w:r>
      <w:r>
        <w:rPr>
          <w:i/>
        </w:rPr>
        <w:t>SD</w:t>
      </w:r>
      <w:r>
        <w:t xml:space="preserve"> = 1.18). This difference reached statistical significance (</w:t>
      </w:r>
      <w:r>
        <w:rPr>
          <w:i/>
        </w:rPr>
        <w:t>t</w:t>
      </w:r>
      <w:r>
        <w:t xml:space="preserve"> = 2.23, </w:t>
      </w:r>
      <w:r>
        <w:rPr>
          <w:i/>
        </w:rPr>
        <w:t>p</w:t>
      </w:r>
      <w:r>
        <w:t xml:space="preserve"> = .026) but with a negligible effect size (</w:t>
      </w:r>
      <w:r>
        <w:rPr>
          <w:i/>
        </w:rPr>
        <w:t>d</w:t>
      </w:r>
      <w:r>
        <w:t xml:space="preserve"> = 0.08). A Cohen's </w:t>
      </w:r>
      <w:r>
        <w:rPr>
          <w:i/>
        </w:rPr>
        <w:t>d</w:t>
      </w:r>
      <w:r>
        <w:t xml:space="preserve"> of 0.08 indicates that the two groups differed by less than one-tenth of a standard deviation on the modification count—a difference so small as to be practically indistinguishable. The practical significance of a 0.10-modification difference per contract is questionable, and the statistical significance of the </w:t>
      </w:r>
      <w:r>
        <w:rPr>
          <w:i/>
        </w:rPr>
        <w:t>t</w:t>
      </w:r>
      <w:r>
        <w:t>-test likely reflects the large sample size rather than a meaningful substantive difference. The negative binomial regression in Section 4.5.2 provides a more rigorous test of Hypothesis 2, controlling for confounders and properly accounting for the count nature and overdispersion of the modification variable.</w:t>
      </w:r>
    </w:p>
    <w:p>
      <w:pPr>
        <w:ind w:firstLine="720"/>
      </w:pPr>
      <w:r>
        <w:rPr>
          <w:b/>
        </w:rPr>
        <w:t>Competition Measures.</w:t>
      </w:r>
      <w:r>
        <w:t xml:space="preserve"> Competition intensity, measured by the number of offers received, did not differ significantly between procurement design categories. QE awards attracted an average of 6.29 offers compared with 8.21 for NFP awards, but this difference was not statistically significant (</w:t>
      </w:r>
      <w:r>
        <w:rPr>
          <w:i/>
        </w:rPr>
        <w:t>t</w:t>
      </w:r>
      <w:r>
        <w:t xml:space="preserve"> = -0.87, </w:t>
      </w:r>
      <w:r>
        <w:rPr>
          <w:i/>
        </w:rPr>
        <w:t>p</w:t>
      </w:r>
      <w:r>
        <w:t xml:space="preserve"> = .385, </w:t>
      </w:r>
      <w:r>
        <w:rPr>
          <w:i/>
        </w:rPr>
        <w:t>d</w:t>
      </w:r>
      <w:r>
        <w:t xml:space="preserve"> = -0.05). The non-significance of this comparison should be interpreted in light of the substantial amount of missing data on the offer count variable (available for only 968 of 3,869 awards), which reduced statistical power and may have introduced non-random selection effects if the probability of reporting offer counts was correlated with procurement design or competition outcomes.</w:t>
      </w:r>
    </w:p>
    <w:p>
      <w:pPr>
        <w:ind w:firstLine="720"/>
      </w:pPr>
      <w:r>
        <w:t>Similarly, single-bid rates were slightly lower for QE awards (4.4%) than for NFP awards (5.6%), but the difference did not reach conventional significance (</w:t>
      </w:r>
      <w:r>
        <w:rPr>
          <w:i/>
        </w:rPr>
        <w:t>t</w:t>
      </w:r>
      <w:r>
        <w:t xml:space="preserve"> = -1.66, </w:t>
      </w:r>
      <w:r>
        <w:rPr>
          <w:i/>
        </w:rPr>
        <w:t>p</w:t>
      </w:r>
      <w:r>
        <w:t xml:space="preserve"> = .096, </w:t>
      </w:r>
      <w:r>
        <w:rPr>
          <w:i/>
        </w:rPr>
        <w:t>d</w:t>
      </w:r>
      <w:r>
        <w:t xml:space="preserve"> = -0.05). The direction of this difference—QE associated with lower single-bid rates—was consistent with the theoretical prediction of Hypothesis 6, and the </w:t>
      </w:r>
      <w:r>
        <w:rPr>
          <w:i/>
        </w:rPr>
        <w:t>p</w:t>
      </w:r>
      <w:r>
        <w:t>-value of .096 fell in the marginal zone between conventional significance and clear non-significance. Both competition measures are examined further in Sections 4.5.3 and 4.5.4 using multivariate models that control for confounding variables.</w:t>
      </w:r>
    </w:p>
    <w:p>
      <w:pPr>
        <w:pStyle w:val="Heading3"/>
      </w:pPr>
      <w:r>
        <w:rPr>
          <w:rFonts w:ascii="Times New Roman" w:hAnsi="Times New Roman"/>
          <w:color w:val="000000"/>
        </w:rPr>
        <w:t>4.2.4 Award Size Distributions</w:t>
      </w:r>
    </w:p>
    <w:p>
      <w:pPr>
        <w:ind w:firstLine="720"/>
      </w:pPr>
      <w:r>
        <w:t>The distributional properties of the key variables are important not only for descriptive purposes but also for evaluating the assumptions underlying the statistical models. Figure 4.1 presents the distribution of log-transformed award amounts for QE and NFP awards.</w:t>
      </w:r>
    </w:p>
    <w:p>
      <w:pPr>
        <w:ind w:firstLine="720"/>
      </w:pPr>
      <w:r>
        <w:t xml:space="preserve">&gt; </w:t>
      </w:r>
      <w:r>
        <w:rPr>
          <w:b/>
        </w:rPr>
        <w:t>Figure 4.1.</w:t>
      </w:r>
      <w:r>
        <w:t xml:space="preserve"> Distribution of log award amounts by procurement design category (QE vs. NFP). The QE distribution (solid line) is shifted to the right relative to the NFP distribution (dashed line), reflecting the systematically larger average size of quality-evaluating procurements. Both distributions are approximately normal after log transformation, with slight positive skewness in the QE group.</w:t>
      </w:r>
    </w:p>
    <w:p>
      <w:pPr>
        <w:ind w:firstLine="720"/>
      </w:pPr>
      <w:r>
        <w:t>The QE distribution is shifted to the right relative to NFP, consistent with the descriptive statistics reported above. Both distributions are approximately normal after the log transformation, with skewness and kurtosis values within acceptable ranges for OLS regression. The approximate normality of the log-transformed award amounts supports the use of OLS for models that employ log award amount as either a dependent or control variable, and it validates the linear specification of the propensity score model, which includes log award amount as a covariate.</w:t>
      </w:r>
    </w:p>
    <w:p>
      <w:pPr>
        <w:ind w:firstLine="720"/>
      </w:pPr>
      <w:r>
        <w:t>The overlap between the two distributions is also noteworthy. Although the QE distribution is shifted rightward, there is substantial common support—that is, a wide range of log award amounts at which both QE and NFP awards are observed. This overlap is a necessary condition for propensity score matching, as it ensures that QE awards can be matched to NFP awards with similar characteristics. The common support region is discussed further in Section 4.4.</w:t>
      </w:r>
    </w:p>
    <w:p>
      <w:pPr>
        <w:ind w:firstLine="720"/>
      </w:pPr>
      <w:r>
        <w:t>Figure 4.2 presents box plots of winsorized cost growth by procurement design category, providing a visual complement to the means and standard deviations reported in Table 4.2.</w:t>
      </w:r>
    </w:p>
    <w:p>
      <w:pPr>
        <w:ind w:firstLine="720"/>
      </w:pPr>
      <w:r>
        <w:t xml:space="preserve">&gt; </w:t>
      </w:r>
      <w:r>
        <w:rPr>
          <w:b/>
        </w:rPr>
        <w:t>Figure 4.2.</w:t>
      </w:r>
      <w:r>
        <w:t xml:space="preserve"> Box plots of winsorized cost growth (%) by procurement design category. QE awards exhibit a higher median and greater interquartile range than NFP awards. Whiskers extend to 1.5 times the interquartile range; observations beyond this threshold are plotted individually. The wider QE distribution is consistent with the greater cost variability inherent in cost-type contracts.</w:t>
      </w:r>
    </w:p>
    <w:p>
      <w:pPr>
        <w:ind w:firstLine="720"/>
      </w:pPr>
      <w:r>
        <w:t>The QE distribution shows both a higher median and a wider interquartile range than NFP, consistent with the interpretation that cost-type contracts, which predominate in the QE category, are inherently more variable in their cost outcomes. The greater spread of the QE cost growth distribution is not surprising: under cost-reimbursement pricing, the contractor is reimbursed for allowable costs incurred, plus a fee, and the government bears the risk of cost overruns. This risk allocation creates structural conditions under which cost growth—both positive (overruns) and, in some cases, negative (underruns or deobligations)—is more variable than under firm-fixed-price contracts, where the contractor bears cost risk and the government's obligation is fixed at the time of award.</w:t>
      </w:r>
    </w:p>
    <w:p>
      <w:pPr>
        <w:pStyle w:val="Heading3"/>
      </w:pPr>
      <w:r>
        <w:rPr>
          <w:rFonts w:ascii="Times New Roman" w:hAnsi="Times New Roman"/>
          <w:color w:val="000000"/>
        </w:rPr>
        <w:t>4.2.5 Agency Distribution</w:t>
      </w:r>
    </w:p>
    <w:p>
      <w:pPr>
        <w:ind w:firstLine="720"/>
      </w:pPr>
      <w:r>
        <w:t>The federal government is not a monolithic buyer. Procurement practices, organizational cultures, oversight intensity, and mission complexity vary enormously across the 58 agencies represented in the sample. Understanding the agency composition of the data is essential for interpreting the results, as any observed relationship between procurement design and outcomes could reflect agency-level confounding rather than a genuine procurement design effect.</w:t>
      </w:r>
    </w:p>
    <w:p>
      <w:pPr>
        <w:ind w:firstLine="720"/>
      </w:pPr>
      <w:r>
        <w:t>Table 4.3 presents the distribution of awards across the five agencies with the largest representation in the sample, along with the aggregate counts for the remaining agencies.</w:t>
      </w:r>
    </w:p>
    <w:p>
      <w:pPr>
        <w:ind w:firstLine="720"/>
      </w:pPr>
      <w:r>
        <w:rPr>
          <w:b/>
        </w:rPr>
        <w:t>Table 4.3</w:t>
      </w:r>
    </w:p>
    <w:p>
      <w:pPr>
        <w:ind w:firstLine="720"/>
      </w:pPr>
      <w:r>
        <w:rPr>
          <w:i/>
        </w:rPr>
        <w:t>Distribution of Awards by Agency (Top Five Agencies and Aggregate Remainder)</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pPr>
              <w:spacing w:line="240" w:lineRule="auto"/>
            </w:pPr>
            <w:r>
              <w:rPr>
                <w:rFonts w:ascii="Times New Roman" w:hAnsi="Times New Roman"/>
                <w:b/>
                <w:sz w:val="20"/>
              </w:rPr>
              <w:t>Agency</w:t>
            </w:r>
          </w:p>
        </w:tc>
        <w:tc>
          <w:tcPr>
            <w:tcW w:type="dxa" w:w="1728"/>
          </w:tcPr>
          <w:p>
            <w:pPr>
              <w:spacing w:line="240" w:lineRule="auto"/>
            </w:pPr>
            <w:r>
              <w:rPr>
                <w:rFonts w:ascii="Times New Roman" w:hAnsi="Times New Roman"/>
                <w:b/>
                <w:sz w:val="20"/>
              </w:rPr>
              <w:t>Total Awards</w:t>
            </w:r>
          </w:p>
        </w:tc>
        <w:tc>
          <w:tcPr>
            <w:tcW w:type="dxa" w:w="1728"/>
          </w:tcPr>
          <w:p>
            <w:pPr>
              <w:spacing w:line="240" w:lineRule="auto"/>
            </w:pPr>
            <w:r>
              <w:rPr>
                <w:rFonts w:ascii="Times New Roman" w:hAnsi="Times New Roman"/>
                <w:b/>
                <w:sz w:val="20"/>
              </w:rPr>
              <w:t>% of Sample</w:t>
            </w:r>
          </w:p>
        </w:tc>
        <w:tc>
          <w:tcPr>
            <w:tcW w:type="dxa" w:w="1728"/>
          </w:tcPr>
          <w:p>
            <w:pPr>
              <w:spacing w:line="240" w:lineRule="auto"/>
            </w:pPr>
            <w:r>
              <w:rPr>
                <w:rFonts w:ascii="Times New Roman" w:hAnsi="Times New Roman"/>
                <w:b/>
                <w:sz w:val="20"/>
              </w:rPr>
              <w:t>QE Awards</w:t>
            </w:r>
          </w:p>
        </w:tc>
        <w:tc>
          <w:tcPr>
            <w:tcW w:type="dxa" w:w="1728"/>
          </w:tcPr>
          <w:p>
            <w:pPr>
              <w:spacing w:line="240" w:lineRule="auto"/>
            </w:pPr>
            <w:r>
              <w:rPr>
                <w:rFonts w:ascii="Times New Roman" w:hAnsi="Times New Roman"/>
                <w:b/>
                <w:sz w:val="20"/>
              </w:rPr>
              <w:t>NFP Awards</w:t>
            </w:r>
          </w:p>
        </w:tc>
      </w:tr>
      <w:tr>
        <w:tc>
          <w:tcPr>
            <w:tcW w:type="dxa" w:w="1728"/>
          </w:tcPr>
          <w:p>
            <w:pPr>
              <w:spacing w:line="240" w:lineRule="auto"/>
            </w:pPr>
            <w:r>
              <w:rPr>
                <w:rFonts w:ascii="Times New Roman" w:hAnsi="Times New Roman"/>
                <w:sz w:val="20"/>
              </w:rPr>
              <w:t>Department of Defense (DoD)</w:t>
            </w:r>
          </w:p>
        </w:tc>
        <w:tc>
          <w:tcPr>
            <w:tcW w:type="dxa" w:w="1728"/>
          </w:tcPr>
          <w:p>
            <w:pPr>
              <w:spacing w:line="240" w:lineRule="auto"/>
            </w:pPr>
            <w:r>
              <w:rPr>
                <w:rFonts w:ascii="Times New Roman" w:hAnsi="Times New Roman"/>
                <w:sz w:val="20"/>
              </w:rPr>
              <w:t>4,695</w:t>
            </w:r>
          </w:p>
        </w:tc>
        <w:tc>
          <w:tcPr>
            <w:tcW w:type="dxa" w:w="1728"/>
          </w:tcPr>
          <w:p>
            <w:pPr>
              <w:spacing w:line="240" w:lineRule="auto"/>
            </w:pPr>
            <w:r>
              <w:rPr>
                <w:rFonts w:ascii="Times New Roman" w:hAnsi="Times New Roman"/>
                <w:sz w:val="20"/>
              </w:rPr>
              <w:t>30.3%</w:t>
            </w:r>
          </w:p>
        </w:tc>
        <w:tc>
          <w:tcPr>
            <w:tcW w:type="dxa" w:w="1728"/>
          </w:tcPr>
          <w:p>
            <w:pPr>
              <w:spacing w:line="240" w:lineRule="auto"/>
            </w:pPr>
            <w:r>
              <w:rPr>
                <w:rFonts w:ascii="Times New Roman" w:hAnsi="Times New Roman"/>
                <w:sz w:val="20"/>
              </w:rPr>
              <w:t>—</w:t>
            </w:r>
          </w:p>
        </w:tc>
        <w:tc>
          <w:tcPr>
            <w:tcW w:type="dxa" w:w="1728"/>
          </w:tcPr>
          <w:p>
            <w:pPr>
              <w:spacing w:line="240" w:lineRule="auto"/>
            </w:pPr>
            <w:r>
              <w:rPr>
                <w:rFonts w:ascii="Times New Roman" w:hAnsi="Times New Roman"/>
                <w:sz w:val="20"/>
              </w:rPr>
              <w:t>—</w:t>
            </w:r>
          </w:p>
        </w:tc>
      </w:tr>
      <w:tr>
        <w:tc>
          <w:tcPr>
            <w:tcW w:type="dxa" w:w="1728"/>
          </w:tcPr>
          <w:p>
            <w:pPr>
              <w:spacing w:line="240" w:lineRule="auto"/>
            </w:pPr>
            <w:r>
              <w:rPr>
                <w:rFonts w:ascii="Times New Roman" w:hAnsi="Times New Roman"/>
                <w:sz w:val="20"/>
              </w:rPr>
              <w:t>Department of Health and Human Services (HHS)</w:t>
            </w:r>
          </w:p>
        </w:tc>
        <w:tc>
          <w:tcPr>
            <w:tcW w:type="dxa" w:w="1728"/>
          </w:tcPr>
          <w:p>
            <w:pPr>
              <w:spacing w:line="240" w:lineRule="auto"/>
            </w:pPr>
            <w:r>
              <w:rPr>
                <w:rFonts w:ascii="Times New Roman" w:hAnsi="Times New Roman"/>
                <w:sz w:val="20"/>
              </w:rPr>
              <w:t>1,601</w:t>
            </w:r>
          </w:p>
        </w:tc>
        <w:tc>
          <w:tcPr>
            <w:tcW w:type="dxa" w:w="1728"/>
          </w:tcPr>
          <w:p>
            <w:pPr>
              <w:spacing w:line="240" w:lineRule="auto"/>
            </w:pPr>
            <w:r>
              <w:rPr>
                <w:rFonts w:ascii="Times New Roman" w:hAnsi="Times New Roman"/>
                <w:sz w:val="20"/>
              </w:rPr>
              <w:t>10.3%</w:t>
            </w:r>
          </w:p>
        </w:tc>
        <w:tc>
          <w:tcPr>
            <w:tcW w:type="dxa" w:w="1728"/>
          </w:tcPr>
          <w:p>
            <w:pPr>
              <w:spacing w:line="240" w:lineRule="auto"/>
            </w:pPr>
            <w:r>
              <w:rPr>
                <w:rFonts w:ascii="Times New Roman" w:hAnsi="Times New Roman"/>
                <w:sz w:val="20"/>
              </w:rPr>
              <w:t>—</w:t>
            </w:r>
          </w:p>
        </w:tc>
        <w:tc>
          <w:tcPr>
            <w:tcW w:type="dxa" w:w="1728"/>
          </w:tcPr>
          <w:p>
            <w:pPr>
              <w:spacing w:line="240" w:lineRule="auto"/>
            </w:pPr>
            <w:r>
              <w:rPr>
                <w:rFonts w:ascii="Times New Roman" w:hAnsi="Times New Roman"/>
                <w:sz w:val="20"/>
              </w:rPr>
              <w:t>—</w:t>
            </w:r>
          </w:p>
        </w:tc>
      </w:tr>
      <w:tr>
        <w:tc>
          <w:tcPr>
            <w:tcW w:type="dxa" w:w="1728"/>
          </w:tcPr>
          <w:p>
            <w:pPr>
              <w:spacing w:line="240" w:lineRule="auto"/>
            </w:pPr>
            <w:r>
              <w:rPr>
                <w:rFonts w:ascii="Times New Roman" w:hAnsi="Times New Roman"/>
                <w:sz w:val="20"/>
              </w:rPr>
              <w:t>Department of Homeland Security (DHS)</w:t>
            </w:r>
          </w:p>
        </w:tc>
        <w:tc>
          <w:tcPr>
            <w:tcW w:type="dxa" w:w="1728"/>
          </w:tcPr>
          <w:p>
            <w:pPr>
              <w:spacing w:line="240" w:lineRule="auto"/>
            </w:pPr>
            <w:r>
              <w:rPr>
                <w:rFonts w:ascii="Times New Roman" w:hAnsi="Times New Roman"/>
                <w:sz w:val="20"/>
              </w:rPr>
              <w:t>1,210</w:t>
            </w:r>
          </w:p>
        </w:tc>
        <w:tc>
          <w:tcPr>
            <w:tcW w:type="dxa" w:w="1728"/>
          </w:tcPr>
          <w:p>
            <w:pPr>
              <w:spacing w:line="240" w:lineRule="auto"/>
            </w:pPr>
            <w:r>
              <w:rPr>
                <w:rFonts w:ascii="Times New Roman" w:hAnsi="Times New Roman"/>
                <w:sz w:val="20"/>
              </w:rPr>
              <w:t>7.8%</w:t>
            </w:r>
          </w:p>
        </w:tc>
        <w:tc>
          <w:tcPr>
            <w:tcW w:type="dxa" w:w="1728"/>
          </w:tcPr>
          <w:p>
            <w:pPr>
              <w:spacing w:line="240" w:lineRule="auto"/>
            </w:pPr>
            <w:r>
              <w:rPr>
                <w:rFonts w:ascii="Times New Roman" w:hAnsi="Times New Roman"/>
                <w:sz w:val="20"/>
              </w:rPr>
              <w:t>—</w:t>
            </w:r>
          </w:p>
        </w:tc>
        <w:tc>
          <w:tcPr>
            <w:tcW w:type="dxa" w:w="1728"/>
          </w:tcPr>
          <w:p>
            <w:pPr>
              <w:spacing w:line="240" w:lineRule="auto"/>
            </w:pPr>
            <w:r>
              <w:rPr>
                <w:rFonts w:ascii="Times New Roman" w:hAnsi="Times New Roman"/>
                <w:sz w:val="20"/>
              </w:rPr>
              <w:t>—</w:t>
            </w:r>
          </w:p>
        </w:tc>
      </w:tr>
      <w:tr>
        <w:tc>
          <w:tcPr>
            <w:tcW w:type="dxa" w:w="1728"/>
          </w:tcPr>
          <w:p>
            <w:pPr>
              <w:spacing w:line="240" w:lineRule="auto"/>
            </w:pPr>
            <w:r>
              <w:rPr>
                <w:rFonts w:ascii="Times New Roman" w:hAnsi="Times New Roman"/>
                <w:sz w:val="20"/>
              </w:rPr>
              <w:t>Department of Veterans Affairs (VA)</w:t>
            </w:r>
          </w:p>
        </w:tc>
        <w:tc>
          <w:tcPr>
            <w:tcW w:type="dxa" w:w="1728"/>
          </w:tcPr>
          <w:p>
            <w:pPr>
              <w:spacing w:line="240" w:lineRule="auto"/>
            </w:pPr>
            <w:r>
              <w:rPr>
                <w:rFonts w:ascii="Times New Roman" w:hAnsi="Times New Roman"/>
                <w:sz w:val="20"/>
              </w:rPr>
              <w:t>760</w:t>
            </w:r>
          </w:p>
        </w:tc>
        <w:tc>
          <w:tcPr>
            <w:tcW w:type="dxa" w:w="1728"/>
          </w:tcPr>
          <w:p>
            <w:pPr>
              <w:spacing w:line="240" w:lineRule="auto"/>
            </w:pPr>
            <w:r>
              <w:rPr>
                <w:rFonts w:ascii="Times New Roman" w:hAnsi="Times New Roman"/>
                <w:sz w:val="20"/>
              </w:rPr>
              <w:t>4.9%</w:t>
            </w:r>
          </w:p>
        </w:tc>
        <w:tc>
          <w:tcPr>
            <w:tcW w:type="dxa" w:w="1728"/>
          </w:tcPr>
          <w:p>
            <w:pPr>
              <w:spacing w:line="240" w:lineRule="auto"/>
            </w:pPr>
            <w:r>
              <w:rPr>
                <w:rFonts w:ascii="Times New Roman" w:hAnsi="Times New Roman"/>
                <w:sz w:val="20"/>
              </w:rPr>
              <w:t>—</w:t>
            </w:r>
          </w:p>
        </w:tc>
        <w:tc>
          <w:tcPr>
            <w:tcW w:type="dxa" w:w="1728"/>
          </w:tcPr>
          <w:p>
            <w:pPr>
              <w:spacing w:line="240" w:lineRule="auto"/>
            </w:pPr>
            <w:r>
              <w:rPr>
                <w:rFonts w:ascii="Times New Roman" w:hAnsi="Times New Roman"/>
                <w:sz w:val="20"/>
              </w:rPr>
              <w:t>—</w:t>
            </w:r>
          </w:p>
        </w:tc>
      </w:tr>
      <w:tr>
        <w:tc>
          <w:tcPr>
            <w:tcW w:type="dxa" w:w="1728"/>
          </w:tcPr>
          <w:p>
            <w:pPr>
              <w:spacing w:line="240" w:lineRule="auto"/>
            </w:pPr>
            <w:r>
              <w:rPr>
                <w:rFonts w:ascii="Times New Roman" w:hAnsi="Times New Roman"/>
                <w:sz w:val="20"/>
              </w:rPr>
              <w:t>Department of Justice (DOJ)</w:t>
            </w:r>
          </w:p>
        </w:tc>
        <w:tc>
          <w:tcPr>
            <w:tcW w:type="dxa" w:w="1728"/>
          </w:tcPr>
          <w:p>
            <w:pPr>
              <w:spacing w:line="240" w:lineRule="auto"/>
            </w:pPr>
            <w:r>
              <w:rPr>
                <w:rFonts w:ascii="Times New Roman" w:hAnsi="Times New Roman"/>
                <w:sz w:val="20"/>
              </w:rPr>
              <w:t>754</w:t>
            </w:r>
          </w:p>
        </w:tc>
        <w:tc>
          <w:tcPr>
            <w:tcW w:type="dxa" w:w="1728"/>
          </w:tcPr>
          <w:p>
            <w:pPr>
              <w:spacing w:line="240" w:lineRule="auto"/>
            </w:pPr>
            <w:r>
              <w:rPr>
                <w:rFonts w:ascii="Times New Roman" w:hAnsi="Times New Roman"/>
                <w:sz w:val="20"/>
              </w:rPr>
              <w:t>4.9%</w:t>
            </w:r>
          </w:p>
        </w:tc>
        <w:tc>
          <w:tcPr>
            <w:tcW w:type="dxa" w:w="1728"/>
          </w:tcPr>
          <w:p>
            <w:pPr>
              <w:spacing w:line="240" w:lineRule="auto"/>
            </w:pPr>
            <w:r>
              <w:rPr>
                <w:rFonts w:ascii="Times New Roman" w:hAnsi="Times New Roman"/>
                <w:sz w:val="20"/>
              </w:rPr>
              <w:t>—</w:t>
            </w:r>
          </w:p>
        </w:tc>
        <w:tc>
          <w:tcPr>
            <w:tcW w:type="dxa" w:w="1728"/>
          </w:tcPr>
          <w:p>
            <w:pPr>
              <w:spacing w:line="240" w:lineRule="auto"/>
            </w:pPr>
            <w:r>
              <w:rPr>
                <w:rFonts w:ascii="Times New Roman" w:hAnsi="Times New Roman"/>
                <w:sz w:val="20"/>
              </w:rPr>
              <w:t>—</w:t>
            </w:r>
          </w:p>
        </w:tc>
      </w:tr>
      <w:tr>
        <w:tc>
          <w:tcPr>
            <w:tcW w:type="dxa" w:w="1728"/>
          </w:tcPr>
          <w:p>
            <w:pPr>
              <w:spacing w:line="240" w:lineRule="auto"/>
            </w:pPr>
            <w:r>
              <w:rPr>
                <w:rFonts w:ascii="Times New Roman" w:hAnsi="Times New Roman"/>
                <w:sz w:val="20"/>
              </w:rPr>
              <w:t>All Other Agencies (53 agencies)</w:t>
            </w:r>
          </w:p>
        </w:tc>
        <w:tc>
          <w:tcPr>
            <w:tcW w:type="dxa" w:w="1728"/>
          </w:tcPr>
          <w:p>
            <w:pPr>
              <w:spacing w:line="240" w:lineRule="auto"/>
            </w:pPr>
            <w:r>
              <w:rPr>
                <w:rFonts w:ascii="Times New Roman" w:hAnsi="Times New Roman"/>
                <w:sz w:val="20"/>
              </w:rPr>
              <w:t>6,457</w:t>
            </w:r>
          </w:p>
        </w:tc>
        <w:tc>
          <w:tcPr>
            <w:tcW w:type="dxa" w:w="1728"/>
          </w:tcPr>
          <w:p>
            <w:pPr>
              <w:spacing w:line="240" w:lineRule="auto"/>
            </w:pPr>
            <w:r>
              <w:rPr>
                <w:rFonts w:ascii="Times New Roman" w:hAnsi="Times New Roman"/>
                <w:sz w:val="20"/>
              </w:rPr>
              <w:t>41.7%</w:t>
            </w:r>
          </w:p>
        </w:tc>
        <w:tc>
          <w:tcPr>
            <w:tcW w:type="dxa" w:w="1728"/>
          </w:tcPr>
          <w:p>
            <w:pPr>
              <w:spacing w:line="240" w:lineRule="auto"/>
            </w:pPr>
            <w:r>
              <w:rPr>
                <w:rFonts w:ascii="Times New Roman" w:hAnsi="Times New Roman"/>
                <w:sz w:val="20"/>
              </w:rPr>
              <w:t>—</w:t>
            </w:r>
          </w:p>
        </w:tc>
        <w:tc>
          <w:tcPr>
            <w:tcW w:type="dxa" w:w="1728"/>
          </w:tcPr>
          <w:p>
            <w:pPr>
              <w:spacing w:line="240" w:lineRule="auto"/>
            </w:pPr>
            <w:r>
              <w:rPr>
                <w:rFonts w:ascii="Times New Roman" w:hAnsi="Times New Roman"/>
                <w:sz w:val="20"/>
              </w:rPr>
              <w:t>—</w:t>
            </w:r>
          </w:p>
        </w:tc>
      </w:tr>
      <w:tr>
        <w:tc>
          <w:tcPr>
            <w:tcW w:type="dxa" w:w="1728"/>
          </w:tcPr>
          <w:p>
            <w:pPr>
              <w:spacing w:line="240" w:lineRule="auto"/>
            </w:pPr>
            <w:r>
              <w:rPr>
                <w:rFonts w:ascii="Times New Roman" w:hAnsi="Times New Roman"/>
                <w:sz w:val="20"/>
              </w:rPr>
              <w:t>Total</w:t>
            </w:r>
          </w:p>
        </w:tc>
        <w:tc>
          <w:tcPr>
            <w:tcW w:type="dxa" w:w="1728"/>
          </w:tcPr>
          <w:p>
            <w:pPr>
              <w:spacing w:line="240" w:lineRule="auto"/>
            </w:pPr>
            <w:r>
              <w:rPr>
                <w:rFonts w:ascii="Times New Roman" w:hAnsi="Times New Roman"/>
                <w:sz w:val="20"/>
              </w:rPr>
              <w:t>15,477</w:t>
            </w:r>
          </w:p>
        </w:tc>
        <w:tc>
          <w:tcPr>
            <w:tcW w:type="dxa" w:w="1728"/>
          </w:tcPr>
          <w:p>
            <w:pPr>
              <w:spacing w:line="240" w:lineRule="auto"/>
            </w:pPr>
            <w:r>
              <w:rPr>
                <w:rFonts w:ascii="Times New Roman" w:hAnsi="Times New Roman"/>
                <w:sz w:val="20"/>
              </w:rPr>
              <w:t>100.0%</w:t>
            </w:r>
          </w:p>
        </w:tc>
        <w:tc>
          <w:tcPr>
            <w:tcW w:type="dxa" w:w="1728"/>
          </w:tcPr>
          <w:p>
            <w:pPr>
              <w:spacing w:line="240" w:lineRule="auto"/>
            </w:pPr>
            <w:r>
              <w:rPr>
                <w:rFonts w:ascii="Times New Roman" w:hAnsi="Times New Roman"/>
                <w:sz w:val="20"/>
              </w:rPr>
              <w:t>1,379</w:t>
            </w:r>
          </w:p>
        </w:tc>
        <w:tc>
          <w:tcPr>
            <w:tcW w:type="dxa" w:w="1728"/>
          </w:tcPr>
          <w:p>
            <w:pPr>
              <w:spacing w:line="240" w:lineRule="auto"/>
            </w:pPr>
            <w:r>
              <w:rPr>
                <w:rFonts w:ascii="Times New Roman" w:hAnsi="Times New Roman"/>
                <w:sz w:val="20"/>
              </w:rPr>
              <w:t>2,490</w:t>
            </w:r>
          </w:p>
        </w:tc>
      </w:tr>
    </w:tbl>
    <w:p>
      <w:pPr>
        <w:ind w:firstLine="720"/>
      </w:pPr>
      <w:r>
        <w:t>The Department of Defense dominated the sample, accounting for nearly one-third of all awards (4,695 awards, 30.3%). This concentration reflects both the sheer scale of defense procurement—the DoD accounts for approximately two-thirds of all federal contract spending—and the department's heavy reliance on service contracts for information technology, professional services, and administrative support functions. The dominance of defense procurement in the sample is both a strength and a limitation: a strength because it ensures representation of the sector where source selection policy debates have been most active (e.g., Section 813 of the NDAA for FY2017), and a limitation because it raises the question of whether findings generalize to the civilian procurement environment, where institutional norms, oversight structures, and market dynamics may differ.</w:t>
      </w:r>
    </w:p>
    <w:p>
      <w:pPr>
        <w:ind w:firstLine="720"/>
      </w:pPr>
      <w:r>
        <w:t>The top five agencies together accounted for 58.3% of all awards, with the remaining 53 agencies contributing 41.7%. This distribution—in which a small number of large agencies dominate the sample while a long tail of smaller agencies contribute modest numbers of awards—motivated the inclusion of agency fixed effects (operationalized as dummy variables for the top 10 agencies by volume) in the regression models. This specification controls for agency-level heterogeneity in procurement practices, oversight intensity, organizational culture, and any other time-invariant agency characteristics that might confound the relationship between procurement design and outcomes. Awards from agencies outside the top 10 are captured by the model intercept, effectively treating them as a pooled reference group.</w:t>
      </w:r>
    </w:p>
    <w:p>
      <w:pPr>
        <w:ind w:firstLine="720"/>
      </w:pPr>
      <w:r>
        <w:t>The sample encompassed three NAICS sectors, which serve as a proxy for industry context. Sector 54 (Professional, Scientific, and Technical Services) was the largest contributor, reflecting the federal government's extensive use of consulting, engineering, and research services. Sector 56 (Administrative and Support Services) was the second largest, capturing facility management, security services, and other administrative support functions. Sector 51 (Information) was the smallest of the three sectors, encompassing telecommunications, data processing, and software services. NAICS sector dummy variables were included in all models to control for industry-specific differences in cost structures, competition dynamics, market concentration, and contract complexity.</w:t>
      </w:r>
    </w:p>
    <w:p>
      <w:pPr>
        <w:pStyle w:val="Heading3"/>
      </w:pPr>
      <w:r>
        <w:rPr>
          <w:rFonts w:ascii="Times New Roman" w:hAnsi="Times New Roman"/>
          <w:color w:val="000000"/>
        </w:rPr>
        <w:t>4.2.6 Correlation Structure</w:t>
      </w:r>
    </w:p>
    <w:p>
      <w:pPr>
        <w:ind w:firstLine="720"/>
      </w:pPr>
      <w:r>
        <w:t>Before estimating the multivariate models, the bivariate correlations among the key variables were examined to assess the potential for multicollinearity and to identify patterns that might inform model specification. Log award amount was positively correlated with both cost growth (</w:t>
      </w:r>
      <w:r>
        <w:rPr>
          <w:i/>
        </w:rPr>
        <w:t>r</w:t>
      </w:r>
      <w:r>
        <w:t xml:space="preserve"> = .32) and modification count (</w:t>
      </w:r>
      <w:r>
        <w:rPr>
          <w:i/>
        </w:rPr>
        <w:t>r</w:t>
      </w:r>
      <w:r>
        <w:t xml:space="preserve"> = .28), confirming that larger contracts tend to experience more cost escalation and more modifications—an intuitive pattern that reinforces the importance of controlling for award size. The correlation between cost growth and modification count was also positive (</w:t>
      </w:r>
      <w:r>
        <w:rPr>
          <w:i/>
        </w:rPr>
        <w:t>r</w:t>
      </w:r>
      <w:r>
        <w:t xml:space="preserve"> = .41), reflecting the fact that many modifications involve scope changes or funding adjustments that directly contribute to cost growth. The Tradeoff indicator (QE = 1, NFP = 0) was positively correlated with log award amount (</w:t>
      </w:r>
      <w:r>
        <w:rPr>
          <w:i/>
        </w:rPr>
        <w:t>r</w:t>
      </w:r>
      <w:r>
        <w:t xml:space="preserve"> = .17), confirming the descriptive finding that QE awards tend to be larger. No bivariate correlations among the independent variables exceeded .50, and variance inflation factors (VIFs) in the regression models were below 3.0 for all variables, indicating that multicollinearity was not a concern.</w:t>
      </w:r>
    </w:p>
    <w:p>
      <w:pPr>
        <w:pStyle w:val="Heading2"/>
      </w:pPr>
      <w:r>
        <w:rPr>
          <w:rFonts w:ascii="Times New Roman" w:hAnsi="Times New Roman"/>
          <w:color w:val="000000"/>
        </w:rPr>
        <w:t>4.3 Source Selection Method Distribution</w:t>
      </w:r>
    </w:p>
    <w:p>
      <w:pPr>
        <w:pStyle w:val="Heading3"/>
      </w:pPr>
      <w:r>
        <w:rPr>
          <w:rFonts w:ascii="Times New Roman" w:hAnsi="Times New Roman"/>
          <w:color w:val="000000"/>
        </w:rPr>
        <w:t>4.3.1 Distribution Across Procurement Design Categories</w:t>
      </w:r>
    </w:p>
    <w:p>
      <w:pPr>
        <w:ind w:firstLine="720"/>
      </w:pPr>
      <w:r>
        <w:t>The distribution of procurement design categories across the full sample provides important context for understanding the institutional landscape within which the hypothesis tests are situated. Figure 4.3 presents the distribution of the full 15,477-award sample across the five procurement design categories.</w:t>
      </w:r>
    </w:p>
    <w:p>
      <w:pPr>
        <w:ind w:firstLine="720"/>
      </w:pPr>
      <w:r>
        <w:t xml:space="preserve">&gt; </w:t>
      </w:r>
      <w:r>
        <w:rPr>
          <w:b/>
        </w:rPr>
        <w:t>Figure 4.3.</w:t>
      </w:r>
      <w:r>
        <w:t xml:space="preserve"> Distribution of awards by procurement design category (full sample, </w:t>
      </w:r>
      <w:r>
        <w:rPr>
          <w:i/>
        </w:rPr>
        <w:t>N</w:t>
      </w:r>
      <w:r>
        <w:t xml:space="preserve"> = 15,477). Task orders (TO) represent the dominant procurement mechanism (74.0%), followed by Negotiated Fixed-Price (NFP, 16.1%) and Quality-Evaluating (QE, 8.9%). Price-Focused (PF, 0.2%) and Other (OTH, 0.8%) categories are negligibly small.</w:t>
      </w:r>
    </w:p>
    <w:p>
      <w:pPr>
        <w:ind w:firstLine="720"/>
      </w:pPr>
      <w:r>
        <w:t>The dominance of task orders is visually apparent, as this category accounts for nearly three-quarters of all awards. This dominance has significant implications for the generalizability of the study's findings. The primary analysis compares QE and NFP awards, which together represent approximately one-quarter of all competitive service and IT awards above the SAT. The remaining three-quarters consist of task orders, whose procurement design is effectively determined at the vehicle level. To the extent that the factors driving outcomes for task orders differ from those affecting standalone negotiated procurements, the findings reported here may not generalize to the full federal service and IT procurement environment. This limitation is addressed partially by the robustness check in Section 4.8.1, which includes task orders in the analysis sample.</w:t>
      </w:r>
    </w:p>
    <w:p>
      <w:pPr>
        <w:ind w:firstLine="720"/>
      </w:pPr>
      <w:r>
        <w:t xml:space="preserve">The near-absence of pure sealed-bid, firm-fixed-price awards (the Price-Focused category, </w:t>
      </w:r>
      <w:r>
        <w:rPr>
          <w:i/>
        </w:rPr>
        <w:t>n</w:t>
      </w:r>
      <w:r>
        <w:t xml:space="preserve"> = 38) is a finding of substantive interest in its own right. Sealed bidding, once the default procurement method under the Competition in Contracting Act of 1984, has been almost entirely supplanted by negotiated procedures for complex service acquisitions. This finding is consistent with the historical trajectory of federal acquisition reform. The Federal Acquisition Streamlining Act of 1994, the Clinger-Cohen Act of 1996, and subsequent policy initiatives progressively expanded the use of negotiated procedures and best-value evaluation criteria, recognizing that the rigidity of sealed bidding—with its requirement for award to the lowest responsive, responsible bidder without discussion—is poorly suited to requirements where technical approach, management capability, and past performance are material discriminators. The data confirm that this policy evolution has been thoroughly implemented in practice: sealed bidding for service and IT contracts is now vanishingly rare.</w:t>
      </w:r>
    </w:p>
    <w:p>
      <w:pPr>
        <w:pStyle w:val="Heading3"/>
      </w:pPr>
      <w:r>
        <w:rPr>
          <w:rFonts w:ascii="Times New Roman" w:hAnsi="Times New Roman"/>
          <w:color w:val="000000"/>
        </w:rPr>
        <w:t>4.3.2 Agency-Level Variation in Procurement Design Usage</w:t>
      </w:r>
    </w:p>
    <w:p>
      <w:pPr>
        <w:ind w:firstLine="720"/>
      </w:pPr>
      <w:r>
        <w:t>Figure 4.4 presents the proportion of QE and NFP awards for each of the top ten agencies by award volume. The figure reveals substantial agency-level variation in the use of quality-evaluating versus negotiated fixed-price procurement designs.</w:t>
      </w:r>
    </w:p>
    <w:p>
      <w:pPr>
        <w:ind w:firstLine="720"/>
      </w:pPr>
      <w:r>
        <w:t xml:space="preserve">&gt; </w:t>
      </w:r>
      <w:r>
        <w:rPr>
          <w:b/>
        </w:rPr>
        <w:t>Figure 4.4.</w:t>
      </w:r>
      <w:r>
        <w:t xml:space="preserve"> Proportion of QE and NFP awards by agency (top 10 agencies by total award volume). Agencies vary considerably in their use of quality-evaluating versus negotiated fixed-price procurement designs, reflecting differences in mission complexity, acquisition culture, and policy guidance. Error bars represent 95% confidence intervals for the QE proportion.</w:t>
      </w:r>
    </w:p>
    <w:p>
      <w:pPr>
        <w:ind w:firstLine="720"/>
      </w:pPr>
      <w:r>
        <w:t>This variation is not random. Agencies with more complex, technically demanding missions—such as those involved in defense research, health care delivery, and intelligence operations—would be expected to favor quality-evaluating procurement designs that permit the government to assess technical approach and management capability. Agencies with more standardized, routine service requirements may favor negotiated fixed-price designs that emphasize price competition within a negotiated framework. The agency-level variation also reflects differences in acquisition workforce capacity, as the more elaborate evaluation procedures required for quality-evaluating procurement demand greater expertise and time from the contracting officer and technical evaluation team.</w:t>
      </w:r>
    </w:p>
    <w:p>
      <w:pPr>
        <w:ind w:firstLine="720"/>
      </w:pPr>
      <w:r>
        <w:t>The agency-level variation in procurement design usage underscored the importance of controlling for agency effects in the regression models. If certain agencies that favor QE procurement also tend to award larger, more complex contracts—or if they have organizational characteristics that independently influence cost growth and modification patterns—then agency-level confounding could bias the estimated relationship between procurement design and outcomes. The inclusion of agency dummy variables in the regression specifications addresses this concern directly. The propensity score matching procedure (Section 4.4) further mitigates agency-level confounding by explicitly balancing the treatment and control groups on agency composition.</w:t>
      </w:r>
    </w:p>
    <w:p>
      <w:pPr>
        <w:pStyle w:val="Heading3"/>
      </w:pPr>
      <w:r>
        <w:rPr>
          <w:rFonts w:ascii="Times New Roman" w:hAnsi="Times New Roman"/>
          <w:color w:val="000000"/>
        </w:rPr>
        <w:t>4.3.3 NAICS Sector Variation</w:t>
      </w:r>
    </w:p>
    <w:p>
      <w:pPr>
        <w:ind w:firstLine="720"/>
      </w:pPr>
      <w:r>
        <w:t>The distribution of procurement design also varied by NAICS sector. Within the QE-versus-NFP comparison sample (</w:t>
      </w:r>
      <w:r>
        <w:rPr>
          <w:i/>
        </w:rPr>
        <w:t>N</w:t>
      </w:r>
      <w:r>
        <w:t xml:space="preserve"> = 3,869), Professional, Scientific, and Technical Services (NAICS 54) accounted for the largest share of awards in both categories, consistent with the prominence of this sector in federal service procurement. However, the relative use of QE and NFP differed across sectors. Administrative and Support Services (NAICS 56) showed a higher proportion of NFP awards relative to QE, consistent with the interpretation that administrative services tend to be more standardized and less technically complex than professional services or IT, making price-focused procurement designs more appropriate. Information services (NAICS 51) were represented in both categories but with a smaller total count, limiting the precision of sector-specific estimates (as confirmed by the NAICS 51 robustness check in Section 4.8.4).</w:t>
      </w:r>
    </w:p>
    <w:p>
      <w:pPr>
        <w:ind w:firstLine="720"/>
      </w:pPr>
      <w:r>
        <w:t>The NAICS sector variation reinforced the decision to include sector dummy variables in all regression models. By controlling for sector, the models ensure that the estimated procurement design effect is not confounded by systematic differences in cost structures, competition dynamics, or contract complexity across industries.</w:t>
      </w:r>
    </w:p>
    <w:p>
      <w:pPr>
        <w:pStyle w:val="Heading3"/>
      </w:pPr>
      <w:r>
        <w:rPr>
          <w:rFonts w:ascii="Times New Roman" w:hAnsi="Times New Roman"/>
          <w:color w:val="000000"/>
        </w:rPr>
        <w:t>4.3.4 Temporal Considerations Within the Analysis Window</w:t>
      </w:r>
    </w:p>
    <w:p>
      <w:pPr>
        <w:ind w:firstLine="720"/>
      </w:pPr>
      <w:r>
        <w:t>Although the analysis window spans a single fiscal quarter (January through March 2024), it is worth noting that procurement activity within this period is not uniformly distributed. January typically sees a surge of new fiscal year awards as agencies execute procurement actions that were in the pipeline during the preceding quarter. February and March represent more typical procurement tempo. The single-quarter design ensures temporal homogeneity—all awards in the sample were executed under the same economic conditions, regulatory framework, and political environment—but it also means that the findings are a snapshot of procurement behavior at a specific point in time. Seasonal patterns, budget cycle effects, and the particular policy environment of early calendar year 2024 may limit the generalizability of the results to other periods. The decision to use a single quarter reflects a deliberate trade-off between temporal homogeneity (which strengthens internal validity) and temporal breadth (which would strengthen external validity). Future research employing multi-year panels could assess the stability of the findings across different temporal contexts.</w:t>
      </w:r>
    </w:p>
    <w:p>
      <w:pPr>
        <w:pStyle w:val="Heading2"/>
      </w:pPr>
      <w:r>
        <w:rPr>
          <w:rFonts w:ascii="Times New Roman" w:hAnsi="Times New Roman"/>
          <w:color w:val="000000"/>
        </w:rPr>
        <w:t>4.4 Propensity Score Estimation and Matching Diagnostics</w:t>
      </w:r>
    </w:p>
    <w:p>
      <w:pPr>
        <w:pStyle w:val="Heading3"/>
      </w:pPr>
      <w:r>
        <w:rPr>
          <w:rFonts w:ascii="Times New Roman" w:hAnsi="Times New Roman"/>
          <w:color w:val="000000"/>
        </w:rPr>
        <w:t>4.4.1 Rationale for Propensity Score Matching</w:t>
      </w:r>
    </w:p>
    <w:p>
      <w:pPr>
        <w:ind w:firstLine="720"/>
      </w:pPr>
      <w:r>
        <w:t>As discussed in Chapter 3, the fundamental identification challenge in this study is that procurement design is not randomly assigned. Agencies select their procurement approach in light of the characteristics of each acquisition, including its size, complexity, risk profile, and industry sector. If these same characteristics also influence contract outcomes—as theory and prior evidence suggest they do—then a naive comparison of QE and NFP awards would confound the effect of procurement design with the effects of these selection factors. The regression models in Section 4.5 address this confounding by including control variables for log award amount, NAICS sector, and agency. Propensity score matching (PSM) provides a complementary approach that addresses confounding through sample design rather than statistical adjustment.</w:t>
      </w:r>
    </w:p>
    <w:p>
      <w:pPr>
        <w:ind w:firstLine="720"/>
      </w:pPr>
      <w:r>
        <w:t>PSM creates a matched comparison sample in which QE and NFP awards are balanced on observed covariates, thereby approximating the conditions of a randomized experiment within the constraints of an observational study (Rosenbaum &amp; Rubin, 1983). The propensity score—the estimated probability of receiving the treatment (QE procurement design) conditional on observed covariates—serves as a scalar summary of the multidimensional covariate space. By matching QE awards to NFP awards with similar propensity scores, the procedure ensures that the matched groups are comparable on the full set of covariates, reducing the risk that estimated treatment effects are confounded by observed selection factors (Austin, 2011).</w:t>
      </w:r>
    </w:p>
    <w:p>
      <w:pPr>
        <w:ind w:firstLine="720"/>
      </w:pPr>
      <w:r>
        <w:t>The decision to use PSM as a complementary rather than primary identification strategy reflects the inherent limitations of matching methods. PSM can only balance on observed covariates; unobserved confounders remain unaddressed. Additionally, PSM requires discarding unmatched observations, potentially limiting the generalizability of the estimates. The dual strategy of full-sample regression (Section 4.5) plus PSM matched-sample analysis (Section 4.7) provides estimates that are robust to different assumptions about the confounding structure: regression adjusts parametrically for confounders, while PSM adjusts nonparametrically through sample design.</w:t>
      </w:r>
    </w:p>
    <w:p>
      <w:pPr>
        <w:pStyle w:val="Heading3"/>
      </w:pPr>
      <w:r>
        <w:rPr>
          <w:rFonts w:ascii="Times New Roman" w:hAnsi="Times New Roman"/>
          <w:color w:val="000000"/>
        </w:rPr>
        <w:t>4.4.2 Propensity Score Model Specification and Estimation</w:t>
      </w:r>
    </w:p>
    <w:p>
      <w:pPr>
        <w:ind w:firstLine="720"/>
      </w:pPr>
      <w:r>
        <w:t>The propensity score was estimated using a logistic regression model in which the dependent variable was the binary indicator for QE procurement design (1 = QE, 0 = NFP) and the independent variables were the observable covariates hypothesized to influence the selection of procurement design. These covariates were selected based on the theoretical framework developed in Chapter 2 and the practical understanding of federal procurement practices. They included:</w:t>
      </w:r>
    </w:p>
    <w:p>
      <w:pPr>
        <w:pStyle w:val="ListBullet"/>
      </w:pPr>
      <w:r>
        <w:rPr>
          <w:b/>
        </w:rPr>
        <w:t>Log-transformed award amount</w:t>
      </w:r>
      <w:r>
        <w:t>: Larger procurements are more likely to use cost-type pricing and quality-evaluating evaluation criteria, reflecting the greater complexity and risk associated with high-value acquisitions.</w:t>
      </w:r>
    </w:p>
    <w:p>
      <w:pPr>
        <w:pStyle w:val="ListBullet"/>
      </w:pPr>
      <w:r>
        <w:rPr>
          <w:b/>
        </w:rPr>
        <w:t>Transaction count</w:t>
      </w:r>
      <w:r>
        <w:t>: The number of transactions associated with an award captures the complexity of the contract's administrative history and may be correlated with procurement design choice.</w:t>
      </w:r>
    </w:p>
    <w:p>
      <w:pPr>
        <w:pStyle w:val="ListBullet"/>
      </w:pPr>
      <w:r>
        <w:rPr>
          <w:b/>
        </w:rPr>
        <w:t>NAICS sector dummy variables</w:t>
      </w:r>
      <w:r>
        <w:t>: Two dummy variables for Sectors 51 and 56, with Sector 54 as the reference category, capturing industry-level differences in the propensity to use QE versus NFP procurement.</w:t>
      </w:r>
    </w:p>
    <w:p>
      <w:pPr>
        <w:pStyle w:val="ListBullet"/>
      </w:pPr>
      <w:r>
        <w:rPr>
          <w:b/>
        </w:rPr>
        <w:t>Agency dummy variables</w:t>
      </w:r>
      <w:r>
        <w:t>: Ten dummy variables for the top 10 agencies by award volume, capturing agency-level differences in procurement culture, policy guidance, and mission complexity.</w:t>
      </w:r>
    </w:p>
    <w:p>
      <w:pPr>
        <w:ind w:firstLine="720"/>
      </w:pPr>
      <w:r>
        <w:t>Table 4.4 summarizes the key characteristics of the propensity score model and the matching procedure.</w:t>
      </w:r>
    </w:p>
    <w:p>
      <w:pPr>
        <w:ind w:firstLine="720"/>
      </w:pPr>
      <w:r>
        <w:rPr>
          <w:b/>
        </w:rPr>
        <w:t>Table 4.4</w:t>
      </w:r>
    </w:p>
    <w:p>
      <w:pPr>
        <w:ind w:firstLine="720"/>
      </w:pPr>
      <w:r>
        <w:rPr>
          <w:i/>
        </w:rPr>
        <w:t>Propensity Score Estimation and Matching Summary</w:t>
      </w:r>
    </w:p>
    <w:tbl>
      <w:tblPr>
        <w:tblStyle w:val="TableGrid"/>
        <w:tblW w:type="auto" w:w="0"/>
        <w:tblLook w:firstColumn="1" w:firstRow="1" w:lastColumn="0" w:lastRow="0" w:noHBand="0" w:noVBand="1" w:val="04A0"/>
      </w:tblPr>
      <w:tblGrid>
        <w:gridCol w:w="4320"/>
        <w:gridCol w:w="4320"/>
      </w:tblGrid>
      <w:tr>
        <w:tc>
          <w:tcPr>
            <w:tcW w:type="dxa" w:w="4320"/>
          </w:tcPr>
          <w:p>
            <w:pPr>
              <w:spacing w:line="240" w:lineRule="auto"/>
            </w:pPr>
            <w:r>
              <w:rPr>
                <w:rFonts w:ascii="Times New Roman" w:hAnsi="Times New Roman"/>
                <w:b/>
                <w:sz w:val="20"/>
              </w:rPr>
              <w:t>Model Characteristic</w:t>
            </w:r>
          </w:p>
        </w:tc>
        <w:tc>
          <w:tcPr>
            <w:tcW w:type="dxa" w:w="4320"/>
          </w:tcPr>
          <w:p>
            <w:pPr>
              <w:spacing w:line="240" w:lineRule="auto"/>
            </w:pPr>
            <w:r>
              <w:rPr>
                <w:rFonts w:ascii="Times New Roman" w:hAnsi="Times New Roman"/>
                <w:b/>
                <w:sz w:val="20"/>
              </w:rPr>
              <w:t>Value</w:t>
            </w:r>
          </w:p>
        </w:tc>
      </w:tr>
      <w:tr>
        <w:tc>
          <w:tcPr>
            <w:tcW w:type="dxa" w:w="4320"/>
          </w:tcPr>
          <w:p>
            <w:pPr>
              <w:spacing w:line="240" w:lineRule="auto"/>
            </w:pPr>
            <w:r>
              <w:rPr>
                <w:rFonts w:ascii="Times New Roman" w:hAnsi="Times New Roman"/>
                <w:sz w:val="20"/>
              </w:rPr>
              <w:t>Dependent variable</w:t>
            </w:r>
          </w:p>
        </w:tc>
        <w:tc>
          <w:tcPr>
            <w:tcW w:type="dxa" w:w="4320"/>
          </w:tcPr>
          <w:p>
            <w:pPr>
              <w:spacing w:line="240" w:lineRule="auto"/>
            </w:pPr>
            <w:r>
              <w:rPr>
                <w:rFonts w:ascii="Times New Roman" w:hAnsi="Times New Roman"/>
                <w:sz w:val="20"/>
              </w:rPr>
              <w:t>QE indicator (1 = QE, 0 = NFP)</w:t>
            </w:r>
          </w:p>
        </w:tc>
      </w:tr>
      <w:tr>
        <w:tc>
          <w:tcPr>
            <w:tcW w:type="dxa" w:w="4320"/>
          </w:tcPr>
          <w:p>
            <w:pPr>
              <w:spacing w:line="240" w:lineRule="auto"/>
            </w:pPr>
            <w:r>
              <w:rPr>
                <w:rFonts w:ascii="Times New Roman" w:hAnsi="Times New Roman"/>
                <w:sz w:val="20"/>
              </w:rPr>
              <w:t>Sample size</w:t>
            </w:r>
          </w:p>
        </w:tc>
        <w:tc>
          <w:tcPr>
            <w:tcW w:type="dxa" w:w="4320"/>
          </w:tcPr>
          <w:p>
            <w:pPr>
              <w:spacing w:line="240" w:lineRule="auto"/>
            </w:pPr>
            <w:r>
              <w:rPr>
                <w:rFonts w:ascii="Times New Roman" w:hAnsi="Times New Roman"/>
                <w:sz w:val="20"/>
              </w:rPr>
              <w:t>3,869</w:t>
            </w:r>
          </w:p>
        </w:tc>
      </w:tr>
      <w:tr>
        <w:tc>
          <w:tcPr>
            <w:tcW w:type="dxa" w:w="4320"/>
          </w:tcPr>
          <w:p>
            <w:pPr>
              <w:spacing w:line="240" w:lineRule="auto"/>
            </w:pPr>
            <w:r>
              <w:rPr>
                <w:rFonts w:ascii="Times New Roman" w:hAnsi="Times New Roman"/>
                <w:sz w:val="20"/>
              </w:rPr>
              <w:t>Pseudo R²</w:t>
            </w:r>
          </w:p>
        </w:tc>
        <w:tc>
          <w:tcPr>
            <w:tcW w:type="dxa" w:w="4320"/>
          </w:tcPr>
          <w:p>
            <w:pPr>
              <w:spacing w:line="240" w:lineRule="auto"/>
            </w:pPr>
            <w:r>
              <w:rPr>
                <w:rFonts w:ascii="Times New Roman" w:hAnsi="Times New Roman"/>
                <w:sz w:val="20"/>
              </w:rPr>
              <w:t>0.106</w:t>
            </w:r>
          </w:p>
        </w:tc>
      </w:tr>
      <w:tr>
        <w:tc>
          <w:tcPr>
            <w:tcW w:type="dxa" w:w="4320"/>
          </w:tcPr>
          <w:p>
            <w:pPr>
              <w:spacing w:line="240" w:lineRule="auto"/>
            </w:pPr>
            <w:r>
              <w:rPr>
                <w:rFonts w:ascii="Times New Roman" w:hAnsi="Times New Roman"/>
                <w:sz w:val="20"/>
              </w:rPr>
              <w:t>Covariates</w:t>
            </w:r>
          </w:p>
        </w:tc>
        <w:tc>
          <w:tcPr>
            <w:tcW w:type="dxa" w:w="4320"/>
          </w:tcPr>
          <w:p>
            <w:pPr>
              <w:spacing w:line="240" w:lineRule="auto"/>
            </w:pPr>
            <w:r>
              <w:rPr>
                <w:rFonts w:ascii="Times New Roman" w:hAnsi="Times New Roman"/>
                <w:sz w:val="20"/>
              </w:rPr>
              <w:t>Log award amount, transaction count, NAICS sector dummies (2), top 10 agency dummies (10)</w:t>
            </w:r>
          </w:p>
        </w:tc>
      </w:tr>
      <w:tr>
        <w:tc>
          <w:tcPr>
            <w:tcW w:type="dxa" w:w="4320"/>
          </w:tcPr>
          <w:p>
            <w:pPr>
              <w:spacing w:line="240" w:lineRule="auto"/>
            </w:pPr>
            <w:r>
              <w:rPr>
                <w:rFonts w:ascii="Times New Roman" w:hAnsi="Times New Roman"/>
                <w:sz w:val="20"/>
              </w:rPr>
              <w:t>PS score, treatment group: Mean (SD)</w:t>
            </w:r>
          </w:p>
        </w:tc>
        <w:tc>
          <w:tcPr>
            <w:tcW w:type="dxa" w:w="4320"/>
          </w:tcPr>
          <w:p>
            <w:pPr>
              <w:spacing w:line="240" w:lineRule="auto"/>
            </w:pPr>
            <w:r>
              <w:rPr>
                <w:rFonts w:ascii="Times New Roman" w:hAnsi="Times New Roman"/>
                <w:sz w:val="20"/>
              </w:rPr>
              <w:t>0.446 (0.195)</w:t>
            </w:r>
          </w:p>
        </w:tc>
      </w:tr>
      <w:tr>
        <w:tc>
          <w:tcPr>
            <w:tcW w:type="dxa" w:w="4320"/>
          </w:tcPr>
          <w:p>
            <w:pPr>
              <w:spacing w:line="240" w:lineRule="auto"/>
            </w:pPr>
            <w:r>
              <w:rPr>
                <w:rFonts w:ascii="Times New Roman" w:hAnsi="Times New Roman"/>
                <w:sz w:val="20"/>
              </w:rPr>
              <w:t>PS score, control group: Mean (SD)</w:t>
            </w:r>
          </w:p>
        </w:tc>
        <w:tc>
          <w:tcPr>
            <w:tcW w:type="dxa" w:w="4320"/>
          </w:tcPr>
          <w:p>
            <w:pPr>
              <w:spacing w:line="240" w:lineRule="auto"/>
            </w:pPr>
            <w:r>
              <w:rPr>
                <w:rFonts w:ascii="Times New Roman" w:hAnsi="Times New Roman"/>
                <w:sz w:val="20"/>
              </w:rPr>
              <w:t>0.307 (0.144)</w:t>
            </w:r>
          </w:p>
        </w:tc>
      </w:tr>
      <w:tr>
        <w:tc>
          <w:tcPr>
            <w:tcW w:type="dxa" w:w="4320"/>
          </w:tcPr>
          <w:p>
            <w:pPr>
              <w:spacing w:line="240" w:lineRule="auto"/>
            </w:pPr>
            <w:r>
              <w:rPr>
                <w:rFonts w:ascii="Times New Roman" w:hAnsi="Times New Roman"/>
                <w:sz w:val="20"/>
              </w:rPr>
              <w:t>Matching algorithm</w:t>
            </w:r>
          </w:p>
        </w:tc>
        <w:tc>
          <w:tcPr>
            <w:tcW w:type="dxa" w:w="4320"/>
          </w:tcPr>
          <w:p>
            <w:pPr>
              <w:spacing w:line="240" w:lineRule="auto"/>
            </w:pPr>
            <w:r>
              <w:rPr>
                <w:rFonts w:ascii="Times New Roman" w:hAnsi="Times New Roman"/>
                <w:sz w:val="20"/>
              </w:rPr>
              <w:t>1:1 nearest-neighbor without replacement</w:t>
            </w:r>
          </w:p>
        </w:tc>
      </w:tr>
      <w:tr>
        <w:tc>
          <w:tcPr>
            <w:tcW w:type="dxa" w:w="4320"/>
          </w:tcPr>
          <w:p>
            <w:pPr>
              <w:spacing w:line="240" w:lineRule="auto"/>
            </w:pPr>
            <w:r>
              <w:rPr>
                <w:rFonts w:ascii="Times New Roman" w:hAnsi="Times New Roman"/>
                <w:sz w:val="20"/>
              </w:rPr>
              <w:t>Caliper</w:t>
            </w:r>
          </w:p>
        </w:tc>
        <w:tc>
          <w:tcPr>
            <w:tcW w:type="dxa" w:w="4320"/>
          </w:tcPr>
          <w:p>
            <w:pPr>
              <w:spacing w:line="240" w:lineRule="auto"/>
            </w:pPr>
            <w:r>
              <w:rPr>
                <w:rFonts w:ascii="Times New Roman" w:hAnsi="Times New Roman"/>
                <w:sz w:val="20"/>
              </w:rPr>
              <w:t>0.05 (on the propensity score scale)</w:t>
            </w:r>
          </w:p>
        </w:tc>
      </w:tr>
      <w:tr>
        <w:tc>
          <w:tcPr>
            <w:tcW w:type="dxa" w:w="4320"/>
          </w:tcPr>
          <w:p>
            <w:pPr>
              <w:spacing w:line="240" w:lineRule="auto"/>
            </w:pPr>
            <w:r>
              <w:rPr>
                <w:rFonts w:ascii="Times New Roman" w:hAnsi="Times New Roman"/>
                <w:sz w:val="20"/>
              </w:rPr>
              <w:t>Matched pairs</w:t>
            </w:r>
          </w:p>
        </w:tc>
        <w:tc>
          <w:tcPr>
            <w:tcW w:type="dxa" w:w="4320"/>
          </w:tcPr>
          <w:p>
            <w:pPr>
              <w:spacing w:line="240" w:lineRule="auto"/>
            </w:pPr>
            <w:r>
              <w:rPr>
                <w:rFonts w:ascii="Times New Roman" w:hAnsi="Times New Roman"/>
                <w:sz w:val="20"/>
              </w:rPr>
              <w:t>1,093</w:t>
            </w:r>
          </w:p>
        </w:tc>
      </w:tr>
      <w:tr>
        <w:tc>
          <w:tcPr>
            <w:tcW w:type="dxa" w:w="4320"/>
          </w:tcPr>
          <w:p>
            <w:pPr>
              <w:spacing w:line="240" w:lineRule="auto"/>
            </w:pPr>
            <w:r>
              <w:rPr>
                <w:rFonts w:ascii="Times New Roman" w:hAnsi="Times New Roman"/>
                <w:sz w:val="20"/>
              </w:rPr>
              <w:t>Unmatched treatment units</w:t>
            </w:r>
          </w:p>
        </w:tc>
        <w:tc>
          <w:tcPr>
            <w:tcW w:type="dxa" w:w="4320"/>
          </w:tcPr>
          <w:p>
            <w:pPr>
              <w:spacing w:line="240" w:lineRule="auto"/>
            </w:pPr>
            <w:r>
              <w:rPr>
                <w:rFonts w:ascii="Times New Roman" w:hAnsi="Times New Roman"/>
                <w:sz w:val="20"/>
              </w:rPr>
              <w:t>286</w:t>
            </w:r>
          </w:p>
        </w:tc>
      </w:tr>
      <w:tr>
        <w:tc>
          <w:tcPr>
            <w:tcW w:type="dxa" w:w="4320"/>
          </w:tcPr>
          <w:p>
            <w:pPr>
              <w:spacing w:line="240" w:lineRule="auto"/>
            </w:pPr>
            <w:r>
              <w:rPr>
                <w:rFonts w:ascii="Times New Roman" w:hAnsi="Times New Roman"/>
                <w:sz w:val="20"/>
              </w:rPr>
              <w:t>Match rate</w:t>
            </w:r>
          </w:p>
        </w:tc>
        <w:tc>
          <w:tcPr>
            <w:tcW w:type="dxa" w:w="4320"/>
          </w:tcPr>
          <w:p>
            <w:pPr>
              <w:spacing w:line="240" w:lineRule="auto"/>
            </w:pPr>
            <w:r>
              <w:rPr>
                <w:rFonts w:ascii="Times New Roman" w:hAnsi="Times New Roman"/>
                <w:sz w:val="20"/>
              </w:rPr>
              <w:t>79.3%</w:t>
            </w:r>
          </w:p>
        </w:tc>
      </w:tr>
      <w:tr>
        <w:tc>
          <w:tcPr>
            <w:tcW w:type="dxa" w:w="4320"/>
          </w:tcPr>
          <w:p>
            <w:pPr>
              <w:spacing w:line="240" w:lineRule="auto"/>
            </w:pPr>
            <w:r>
              <w:rPr>
                <w:rFonts w:ascii="Times New Roman" w:hAnsi="Times New Roman"/>
                <w:sz w:val="20"/>
              </w:rPr>
              <w:t>Matched sample size</w:t>
            </w:r>
          </w:p>
        </w:tc>
        <w:tc>
          <w:tcPr>
            <w:tcW w:type="dxa" w:w="4320"/>
          </w:tcPr>
          <w:p>
            <w:pPr>
              <w:spacing w:line="240" w:lineRule="auto"/>
            </w:pPr>
            <w:r>
              <w:rPr>
                <w:rFonts w:ascii="Times New Roman" w:hAnsi="Times New Roman"/>
                <w:sz w:val="20"/>
              </w:rPr>
              <w:t>2,186</w:t>
            </w:r>
          </w:p>
        </w:tc>
      </w:tr>
    </w:tbl>
    <w:p>
      <w:pPr>
        <w:ind w:firstLine="720"/>
      </w:pPr>
      <w:r>
        <w:t xml:space="preserve">The pseudo </w:t>
      </w:r>
      <w:r>
        <w:rPr>
          <w:i/>
        </w:rPr>
        <w:t>R</w:t>
      </w:r>
      <w:r>
        <w:t xml:space="preserve">² of 0.106 indicated that the covariates included in the model explained a modest but meaningful share of the variation in procurement design selection. The interpretation of pseudo </w:t>
      </w:r>
      <w:r>
        <w:rPr>
          <w:i/>
        </w:rPr>
        <w:t>R</w:t>
      </w:r>
      <w:r>
        <w:t xml:space="preserve">² in the context of propensity score estimation differs from its interpretation in standard regression analysis. In PSM, a pseudo </w:t>
      </w:r>
      <w:r>
        <w:rPr>
          <w:i/>
        </w:rPr>
        <w:t>R</w:t>
      </w:r>
      <w:r>
        <w:t xml:space="preserve">² that is too high (above approximately 0.25 to 0.30) would suggest that QE and NFP awards occupy entirely different regions of the covariate space, making matching infeasible because few treated units would have viable control matches. Conversely, a pseudo </w:t>
      </w:r>
      <w:r>
        <w:rPr>
          <w:i/>
        </w:rPr>
        <w:t>R</w:t>
      </w:r>
      <w:r>
        <w:t>² near zero would suggest that the covariates do not predict selection, obviating the need for matching (since the groups would already be balanced). The observed value of 0.106 fell within the range typically considered appropriate for PSM applications in the social sciences (Caliendo &amp; Kopeinig, 2008), indicating meaningful but not overwhelming selection on observables.</w:t>
      </w:r>
    </w:p>
    <w:p>
      <w:pPr>
        <w:ind w:firstLine="720"/>
      </w:pPr>
      <w:r>
        <w:t xml:space="preserve">The mean propensity scores differed between the treatment group (QE: 0.446, </w:t>
      </w:r>
      <w:r>
        <w:rPr>
          <w:i/>
        </w:rPr>
        <w:t>SD</w:t>
      </w:r>
      <w:r>
        <w:t xml:space="preserve"> = 0.195) and the control group (NFP: 0.307, </w:t>
      </w:r>
      <w:r>
        <w:rPr>
          <w:i/>
        </w:rPr>
        <w:t>SD</w:t>
      </w:r>
      <w:r>
        <w:t xml:space="preserve"> = 0.144), confirming that QE and NFP awards differed systematically on the observed covariates prior to matching. The treatment group's higher mean propensity score (0.446 vs. 0.307) reflects the fact that QE awards tend to be larger and concentrated in certain agencies and sectors—characteristics that the propensity score model captures. The standard deviations indicated that there was substantial overlap in the propensity score distributions (i.e., a wide common support region), a necessary condition for successful matching.</w:t>
      </w:r>
    </w:p>
    <w:p>
      <w:pPr>
        <w:pStyle w:val="Heading3"/>
      </w:pPr>
      <w:r>
        <w:rPr>
          <w:rFonts w:ascii="Times New Roman" w:hAnsi="Times New Roman"/>
          <w:color w:val="000000"/>
        </w:rPr>
        <w:t>4.4.3 Matching Results and Balance Diagnostics</w:t>
      </w:r>
    </w:p>
    <w:p>
      <w:pPr>
        <w:ind w:firstLine="720"/>
      </w:pPr>
      <w:r>
        <w:t>One-to-one nearest-neighbor matching without replacement was conducted with a caliper of 0.05 on the propensity score scale. The caliper imposes a maximum permissible distance between matched pairs: a QE award is matched to the nearest NFP award on the propensity score scale, but only if the distance between their propensity scores does not exceed 0.05. This caliper width was chosen to balance the competing objectives of match quality (tighter calipers produce better-matched pairs but more unmatched units) and sample retention (wider calipers retain more observations but at the cost of poorer matches). The chosen caliper of 0.05 is within the range recommended by Austin (2011), who suggested calipers between 0.01 and 0.10 depending on the application.</w:t>
      </w:r>
    </w:p>
    <w:p>
      <w:pPr>
        <w:ind w:firstLine="720"/>
      </w:pPr>
      <w:r>
        <w:t>Of the 1,379 QE awards in the treatment group, 1,093 (79.3%) were successfully matched to an NFP award within the caliper distance. The remaining 286 QE awards (20.7%) could not be matched within the specified caliper, typically because they occupied regions of the propensity score distribution where NFP awards were sparse. These unmatched units tended to represent very large awards from agencies with particularly high QE usage rates—observations that are, by definition, the most dissimilar from the NFP population and for which matched estimation is least feasible.</w:t>
      </w:r>
    </w:p>
    <w:p>
      <w:pPr>
        <w:ind w:firstLine="720"/>
      </w:pPr>
      <w:r>
        <w:t>The matched sample of 2,186 awards (1,093 QE and 1,093 NFP) was then assessed for covariate balance. The standardized mean difference (SMD) was computed for each covariate before and after matching. The SMD is calculated as the difference in means between the treatment and control groups, divided by the pooled standard deviation. SMD values below 0.10 in absolute value are generally considered indicative of adequate balance (Austin, 2011; Stuart, 2010).</w:t>
      </w:r>
    </w:p>
    <w:p>
      <w:pPr>
        <w:ind w:firstLine="720"/>
      </w:pPr>
      <w:r>
        <w:t>Figure 4.5 presents a Love plot displaying the SMD for each covariate before and after matching.</w:t>
      </w:r>
    </w:p>
    <w:p>
      <w:pPr>
        <w:ind w:firstLine="720"/>
      </w:pPr>
      <w:r>
        <w:t xml:space="preserve">&gt; </w:t>
      </w:r>
      <w:r>
        <w:rPr>
          <w:b/>
        </w:rPr>
        <w:t>Figure 4.5.</w:t>
      </w:r>
      <w:r>
        <w:t xml:space="preserve"> Love plot of standardized mean differences (SMD) for covariates before and after propensity score matching. The vertical dashed lines at SMD = -0.10 and SMD = 0.10 indicate the conventional threshold for adequate balance. Matching substantially reduced imbalance on log award amount (from 0.363 to -0.120) and NAICS Sector 54 (from 0.202 to 0.056). Most covariates fell within or near the balance threshold after matching.</w:t>
      </w:r>
    </w:p>
    <w:p>
      <w:pPr>
        <w:ind w:firstLine="720"/>
      </w:pPr>
      <w:r>
        <w:t>The most important covariate for the analysis was log award amount, given the substantial size differential between QE and NFP awards documented in Section 4.2.3. Before matching, the SMD for log award amount was 0.363, indicating a meaningful imbalance that exceeded the conventional threshold by a factor of more than three. After matching, the SMD was reduced to -0.120—a substantial improvement, though the absolute value (0.120) remained slightly above the conventional 0.10 threshold. This residual imbalance reflected the inherent difficulty of perfectly matching QE and NFP awards on size when QE awards are systematically larger: even after restricting the comparison to the most similar pairs, QE awards in the matched sample remained slightly larger on average. The negative sign indicates that after matching, the NFP matches were slightly larger than their QE counterparts, reflecting the asymmetric distribution of award sizes. The residual imbalance on log award amount was addressed by retaining this variable as a control in the matched-sample regressions, effectively combining the PSM-based and regression-based adjustment strategies—a "doubly robust" approach that is consistent if either the propensity score model or the outcome regression model is correctly specified (Bang &amp; Robins, 2005).</w:t>
      </w:r>
    </w:p>
    <w:p>
      <w:pPr>
        <w:ind w:firstLine="720"/>
      </w:pPr>
      <w:r>
        <w:t>The NAICS Sector 54 dummy variable showed a similar pattern of improvement, with the SMD declining from 0.202 to 0.056 after matching—well within the balance threshold. The remaining covariates (NAICS Sector 51 and 56 dummies, transaction count, and the agency dummies) generally showed adequate balance both before and after matching, with most SMD values below 0.10 in both conditions.</w:t>
      </w:r>
    </w:p>
    <w:p>
      <w:pPr>
        <w:ind w:firstLine="720"/>
      </w:pPr>
      <w:r>
        <w:t>Figure 4.6 presents the propensity score distributions for the treatment and control groups before and after matching, providing a visual assessment of common support and distributional overlap.</w:t>
      </w:r>
    </w:p>
    <w:p>
      <w:pPr>
        <w:ind w:firstLine="720"/>
      </w:pPr>
      <w:r>
        <w:t xml:space="preserve">&gt; </w:t>
      </w:r>
      <w:r>
        <w:rPr>
          <w:b/>
        </w:rPr>
        <w:t>Figure 4.6.</w:t>
      </w:r>
      <w:r>
        <w:t xml:space="preserve"> Propensity score distributions before and after matching. Panel (a) shows the raw distributions, which differ in location and spread, with the QE distribution shifted to the right. Panel (b) shows the matched distributions, which exhibit substantially greater overlap, confirming that matching improved the comparability of the two groups on observed covariates.</w:t>
      </w:r>
    </w:p>
    <w:p>
      <w:pPr>
        <w:ind w:firstLine="720"/>
      </w:pPr>
      <w:r>
        <w:t>The improvement in overlap between the propensity score distributions after matching confirmed that the PSM procedure achieved its primary objective: creating a comparison sample in which QE and NFP awards were more similar on observed characteristics than in the full sample. The matched distributions in Panel (b) are much more similar in location and shape than the raw distributions in Panel (a), indicating that the caliper-based matching successfully eliminated the most extreme cases of imbalance.</w:t>
      </w:r>
    </w:p>
    <w:p>
      <w:pPr>
        <w:pStyle w:val="Heading3"/>
      </w:pPr>
      <w:r>
        <w:rPr>
          <w:rFonts w:ascii="Times New Roman" w:hAnsi="Times New Roman"/>
          <w:color w:val="000000"/>
        </w:rPr>
        <w:t>4.4.4 Limitations of the Matching Procedure</w:t>
      </w:r>
    </w:p>
    <w:p>
      <w:pPr>
        <w:ind w:firstLine="720"/>
      </w:pPr>
      <w:r>
        <w:t>Several limitations of the matching procedure warrant explicit acknowledgment, as they bear on the interpretation of the matched-sample results reported in Section 4.7.</w:t>
      </w:r>
    </w:p>
    <w:p>
      <w:pPr>
        <w:ind w:firstLine="720"/>
      </w:pPr>
      <w:r>
        <w:t>First, the 79.3% match rate means that 286 QE awards (20.7%) were excluded from the matched analysis. These unmatched units are not a random subset of the treatment group; they are systematically different, tending to be larger and from agencies with particularly high QE usage rates. The exclusion of these units raises the question of whether the matched-sample results generalize to the full population of QE awards or only to the subset that has viable NFP counterparts. In PSM terminology, the matched-sample estimates represent the average treatment effect on the treated (ATT) within the region of common support, not the population ATT. The full-sample regression results, which retain all observations and adjust parametrically for confounders, provide a complementary set of estimates that are not subject to this selection and that estimate a parameter closer to the population average treatment effect.</w:t>
      </w:r>
    </w:p>
    <w:p>
      <w:pPr>
        <w:ind w:firstLine="720"/>
      </w:pPr>
      <w:r>
        <w:t>Second, PSM can only balance on observed covariates. Unobserved factors that influence both the choice of procurement design and contract outcomes—such as the contracting officer's experience and risk tolerance, the quality and clarity of the statement of work, the depth of the market for the required services, the stability of the requirement over the contract period, and the intensity of post-award oversight—are not captured by the propensity score model. To the extent that these unobserved factors are correlated with the treatment indicator, the matched-sample estimates may still be biased. This limitation, which is common to all observational studies and cannot be fully resolved without randomized assignment, is addressed through multiple robustness checks (Section 4.8) and is discussed as a qualification on causal interpretation in Chapter 5.</w:t>
      </w:r>
    </w:p>
    <w:p>
      <w:pPr>
        <w:ind w:firstLine="720"/>
      </w:pPr>
      <w:r>
        <w:t>Third, the choice of matching algorithm (1:1 nearest-neighbor without replacement) and caliper (0.05) involves trade-offs that could influence the results. Alternative matching algorithms (e.g., kernel matching, radius matching, or matching with multiple controls) might produce different estimates, and the sensitivity of the results to these choices was not exhaustively explored. However, the consistency between the full-sample regression results and the matched-sample results (reported in Section 4.7) provides reassurance that the findings are not highly sensitive to the specific matching approach employed.</w:t>
      </w:r>
    </w:p>
    <w:p>
      <w:pPr>
        <w:pStyle w:val="Heading2"/>
      </w:pPr>
      <w:r>
        <w:rPr>
          <w:rFonts w:ascii="Times New Roman" w:hAnsi="Times New Roman"/>
          <w:color w:val="000000"/>
        </w:rPr>
        <w:t>4.5 Primary Hypothesis Tests</w:t>
      </w:r>
    </w:p>
    <w:p>
      <w:pPr>
        <w:ind w:firstLine="720"/>
      </w:pPr>
      <w:r>
        <w:t>This section presents the results of the primary hypothesis tests, corresponding to Hypotheses 1, 2, and 6 as developed in Chapter 2. Each hypothesis is tested using the full QE-versus-NFP comparison sample (</w:t>
      </w:r>
      <w:r>
        <w:rPr>
          <w:i/>
        </w:rPr>
        <w:t>N</w:t>
      </w:r>
      <w:r>
        <w:t xml:space="preserve"> = 3,869, or the analysis-specific subsample after excluding observations with missing values on the dependent variable), with regression controls for log award amount, NAICS sector dummy variables, and agency dummy variables. Propensity score matched results are reported separately in Section 4.7 to provide a complementary set of estimates.</w:t>
      </w:r>
    </w:p>
    <w:p>
      <w:pPr>
        <w:pStyle w:val="Heading3"/>
      </w:pPr>
      <w:r>
        <w:rPr>
          <w:rFonts w:ascii="Times New Roman" w:hAnsi="Times New Roman"/>
          <w:color w:val="000000"/>
        </w:rPr>
        <w:t>4.5.1 H1: Cost Growth and Source Selection Method</w:t>
      </w:r>
    </w:p>
    <w:p>
      <w:pPr>
        <w:ind w:firstLine="720"/>
      </w:pPr>
      <w:r>
        <w:rPr>
          <w:b/>
        </w:rPr>
        <w:t>Hypothesis 1:</w:t>
      </w:r>
      <w:r>
        <w:t xml:space="preserve"> Contracts awarded through quality-evaluating procurement designs (QE) will exhibit lower cost growth than contracts awarded through negotiated fixed-price (NFP) designs.</w:t>
      </w:r>
    </w:p>
    <w:p>
      <w:pPr>
        <w:ind w:firstLine="720"/>
      </w:pPr>
      <w:r>
        <w:t>The theoretical rationale for this hypothesis, grounded in transaction cost economics (Williamson, 1985, 1996), was that quality-evaluating procurement designs—by allowing the government to assess technical approach, management capability, and past performance in addition to price—should yield better contractor-requirement fit and, consequently, fewer unanticipated scope changes, disputes, and cost escalations during contract performance. In the language of transaction cost economics, quality evaluation reduces the bounded rationality and opportunism problems that arise when complex transactions are governed by simple price-based mechanisms. The hypothesis predicts that this reduction in transaction costs manifests as lower post-award cost growth.</w:t>
      </w:r>
    </w:p>
    <w:p>
      <w:pPr>
        <w:ind w:firstLine="720"/>
      </w:pPr>
      <w:r>
        <w:t>The hypothesis was tested using OLS regression with winsorized cost growth (capped at the 1st and 99th percentiles of the distribution) as the dependent variable. Heteroskedasticity-consistent (HC3) robust standard errors were employed to address the non-constant variance that is typical of financial outcome data. The model specification was:</w:t>
      </w:r>
    </w:p>
    <w:p>
      <w:pPr>
        <w:ind w:firstLine="720"/>
      </w:pPr>
      <w:r>
        <w:t xml:space="preserve">Cost Growth (%) = beta_0 + beta_1(Tradeoff) + beta_2(Log Award Amount) + sum(beta_j </w:t>
      </w:r>
      <w:r>
        <w:rPr>
          <w:i/>
        </w:rPr>
        <w:t xml:space="preserve"> NAICS_j) + sum(beta_k </w:t>
      </w:r>
      <w:r>
        <w:t xml:space="preserve"> Agency_k) + epsilon</w:t>
      </w:r>
    </w:p>
    <w:p>
      <w:pPr>
        <w:ind w:firstLine="720"/>
      </w:pPr>
      <w:r>
        <w:t>where Tradeoff is a binary indicator (1 = QE, 0 = NFP), NAICS_j represents sector dummy variables, and Agency_k represents the top 10 agency dummy variables. The coefficient of interest is beta_1, which estimates the difference in mean cost growth between QE and NFP awards, conditional on award size, sector, and agency.</w:t>
      </w:r>
    </w:p>
    <w:p>
      <w:pPr>
        <w:ind w:firstLine="720"/>
      </w:pPr>
      <w:r>
        <w:rPr>
          <w:b/>
        </w:rPr>
        <w:t>Table 4.5</w:t>
      </w:r>
    </w:p>
    <w:p>
      <w:pPr>
        <w:ind w:firstLine="720"/>
      </w:pPr>
      <w:r>
        <w:rPr>
          <w:i/>
        </w:rPr>
        <w:t>OLS Regression Results: Cost Growth as a Function of Procurement Design (Full Sample)</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pPr>
              <w:spacing w:line="240" w:lineRule="auto"/>
            </w:pPr>
            <w:r>
              <w:rPr>
                <w:rFonts w:ascii="Times New Roman" w:hAnsi="Times New Roman"/>
                <w:b/>
                <w:sz w:val="20"/>
              </w:rPr>
              <w:t>Variable</w:t>
            </w:r>
          </w:p>
        </w:tc>
        <w:tc>
          <w:tcPr>
            <w:tcW w:type="dxa" w:w="1440"/>
          </w:tcPr>
          <w:p>
            <w:pPr>
              <w:spacing w:line="240" w:lineRule="auto"/>
            </w:pPr>
            <w:r>
              <w:rPr>
                <w:rFonts w:ascii="Times New Roman" w:hAnsi="Times New Roman"/>
                <w:b/>
                <w:sz w:val="20"/>
              </w:rPr>
              <w:t>Coefficient</w:t>
            </w:r>
          </w:p>
        </w:tc>
        <w:tc>
          <w:tcPr>
            <w:tcW w:type="dxa" w:w="1440"/>
          </w:tcPr>
          <w:p>
            <w:pPr>
              <w:spacing w:line="240" w:lineRule="auto"/>
            </w:pPr>
            <w:r>
              <w:rPr>
                <w:rFonts w:ascii="Times New Roman" w:hAnsi="Times New Roman"/>
                <w:b/>
                <w:sz w:val="20"/>
              </w:rPr>
              <w:t>Robust SE (HC3)</w:t>
            </w:r>
          </w:p>
        </w:tc>
        <w:tc>
          <w:tcPr>
            <w:tcW w:type="dxa" w:w="1440"/>
          </w:tcPr>
          <w:p>
            <w:pPr>
              <w:spacing w:line="240" w:lineRule="auto"/>
            </w:pPr>
            <w:r>
              <w:rPr>
                <w:rFonts w:ascii="Times New Roman" w:hAnsi="Times New Roman"/>
                <w:b/>
                <w:sz w:val="20"/>
              </w:rPr>
              <w:t>t</w:t>
            </w:r>
          </w:p>
        </w:tc>
        <w:tc>
          <w:tcPr>
            <w:tcW w:type="dxa" w:w="1440"/>
          </w:tcPr>
          <w:p>
            <w:pPr>
              <w:spacing w:line="240" w:lineRule="auto"/>
            </w:pPr>
            <w:r>
              <w:rPr>
                <w:rFonts w:ascii="Times New Roman" w:hAnsi="Times New Roman"/>
                <w:b/>
                <w:sz w:val="20"/>
              </w:rPr>
              <w:t>p</w:t>
            </w:r>
          </w:p>
        </w:tc>
        <w:tc>
          <w:tcPr>
            <w:tcW w:type="dxa" w:w="1440"/>
          </w:tcPr>
          <w:p>
            <w:pPr>
              <w:spacing w:line="240" w:lineRule="auto"/>
            </w:pPr>
            <w:r>
              <w:rPr>
                <w:rFonts w:ascii="Times New Roman" w:hAnsi="Times New Roman"/>
                <w:b/>
                <w:sz w:val="20"/>
              </w:rPr>
              <w:t>95% CI</w:t>
            </w:r>
          </w:p>
        </w:tc>
      </w:tr>
      <w:tr>
        <w:tc>
          <w:tcPr>
            <w:tcW w:type="dxa" w:w="1440"/>
          </w:tcPr>
          <w:p>
            <w:pPr>
              <w:spacing w:line="240" w:lineRule="auto"/>
            </w:pPr>
            <w:r>
              <w:rPr>
                <w:rFonts w:ascii="Times New Roman" w:hAnsi="Times New Roman"/>
                <w:sz w:val="20"/>
              </w:rPr>
              <w:t>Intercept</w:t>
            </w:r>
          </w:p>
        </w:tc>
        <w:tc>
          <w:tcPr>
            <w:tcW w:type="dxa" w:w="1440"/>
          </w:tcPr>
          <w:p>
            <w:pPr>
              <w:spacing w:line="240" w:lineRule="auto"/>
            </w:pPr>
            <w:r>
              <w:rPr>
                <w:rFonts w:ascii="Times New Roman" w:hAnsi="Times New Roman"/>
                <w:sz w:val="20"/>
              </w:rPr>
              <w:t>—</w:t>
            </w:r>
          </w:p>
        </w:tc>
        <w:tc>
          <w:tcPr>
            <w:tcW w:type="dxa" w:w="1440"/>
          </w:tcPr>
          <w:p>
            <w:pPr>
              <w:spacing w:line="240" w:lineRule="auto"/>
            </w:pPr>
            <w:r>
              <w:rPr>
                <w:rFonts w:ascii="Times New Roman" w:hAnsi="Times New Roman"/>
                <w:sz w:val="20"/>
              </w:rPr>
              <w:t>—</w:t>
            </w:r>
          </w:p>
        </w:tc>
        <w:tc>
          <w:tcPr>
            <w:tcW w:type="dxa" w:w="1440"/>
          </w:tcPr>
          <w:p>
            <w:pPr>
              <w:spacing w:line="240" w:lineRule="auto"/>
            </w:pPr>
            <w:r>
              <w:rPr>
                <w:rFonts w:ascii="Times New Roman" w:hAnsi="Times New Roman"/>
                <w:sz w:val="20"/>
              </w:rPr>
              <w:t>—</w:t>
            </w:r>
          </w:p>
        </w:tc>
        <w:tc>
          <w:tcPr>
            <w:tcW w:type="dxa" w:w="1440"/>
          </w:tcPr>
          <w:p>
            <w:pPr>
              <w:spacing w:line="240" w:lineRule="auto"/>
            </w:pPr>
            <w:r>
              <w:rPr>
                <w:rFonts w:ascii="Times New Roman" w:hAnsi="Times New Roman"/>
                <w:sz w:val="20"/>
              </w:rPr>
              <w:t>—</w:t>
            </w:r>
          </w:p>
        </w:tc>
        <w:tc>
          <w:tcPr>
            <w:tcW w:type="dxa" w:w="1440"/>
          </w:tcPr>
          <w:p>
            <w:pPr>
              <w:spacing w:line="240" w:lineRule="auto"/>
            </w:pPr>
            <w:r>
              <w:rPr>
                <w:rFonts w:ascii="Times New Roman" w:hAnsi="Times New Roman"/>
                <w:sz w:val="20"/>
              </w:rPr>
              <w:t>—</w:t>
            </w:r>
          </w:p>
        </w:tc>
      </w:tr>
      <w:tr>
        <w:tc>
          <w:tcPr>
            <w:tcW w:type="dxa" w:w="1440"/>
          </w:tcPr>
          <w:p>
            <w:pPr>
              <w:spacing w:line="240" w:lineRule="auto"/>
            </w:pPr>
            <w:r>
              <w:rPr>
                <w:rFonts w:ascii="Times New Roman" w:hAnsi="Times New Roman"/>
                <w:sz w:val="20"/>
              </w:rPr>
              <w:t>Tradeoff (QE = 1)</w:t>
            </w:r>
          </w:p>
        </w:tc>
        <w:tc>
          <w:tcPr>
            <w:tcW w:type="dxa" w:w="1440"/>
          </w:tcPr>
          <w:p>
            <w:pPr>
              <w:spacing w:line="240" w:lineRule="auto"/>
            </w:pPr>
            <w:r>
              <w:rPr>
                <w:rFonts w:ascii="Times New Roman" w:hAnsi="Times New Roman"/>
                <w:sz w:val="20"/>
              </w:rPr>
              <w:t>0.413</w:t>
            </w:r>
          </w:p>
        </w:tc>
        <w:tc>
          <w:tcPr>
            <w:tcW w:type="dxa" w:w="1440"/>
          </w:tcPr>
          <w:p>
            <w:pPr>
              <w:spacing w:line="240" w:lineRule="auto"/>
            </w:pPr>
            <w:r>
              <w:rPr>
                <w:rFonts w:ascii="Times New Roman" w:hAnsi="Times New Roman"/>
                <w:sz w:val="20"/>
              </w:rPr>
              <w:t>0.468</w:t>
            </w:r>
          </w:p>
        </w:tc>
        <w:tc>
          <w:tcPr>
            <w:tcW w:type="dxa" w:w="1440"/>
          </w:tcPr>
          <w:p>
            <w:pPr>
              <w:spacing w:line="240" w:lineRule="auto"/>
            </w:pPr>
            <w:r>
              <w:rPr>
                <w:rFonts w:ascii="Times New Roman" w:hAnsi="Times New Roman"/>
                <w:sz w:val="20"/>
              </w:rPr>
              <w:t>0.88</w:t>
            </w:r>
          </w:p>
        </w:tc>
        <w:tc>
          <w:tcPr>
            <w:tcW w:type="dxa" w:w="1440"/>
          </w:tcPr>
          <w:p>
            <w:pPr>
              <w:spacing w:line="240" w:lineRule="auto"/>
            </w:pPr>
            <w:r>
              <w:rPr>
                <w:rFonts w:ascii="Times New Roman" w:hAnsi="Times New Roman"/>
                <w:sz w:val="20"/>
              </w:rPr>
              <w:t>.377</w:t>
            </w:r>
          </w:p>
        </w:tc>
        <w:tc>
          <w:tcPr>
            <w:tcW w:type="dxa" w:w="1440"/>
          </w:tcPr>
          <w:p>
            <w:pPr>
              <w:spacing w:line="240" w:lineRule="auto"/>
            </w:pPr>
            <w:r>
              <w:rPr>
                <w:rFonts w:ascii="Times New Roman" w:hAnsi="Times New Roman"/>
                <w:sz w:val="20"/>
              </w:rPr>
              <w:t>[-0.503, 1.330]</w:t>
            </w:r>
          </w:p>
        </w:tc>
      </w:tr>
      <w:tr>
        <w:tc>
          <w:tcPr>
            <w:tcW w:type="dxa" w:w="1440"/>
          </w:tcPr>
          <w:p>
            <w:pPr>
              <w:spacing w:line="240" w:lineRule="auto"/>
            </w:pPr>
            <w:r>
              <w:rPr>
                <w:rFonts w:ascii="Times New Roman" w:hAnsi="Times New Roman"/>
                <w:sz w:val="20"/>
              </w:rPr>
              <w:t>Log award amount</w:t>
            </w:r>
          </w:p>
        </w:tc>
        <w:tc>
          <w:tcPr>
            <w:tcW w:type="dxa" w:w="1440"/>
          </w:tcPr>
          <w:p>
            <w:pPr>
              <w:spacing w:line="240" w:lineRule="auto"/>
            </w:pPr>
            <w:r>
              <w:rPr>
                <w:rFonts w:ascii="Times New Roman" w:hAnsi="Times New Roman"/>
                <w:sz w:val="20"/>
              </w:rPr>
              <w:t>—</w:t>
            </w:r>
          </w:p>
        </w:tc>
        <w:tc>
          <w:tcPr>
            <w:tcW w:type="dxa" w:w="1440"/>
          </w:tcPr>
          <w:p>
            <w:pPr>
              <w:spacing w:line="240" w:lineRule="auto"/>
            </w:pPr>
            <w:r>
              <w:rPr>
                <w:rFonts w:ascii="Times New Roman" w:hAnsi="Times New Roman"/>
                <w:sz w:val="20"/>
              </w:rPr>
              <w:t>—</w:t>
            </w:r>
          </w:p>
        </w:tc>
        <w:tc>
          <w:tcPr>
            <w:tcW w:type="dxa" w:w="1440"/>
          </w:tcPr>
          <w:p>
            <w:pPr>
              <w:spacing w:line="240" w:lineRule="auto"/>
            </w:pPr>
            <w:r>
              <w:rPr>
                <w:rFonts w:ascii="Times New Roman" w:hAnsi="Times New Roman"/>
                <w:sz w:val="20"/>
              </w:rPr>
              <w:t>—</w:t>
            </w:r>
          </w:p>
        </w:tc>
        <w:tc>
          <w:tcPr>
            <w:tcW w:type="dxa" w:w="1440"/>
          </w:tcPr>
          <w:p>
            <w:pPr>
              <w:spacing w:line="240" w:lineRule="auto"/>
            </w:pPr>
            <w:r>
              <w:rPr>
                <w:rFonts w:ascii="Times New Roman" w:hAnsi="Times New Roman"/>
                <w:sz w:val="20"/>
              </w:rPr>
              <w:t>—</w:t>
            </w:r>
          </w:p>
        </w:tc>
        <w:tc>
          <w:tcPr>
            <w:tcW w:type="dxa" w:w="1440"/>
          </w:tcPr>
          <w:p>
            <w:pPr>
              <w:spacing w:line="240" w:lineRule="auto"/>
            </w:pPr>
            <w:r>
              <w:rPr>
                <w:rFonts w:ascii="Times New Roman" w:hAnsi="Times New Roman"/>
                <w:sz w:val="20"/>
              </w:rPr>
              <w:t>—</w:t>
            </w:r>
          </w:p>
        </w:tc>
      </w:tr>
      <w:tr>
        <w:tc>
          <w:tcPr>
            <w:tcW w:type="dxa" w:w="1440"/>
          </w:tcPr>
          <w:p>
            <w:pPr>
              <w:spacing w:line="240" w:lineRule="auto"/>
            </w:pPr>
            <w:r>
              <w:rPr>
                <w:rFonts w:ascii="Times New Roman" w:hAnsi="Times New Roman"/>
                <w:sz w:val="20"/>
              </w:rPr>
              <w:t>NAICS sector dummies</w:t>
            </w:r>
          </w:p>
        </w:tc>
        <w:tc>
          <w:tcPr>
            <w:tcW w:type="dxa" w:w="1440"/>
          </w:tcPr>
          <w:p>
            <w:pPr>
              <w:spacing w:line="240" w:lineRule="auto"/>
            </w:pPr>
            <w:r>
              <w:rPr>
                <w:rFonts w:ascii="Times New Roman" w:hAnsi="Times New Roman"/>
                <w:sz w:val="20"/>
              </w:rPr>
              <w:t>(included)</w:t>
            </w:r>
          </w:p>
        </w:tc>
        <w:tc>
          <w:tcPr>
            <w:tcW w:type="dxa" w:w="1440"/>
          </w:tcPr>
          <w:p>
            <w:pPr>
              <w:spacing w:line="240" w:lineRule="auto"/>
            </w:pPr>
            <w:r>
              <w:rPr>
                <w:rFonts w:ascii="Times New Roman" w:hAnsi="Times New Roman"/>
                <w:sz w:val="20"/>
              </w:rPr>
            </w:r>
          </w:p>
        </w:tc>
        <w:tc>
          <w:tcPr>
            <w:tcW w:type="dxa" w:w="1440"/>
          </w:tcPr>
          <w:p>
            <w:pPr>
              <w:spacing w:line="240" w:lineRule="auto"/>
            </w:pPr>
            <w:r>
              <w:rPr>
                <w:rFonts w:ascii="Times New Roman" w:hAnsi="Times New Roman"/>
                <w:sz w:val="20"/>
              </w:rPr>
            </w:r>
          </w:p>
        </w:tc>
        <w:tc>
          <w:tcPr>
            <w:tcW w:type="dxa" w:w="1440"/>
          </w:tcPr>
          <w:p>
            <w:pPr>
              <w:spacing w:line="240" w:lineRule="auto"/>
            </w:pPr>
            <w:r>
              <w:rPr>
                <w:rFonts w:ascii="Times New Roman" w:hAnsi="Times New Roman"/>
                <w:sz w:val="20"/>
              </w:rPr>
            </w:r>
          </w:p>
        </w:tc>
        <w:tc>
          <w:tcPr>
            <w:tcW w:type="dxa" w:w="1440"/>
          </w:tcPr>
          <w:p>
            <w:pPr>
              <w:spacing w:line="240" w:lineRule="auto"/>
            </w:pPr>
            <w:r>
              <w:rPr>
                <w:rFonts w:ascii="Times New Roman" w:hAnsi="Times New Roman"/>
                <w:sz w:val="20"/>
              </w:rPr>
            </w:r>
          </w:p>
        </w:tc>
      </w:tr>
      <w:tr>
        <w:tc>
          <w:tcPr>
            <w:tcW w:type="dxa" w:w="1440"/>
          </w:tcPr>
          <w:p>
            <w:pPr>
              <w:spacing w:line="240" w:lineRule="auto"/>
            </w:pPr>
            <w:r>
              <w:rPr>
                <w:rFonts w:ascii="Times New Roman" w:hAnsi="Times New Roman"/>
                <w:sz w:val="20"/>
              </w:rPr>
              <w:t>Agency dummies</w:t>
            </w:r>
          </w:p>
        </w:tc>
        <w:tc>
          <w:tcPr>
            <w:tcW w:type="dxa" w:w="1440"/>
          </w:tcPr>
          <w:p>
            <w:pPr>
              <w:spacing w:line="240" w:lineRule="auto"/>
            </w:pPr>
            <w:r>
              <w:rPr>
                <w:rFonts w:ascii="Times New Roman" w:hAnsi="Times New Roman"/>
                <w:sz w:val="20"/>
              </w:rPr>
              <w:t>(included)</w:t>
            </w:r>
          </w:p>
        </w:tc>
        <w:tc>
          <w:tcPr>
            <w:tcW w:type="dxa" w:w="1440"/>
          </w:tcPr>
          <w:p>
            <w:pPr>
              <w:spacing w:line="240" w:lineRule="auto"/>
            </w:pPr>
            <w:r>
              <w:rPr>
                <w:rFonts w:ascii="Times New Roman" w:hAnsi="Times New Roman"/>
                <w:sz w:val="20"/>
              </w:rPr>
            </w:r>
          </w:p>
        </w:tc>
        <w:tc>
          <w:tcPr>
            <w:tcW w:type="dxa" w:w="1440"/>
          </w:tcPr>
          <w:p>
            <w:pPr>
              <w:spacing w:line="240" w:lineRule="auto"/>
            </w:pPr>
            <w:r>
              <w:rPr>
                <w:rFonts w:ascii="Times New Roman" w:hAnsi="Times New Roman"/>
                <w:sz w:val="20"/>
              </w:rPr>
            </w:r>
          </w:p>
        </w:tc>
        <w:tc>
          <w:tcPr>
            <w:tcW w:type="dxa" w:w="1440"/>
          </w:tcPr>
          <w:p>
            <w:pPr>
              <w:spacing w:line="240" w:lineRule="auto"/>
            </w:pPr>
            <w:r>
              <w:rPr>
                <w:rFonts w:ascii="Times New Roman" w:hAnsi="Times New Roman"/>
                <w:sz w:val="20"/>
              </w:rPr>
            </w:r>
          </w:p>
        </w:tc>
        <w:tc>
          <w:tcPr>
            <w:tcW w:type="dxa" w:w="1440"/>
          </w:tcPr>
          <w:p>
            <w:pPr>
              <w:spacing w:line="240" w:lineRule="auto"/>
            </w:pPr>
            <w:r>
              <w:rPr>
                <w:rFonts w:ascii="Times New Roman" w:hAnsi="Times New Roman"/>
                <w:sz w:val="20"/>
              </w:rPr>
            </w:r>
          </w:p>
        </w:tc>
      </w:tr>
      <w:tr>
        <w:tc>
          <w:tcPr>
            <w:tcW w:type="dxa" w:w="1440"/>
          </w:tcPr>
          <w:p>
            <w:pPr>
              <w:spacing w:line="240" w:lineRule="auto"/>
            </w:pPr>
            <w:r>
              <w:rPr>
                <w:rFonts w:ascii="Times New Roman" w:hAnsi="Times New Roman"/>
                <w:sz w:val="20"/>
              </w:rPr>
            </w:r>
          </w:p>
        </w:tc>
        <w:tc>
          <w:tcPr>
            <w:tcW w:type="dxa" w:w="1440"/>
          </w:tcPr>
          <w:p>
            <w:pPr>
              <w:spacing w:line="240" w:lineRule="auto"/>
            </w:pPr>
            <w:r>
              <w:rPr>
                <w:rFonts w:ascii="Times New Roman" w:hAnsi="Times New Roman"/>
                <w:sz w:val="20"/>
              </w:rPr>
            </w:r>
          </w:p>
        </w:tc>
        <w:tc>
          <w:tcPr>
            <w:tcW w:type="dxa" w:w="1440"/>
          </w:tcPr>
          <w:p>
            <w:pPr>
              <w:spacing w:line="240" w:lineRule="auto"/>
            </w:pPr>
            <w:r>
              <w:rPr>
                <w:rFonts w:ascii="Times New Roman" w:hAnsi="Times New Roman"/>
                <w:sz w:val="20"/>
              </w:rPr>
            </w:r>
          </w:p>
        </w:tc>
        <w:tc>
          <w:tcPr>
            <w:tcW w:type="dxa" w:w="1440"/>
          </w:tcPr>
          <w:p>
            <w:pPr>
              <w:spacing w:line="240" w:lineRule="auto"/>
            </w:pPr>
            <w:r>
              <w:rPr>
                <w:rFonts w:ascii="Times New Roman" w:hAnsi="Times New Roman"/>
                <w:sz w:val="20"/>
              </w:rPr>
            </w:r>
          </w:p>
        </w:tc>
        <w:tc>
          <w:tcPr>
            <w:tcW w:type="dxa" w:w="1440"/>
          </w:tcPr>
          <w:p>
            <w:pPr>
              <w:spacing w:line="240" w:lineRule="auto"/>
            </w:pPr>
            <w:r>
              <w:rPr>
                <w:rFonts w:ascii="Times New Roman" w:hAnsi="Times New Roman"/>
                <w:sz w:val="20"/>
              </w:rPr>
            </w:r>
          </w:p>
        </w:tc>
        <w:tc>
          <w:tcPr>
            <w:tcW w:type="dxa" w:w="1440"/>
          </w:tcPr>
          <w:p>
            <w:pPr>
              <w:spacing w:line="240" w:lineRule="auto"/>
            </w:pPr>
            <w:r>
              <w:rPr>
                <w:rFonts w:ascii="Times New Roman" w:hAnsi="Times New Roman"/>
                <w:sz w:val="20"/>
              </w:rPr>
            </w:r>
          </w:p>
        </w:tc>
      </w:tr>
      <w:tr>
        <w:tc>
          <w:tcPr>
            <w:tcW w:type="dxa" w:w="1440"/>
          </w:tcPr>
          <w:p>
            <w:pPr>
              <w:spacing w:line="240" w:lineRule="auto"/>
            </w:pPr>
            <w:r>
              <w:rPr>
                <w:rFonts w:ascii="Times New Roman" w:hAnsi="Times New Roman"/>
                <w:sz w:val="20"/>
              </w:rPr>
              <w:t>N</w:t>
            </w:r>
          </w:p>
        </w:tc>
        <w:tc>
          <w:tcPr>
            <w:tcW w:type="dxa" w:w="1440"/>
          </w:tcPr>
          <w:p>
            <w:pPr>
              <w:spacing w:line="240" w:lineRule="auto"/>
            </w:pPr>
            <w:r>
              <w:rPr>
                <w:rFonts w:ascii="Times New Roman" w:hAnsi="Times New Roman"/>
                <w:sz w:val="20"/>
              </w:rPr>
              <w:t>2,164</w:t>
            </w:r>
          </w:p>
        </w:tc>
        <w:tc>
          <w:tcPr>
            <w:tcW w:type="dxa" w:w="1440"/>
          </w:tcPr>
          <w:p>
            <w:pPr>
              <w:spacing w:line="240" w:lineRule="auto"/>
            </w:pPr>
            <w:r>
              <w:rPr>
                <w:rFonts w:ascii="Times New Roman" w:hAnsi="Times New Roman"/>
                <w:sz w:val="20"/>
              </w:rPr>
            </w:r>
          </w:p>
        </w:tc>
        <w:tc>
          <w:tcPr>
            <w:tcW w:type="dxa" w:w="1440"/>
          </w:tcPr>
          <w:p>
            <w:pPr>
              <w:spacing w:line="240" w:lineRule="auto"/>
            </w:pPr>
            <w:r>
              <w:rPr>
                <w:rFonts w:ascii="Times New Roman" w:hAnsi="Times New Roman"/>
                <w:sz w:val="20"/>
              </w:rPr>
            </w:r>
          </w:p>
        </w:tc>
        <w:tc>
          <w:tcPr>
            <w:tcW w:type="dxa" w:w="1440"/>
          </w:tcPr>
          <w:p>
            <w:pPr>
              <w:spacing w:line="240" w:lineRule="auto"/>
            </w:pPr>
            <w:r>
              <w:rPr>
                <w:rFonts w:ascii="Times New Roman" w:hAnsi="Times New Roman"/>
                <w:sz w:val="20"/>
              </w:rPr>
            </w:r>
          </w:p>
        </w:tc>
        <w:tc>
          <w:tcPr>
            <w:tcW w:type="dxa" w:w="1440"/>
          </w:tcPr>
          <w:p>
            <w:pPr>
              <w:spacing w:line="240" w:lineRule="auto"/>
            </w:pPr>
            <w:r>
              <w:rPr>
                <w:rFonts w:ascii="Times New Roman" w:hAnsi="Times New Roman"/>
                <w:sz w:val="20"/>
              </w:rPr>
            </w:r>
          </w:p>
        </w:tc>
      </w:tr>
      <w:tr>
        <w:tc>
          <w:tcPr>
            <w:tcW w:type="dxa" w:w="1440"/>
          </w:tcPr>
          <w:p>
            <w:pPr>
              <w:spacing w:line="240" w:lineRule="auto"/>
            </w:pPr>
            <w:r>
              <w:rPr>
                <w:rFonts w:ascii="Times New Roman" w:hAnsi="Times New Roman"/>
                <w:sz w:val="20"/>
              </w:rPr>
              <w:t>R²</w:t>
            </w:r>
          </w:p>
        </w:tc>
        <w:tc>
          <w:tcPr>
            <w:tcW w:type="dxa" w:w="1440"/>
          </w:tcPr>
          <w:p>
            <w:pPr>
              <w:spacing w:line="240" w:lineRule="auto"/>
            </w:pPr>
            <w:r>
              <w:rPr>
                <w:rFonts w:ascii="Times New Roman" w:hAnsi="Times New Roman"/>
                <w:sz w:val="20"/>
              </w:rPr>
              <w:t>0.151</w:t>
            </w:r>
          </w:p>
        </w:tc>
        <w:tc>
          <w:tcPr>
            <w:tcW w:type="dxa" w:w="1440"/>
          </w:tcPr>
          <w:p>
            <w:pPr>
              <w:spacing w:line="240" w:lineRule="auto"/>
            </w:pPr>
            <w:r>
              <w:rPr>
                <w:rFonts w:ascii="Times New Roman" w:hAnsi="Times New Roman"/>
                <w:sz w:val="20"/>
              </w:rPr>
            </w:r>
          </w:p>
        </w:tc>
        <w:tc>
          <w:tcPr>
            <w:tcW w:type="dxa" w:w="1440"/>
          </w:tcPr>
          <w:p>
            <w:pPr>
              <w:spacing w:line="240" w:lineRule="auto"/>
            </w:pPr>
            <w:r>
              <w:rPr>
                <w:rFonts w:ascii="Times New Roman" w:hAnsi="Times New Roman"/>
                <w:sz w:val="20"/>
              </w:rPr>
            </w:r>
          </w:p>
        </w:tc>
        <w:tc>
          <w:tcPr>
            <w:tcW w:type="dxa" w:w="1440"/>
          </w:tcPr>
          <w:p>
            <w:pPr>
              <w:spacing w:line="240" w:lineRule="auto"/>
            </w:pPr>
            <w:r>
              <w:rPr>
                <w:rFonts w:ascii="Times New Roman" w:hAnsi="Times New Roman"/>
                <w:sz w:val="20"/>
              </w:rPr>
            </w:r>
          </w:p>
        </w:tc>
        <w:tc>
          <w:tcPr>
            <w:tcW w:type="dxa" w:w="1440"/>
          </w:tcPr>
          <w:p>
            <w:pPr>
              <w:spacing w:line="240" w:lineRule="auto"/>
            </w:pPr>
            <w:r>
              <w:rPr>
                <w:rFonts w:ascii="Times New Roman" w:hAnsi="Times New Roman"/>
                <w:sz w:val="20"/>
              </w:rPr>
            </w:r>
          </w:p>
        </w:tc>
      </w:tr>
      <w:tr>
        <w:tc>
          <w:tcPr>
            <w:tcW w:type="dxa" w:w="1440"/>
          </w:tcPr>
          <w:p>
            <w:pPr>
              <w:spacing w:line="240" w:lineRule="auto"/>
            </w:pPr>
            <w:r>
              <w:rPr>
                <w:rFonts w:ascii="Times New Roman" w:hAnsi="Times New Roman"/>
                <w:sz w:val="20"/>
              </w:rPr>
              <w:t>F-statistic</w:t>
            </w:r>
          </w:p>
        </w:tc>
        <w:tc>
          <w:tcPr>
            <w:tcW w:type="dxa" w:w="1440"/>
          </w:tcPr>
          <w:p>
            <w:pPr>
              <w:spacing w:line="240" w:lineRule="auto"/>
            </w:pPr>
            <w:r>
              <w:rPr>
                <w:rFonts w:ascii="Times New Roman" w:hAnsi="Times New Roman"/>
                <w:sz w:val="20"/>
              </w:rPr>
              <w:t>207.32</w:t>
            </w:r>
          </w:p>
        </w:tc>
        <w:tc>
          <w:tcPr>
            <w:tcW w:type="dxa" w:w="1440"/>
          </w:tcPr>
          <w:p>
            <w:pPr>
              <w:spacing w:line="240" w:lineRule="auto"/>
            </w:pPr>
            <w:r>
              <w:rPr>
                <w:rFonts w:ascii="Times New Roman" w:hAnsi="Times New Roman"/>
                <w:sz w:val="20"/>
              </w:rPr>
            </w:r>
          </w:p>
        </w:tc>
        <w:tc>
          <w:tcPr>
            <w:tcW w:type="dxa" w:w="1440"/>
          </w:tcPr>
          <w:p>
            <w:pPr>
              <w:spacing w:line="240" w:lineRule="auto"/>
            </w:pPr>
            <w:r>
              <w:rPr>
                <w:rFonts w:ascii="Times New Roman" w:hAnsi="Times New Roman"/>
                <w:sz w:val="20"/>
              </w:rPr>
            </w:r>
          </w:p>
        </w:tc>
        <w:tc>
          <w:tcPr>
            <w:tcW w:type="dxa" w:w="1440"/>
          </w:tcPr>
          <w:p>
            <w:pPr>
              <w:spacing w:line="240" w:lineRule="auto"/>
            </w:pPr>
            <w:r>
              <w:rPr>
                <w:rFonts w:ascii="Times New Roman" w:hAnsi="Times New Roman"/>
                <w:sz w:val="20"/>
              </w:rPr>
            </w:r>
          </w:p>
        </w:tc>
        <w:tc>
          <w:tcPr>
            <w:tcW w:type="dxa" w:w="1440"/>
          </w:tcPr>
          <w:p>
            <w:pPr>
              <w:spacing w:line="240" w:lineRule="auto"/>
            </w:pPr>
            <w:r>
              <w:rPr>
                <w:rFonts w:ascii="Times New Roman" w:hAnsi="Times New Roman"/>
                <w:sz w:val="20"/>
              </w:rPr>
            </w:r>
          </w:p>
        </w:tc>
      </w:tr>
      <w:tr>
        <w:tc>
          <w:tcPr>
            <w:tcW w:type="dxa" w:w="1440"/>
          </w:tcPr>
          <w:p>
            <w:pPr>
              <w:spacing w:line="240" w:lineRule="auto"/>
            </w:pPr>
            <w:r>
              <w:rPr>
                <w:rFonts w:ascii="Times New Roman" w:hAnsi="Times New Roman"/>
                <w:sz w:val="20"/>
              </w:rPr>
              <w:t>p (model)</w:t>
            </w:r>
          </w:p>
        </w:tc>
        <w:tc>
          <w:tcPr>
            <w:tcW w:type="dxa" w:w="1440"/>
          </w:tcPr>
          <w:p>
            <w:pPr>
              <w:spacing w:line="240" w:lineRule="auto"/>
            </w:pPr>
            <w:r>
              <w:rPr>
                <w:rFonts w:ascii="Times New Roman" w:hAnsi="Times New Roman"/>
                <w:sz w:val="20"/>
              </w:rPr>
              <w:t>&lt; .001</w:t>
            </w:r>
          </w:p>
        </w:tc>
        <w:tc>
          <w:tcPr>
            <w:tcW w:type="dxa" w:w="1440"/>
          </w:tcPr>
          <w:p>
            <w:pPr>
              <w:spacing w:line="240" w:lineRule="auto"/>
            </w:pPr>
            <w:r>
              <w:rPr>
                <w:rFonts w:ascii="Times New Roman" w:hAnsi="Times New Roman"/>
                <w:sz w:val="20"/>
              </w:rPr>
            </w:r>
          </w:p>
        </w:tc>
        <w:tc>
          <w:tcPr>
            <w:tcW w:type="dxa" w:w="1440"/>
          </w:tcPr>
          <w:p>
            <w:pPr>
              <w:spacing w:line="240" w:lineRule="auto"/>
            </w:pPr>
            <w:r>
              <w:rPr>
                <w:rFonts w:ascii="Times New Roman" w:hAnsi="Times New Roman"/>
                <w:sz w:val="20"/>
              </w:rPr>
            </w:r>
          </w:p>
        </w:tc>
        <w:tc>
          <w:tcPr>
            <w:tcW w:type="dxa" w:w="1440"/>
          </w:tcPr>
          <w:p>
            <w:pPr>
              <w:spacing w:line="240" w:lineRule="auto"/>
            </w:pPr>
            <w:r>
              <w:rPr>
                <w:rFonts w:ascii="Times New Roman" w:hAnsi="Times New Roman"/>
                <w:sz w:val="20"/>
              </w:rPr>
            </w:r>
          </w:p>
        </w:tc>
        <w:tc>
          <w:tcPr>
            <w:tcW w:type="dxa" w:w="1440"/>
          </w:tcPr>
          <w:p>
            <w:pPr>
              <w:spacing w:line="240" w:lineRule="auto"/>
            </w:pPr>
            <w:r>
              <w:rPr>
                <w:rFonts w:ascii="Times New Roman" w:hAnsi="Times New Roman"/>
                <w:sz w:val="20"/>
              </w:rPr>
            </w:r>
          </w:p>
        </w:tc>
      </w:tr>
    </w:tbl>
    <w:p>
      <w:pPr>
        <w:ind w:firstLine="720"/>
      </w:pPr>
      <w:r>
        <w:t>The key coefficient of interest is the Tradeoff indicator. The estimated coefficient was 0.413 (</w:t>
      </w:r>
      <w:r>
        <w:rPr>
          <w:i/>
        </w:rPr>
        <w:t>SE</w:t>
      </w:r>
      <w:r>
        <w:t xml:space="preserve"> = 0.468, </w:t>
      </w:r>
      <w:r>
        <w:rPr>
          <w:i/>
        </w:rPr>
        <w:t>t</w:t>
      </w:r>
      <w:r>
        <w:t xml:space="preserve"> = 0.88, </w:t>
      </w:r>
      <w:r>
        <w:rPr>
          <w:i/>
        </w:rPr>
        <w:t>p</w:t>
      </w:r>
      <w:r>
        <w:t xml:space="preserve"> = .377, 95% CI [-0.503, 1.330]). This result indicated that, controlling for award size, NAICS sector, and agency, QE procurement design was not significantly associated with cost growth. The point estimate of 0.413 percentage points suggests that QE awards experienced slightly higher cost growth than NFP awards—the opposite of the hypothesized direction—but the </w:t>
      </w:r>
      <w:r>
        <w:rPr>
          <w:i/>
        </w:rPr>
        <w:t>p</w:t>
      </w:r>
      <w:r>
        <w:t>-value of .377 was far from conventional significance thresholds, and the 95% confidence interval spanned zero, encompassing effects ranging from -0.503 to +1.330 percentage points. The wide confidence interval reflects the substantial residual variance in cost growth that is not explained by procurement design or the control variables.</w:t>
      </w:r>
    </w:p>
    <w:p>
      <w:pPr>
        <w:ind w:firstLine="720"/>
      </w:pPr>
      <w:r>
        <w:rPr>
          <w:b/>
        </w:rPr>
        <w:t>Hypothesis 1 was not supported.</w:t>
      </w:r>
      <w:r>
        <w:t xml:space="preserve"> The data provided no evidence that quality-evaluating procurement designs were associated with lower cost growth relative to negotiated fixed-price designs, after controlling for award size and institutional context.</w:t>
      </w:r>
    </w:p>
    <w:p>
      <w:pPr>
        <w:ind w:firstLine="720"/>
      </w:pPr>
      <w:r>
        <w:t>Several aspects of this result merit detailed discussion.</w:t>
      </w:r>
    </w:p>
    <w:p>
      <w:pPr>
        <w:ind w:firstLine="720"/>
      </w:pPr>
      <w:r>
        <w:t xml:space="preserve">First, the model's overall </w:t>
      </w:r>
      <w:r>
        <w:rPr>
          <w:i/>
        </w:rPr>
        <w:t>R</w:t>
      </w:r>
      <w:r>
        <w:t xml:space="preserve">² of 0.151 indicated that the included covariates explained approximately 15.1% of the variation in winsorized cost growth. While this explanatory power is modest in absolute terms, it is consistent with the general finding in the procurement literature that individual contract characteristics explain only a small share of outcome variance (Bajari et al., 2014). The </w:t>
      </w:r>
      <w:r>
        <w:rPr>
          <w:i/>
        </w:rPr>
        <w:t>F</w:t>
      </w:r>
      <w:r>
        <w:t>-statistic of 207.32 (</w:t>
      </w:r>
      <w:r>
        <w:rPr>
          <w:i/>
        </w:rPr>
        <w:t>p</w:t>
      </w:r>
      <w:r>
        <w:t xml:space="preserve"> &lt; .001) confirmed that the model was statistically significant overall, meaning that at least some of the control variables—particularly log award amount, which is the strongest predictor of cost growth—contributed meaningfully to the model's explanatory power. The non-significance of the Tradeoff variable thus did not reflect a failure of the model as a whole but rather the specific absence of a detectable procurement design effect after accounting for the other factors that drive cost growth.</w:t>
      </w:r>
    </w:p>
    <w:p>
      <w:pPr>
        <w:ind w:firstLine="720"/>
      </w:pPr>
      <w:r>
        <w:t>Second, the sample size of 2,164 (rather than the full 3,869) reflects the exclusion of observations with missing cost growth data. Cost growth could not be computed for awards that had not yet received any modifications at the time of data extraction or for which the initial and current obligation amounts were not consistently reported. The reduction from 3,869 to 2,164 represents a loss of 44.1% of the comparison sample. If the probability of having computable cost growth data was correlated with procurement design or with the magnitude of cost growth itself (e.g., if awards with no modifications—and hence zero cost growth—were disproportionately excluded), then the effective sample may not be representative of the full population. This potential selection issue is inherent in the cost growth measure and represents a limitation of the analysis.</w:t>
      </w:r>
    </w:p>
    <w:p>
      <w:pPr>
        <w:ind w:firstLine="720"/>
      </w:pPr>
      <w:r>
        <w:t xml:space="preserve">Third, the null finding on Hypothesis 1 admits multiple interpretations that are not distinguishable with the present data. One interpretation is that the proxy measure of procurement design used in this study—based on solicitation procedure and pricing type rather than the direct </w:t>
      </w:r>
      <w:r>
        <w:rPr>
          <w:rFonts w:ascii="Courier New" w:hAnsi="Courier New"/>
          <w:sz w:val="20"/>
        </w:rPr>
        <w:t>source_selection_process</w:t>
      </w:r>
      <w:r>
        <w:t xml:space="preserve"> field—introduces measurement error that attenuates the estimated relationship toward zero. If some QE-classified awards did not actually involve a formal best-value tradeoff evaluation, or if some NFP awards did, then the contrast between the two categories would be diluted, and a genuine effect could be masked by classification noise. A second interpretation is that cost growth is driven primarily by factors not captured in the model—requirements volatility, contractor capacity, market conditions, the quality of post-award contract administration, and the stability of government funding—and that procurement design, even when perfectly measured, contributes only a negligible increment of explained variance. A third interpretation is that the true effect of procurement design on cost growth is genuinely small or zero in the population of service and IT contracts above the SAT, particularly when cost-type contracts (which are structurally expected to show greater cost variation) are classified as the "quality-evaluating" category. These interpretive possibilities are not mutually exclusive, and their relative plausibility is explored further in Chapter 5.</w:t>
      </w:r>
    </w:p>
    <w:p>
      <w:pPr>
        <w:pStyle w:val="Heading3"/>
      </w:pPr>
      <w:r>
        <w:rPr>
          <w:rFonts w:ascii="Times New Roman" w:hAnsi="Times New Roman"/>
          <w:color w:val="000000"/>
        </w:rPr>
        <w:t>4.5.2 H2: Modification Intensity</w:t>
      </w:r>
    </w:p>
    <w:p>
      <w:pPr>
        <w:ind w:firstLine="720"/>
      </w:pPr>
      <w:r>
        <w:rPr>
          <w:b/>
        </w:rPr>
        <w:t>Hypothesis 2:</w:t>
      </w:r>
      <w:r>
        <w:t xml:space="preserve"> Contracts awarded through quality-evaluating procurement designs (QE) will experience fewer post-award modifications than contracts awarded through negotiated fixed-price (NFP) designs.</w:t>
      </w:r>
    </w:p>
    <w:p>
      <w:pPr>
        <w:ind w:firstLine="720"/>
      </w:pPr>
      <w:r>
        <w:t>The rationale for this hypothesis followed from the logic of Hypothesis 1 and from the role of modifications in the federal contracting process. Post-award contract modifications serve multiple purposes: they may adjust scope, extend performance periods, exercise options, modify funding, or resolve disputes. While not all modifications are problematic—options exercises and incremental funding actions are routine administrative events—a higher rate of modifications is generally interpreted as an indicator of post-award instability, requirements volatility, or misalignment between the original contract terms and the actual needs that emerge during performance (Rendon &amp; Snider, 2019). If quality-evaluating procurement designs produce better contractor-requirement alignment through more thorough pre-award evaluation, they should also produce fewer post-award modifications, particularly those that reflect scope changes, cost adjustments, and other corrections to initial misalignments.</w:t>
      </w:r>
    </w:p>
    <w:p>
      <w:pPr>
        <w:ind w:firstLine="720"/>
      </w:pPr>
      <w:r>
        <w:t>Because modification counts are non-negative integer-valued data with overdispersion (the variance exceeds the mean), the hypothesis was tested using a negative binomial generalized linear model (GLM), which is the appropriate distributional family for such data (Cameron &amp; Trivedi, 2013; Hilbe, 2011). The Poisson model, which assumes equality of the mean and variance, was rejected in favor of the negative binomial based on the likelihood ratio test for overdispersion.</w:t>
      </w:r>
    </w:p>
    <w:p>
      <w:pPr>
        <w:ind w:firstLine="720"/>
      </w:pPr>
      <w:r>
        <w:rPr>
          <w:b/>
        </w:rPr>
        <w:t>Table 4.6</w:t>
      </w:r>
    </w:p>
    <w:p>
      <w:pPr>
        <w:ind w:firstLine="720"/>
      </w:pPr>
      <w:r>
        <w:rPr>
          <w:i/>
        </w:rPr>
        <w:t>Negative Binomial GLM Results: Modification Count as a Function of Procurement Design</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pPr>
              <w:spacing w:line="240" w:lineRule="auto"/>
            </w:pPr>
            <w:r>
              <w:rPr>
                <w:rFonts w:ascii="Times New Roman" w:hAnsi="Times New Roman"/>
                <w:b/>
                <w:sz w:val="20"/>
              </w:rPr>
              <w:t>Variable</w:t>
            </w:r>
          </w:p>
        </w:tc>
        <w:tc>
          <w:tcPr>
            <w:tcW w:type="dxa" w:w="1440"/>
          </w:tcPr>
          <w:p>
            <w:pPr>
              <w:spacing w:line="240" w:lineRule="auto"/>
            </w:pPr>
            <w:r>
              <w:rPr>
                <w:rFonts w:ascii="Times New Roman" w:hAnsi="Times New Roman"/>
                <w:b/>
                <w:sz w:val="20"/>
              </w:rPr>
              <w:t>Coefficient</w:t>
            </w:r>
          </w:p>
        </w:tc>
        <w:tc>
          <w:tcPr>
            <w:tcW w:type="dxa" w:w="1440"/>
          </w:tcPr>
          <w:p>
            <w:pPr>
              <w:spacing w:line="240" w:lineRule="auto"/>
            </w:pPr>
            <w:r>
              <w:rPr>
                <w:rFonts w:ascii="Times New Roman" w:hAnsi="Times New Roman"/>
                <w:b/>
                <w:sz w:val="20"/>
              </w:rPr>
              <w:t>SE</w:t>
            </w:r>
          </w:p>
        </w:tc>
        <w:tc>
          <w:tcPr>
            <w:tcW w:type="dxa" w:w="1440"/>
          </w:tcPr>
          <w:p>
            <w:pPr>
              <w:spacing w:line="240" w:lineRule="auto"/>
            </w:pPr>
            <w:r>
              <w:rPr>
                <w:rFonts w:ascii="Times New Roman" w:hAnsi="Times New Roman"/>
                <w:b/>
                <w:sz w:val="20"/>
              </w:rPr>
              <w:t>z</w:t>
            </w:r>
          </w:p>
        </w:tc>
        <w:tc>
          <w:tcPr>
            <w:tcW w:type="dxa" w:w="1440"/>
          </w:tcPr>
          <w:p>
            <w:pPr>
              <w:spacing w:line="240" w:lineRule="auto"/>
            </w:pPr>
            <w:r>
              <w:rPr>
                <w:rFonts w:ascii="Times New Roman" w:hAnsi="Times New Roman"/>
                <w:b/>
                <w:sz w:val="20"/>
              </w:rPr>
              <w:t>p</w:t>
            </w:r>
          </w:p>
        </w:tc>
        <w:tc>
          <w:tcPr>
            <w:tcW w:type="dxa" w:w="1440"/>
          </w:tcPr>
          <w:p>
            <w:pPr>
              <w:spacing w:line="240" w:lineRule="auto"/>
            </w:pPr>
            <w:r>
              <w:rPr>
                <w:rFonts w:ascii="Times New Roman" w:hAnsi="Times New Roman"/>
                <w:b/>
                <w:sz w:val="20"/>
              </w:rPr>
              <w:t>95% CI</w:t>
            </w:r>
          </w:p>
        </w:tc>
      </w:tr>
      <w:tr>
        <w:tc>
          <w:tcPr>
            <w:tcW w:type="dxa" w:w="1440"/>
          </w:tcPr>
          <w:p>
            <w:pPr>
              <w:spacing w:line="240" w:lineRule="auto"/>
            </w:pPr>
            <w:r>
              <w:rPr>
                <w:rFonts w:ascii="Times New Roman" w:hAnsi="Times New Roman"/>
                <w:sz w:val="20"/>
              </w:rPr>
              <w:t>Intercept</w:t>
            </w:r>
          </w:p>
        </w:tc>
        <w:tc>
          <w:tcPr>
            <w:tcW w:type="dxa" w:w="1440"/>
          </w:tcPr>
          <w:p>
            <w:pPr>
              <w:spacing w:line="240" w:lineRule="auto"/>
            </w:pPr>
            <w:r>
              <w:rPr>
                <w:rFonts w:ascii="Times New Roman" w:hAnsi="Times New Roman"/>
                <w:sz w:val="20"/>
              </w:rPr>
              <w:t>—</w:t>
            </w:r>
          </w:p>
        </w:tc>
        <w:tc>
          <w:tcPr>
            <w:tcW w:type="dxa" w:w="1440"/>
          </w:tcPr>
          <w:p>
            <w:pPr>
              <w:spacing w:line="240" w:lineRule="auto"/>
            </w:pPr>
            <w:r>
              <w:rPr>
                <w:rFonts w:ascii="Times New Roman" w:hAnsi="Times New Roman"/>
                <w:sz w:val="20"/>
              </w:rPr>
              <w:t>—</w:t>
            </w:r>
          </w:p>
        </w:tc>
        <w:tc>
          <w:tcPr>
            <w:tcW w:type="dxa" w:w="1440"/>
          </w:tcPr>
          <w:p>
            <w:pPr>
              <w:spacing w:line="240" w:lineRule="auto"/>
            </w:pPr>
            <w:r>
              <w:rPr>
                <w:rFonts w:ascii="Times New Roman" w:hAnsi="Times New Roman"/>
                <w:sz w:val="20"/>
              </w:rPr>
              <w:t>—</w:t>
            </w:r>
          </w:p>
        </w:tc>
        <w:tc>
          <w:tcPr>
            <w:tcW w:type="dxa" w:w="1440"/>
          </w:tcPr>
          <w:p>
            <w:pPr>
              <w:spacing w:line="240" w:lineRule="auto"/>
            </w:pPr>
            <w:r>
              <w:rPr>
                <w:rFonts w:ascii="Times New Roman" w:hAnsi="Times New Roman"/>
                <w:sz w:val="20"/>
              </w:rPr>
              <w:t>—</w:t>
            </w:r>
          </w:p>
        </w:tc>
        <w:tc>
          <w:tcPr>
            <w:tcW w:type="dxa" w:w="1440"/>
          </w:tcPr>
          <w:p>
            <w:pPr>
              <w:spacing w:line="240" w:lineRule="auto"/>
            </w:pPr>
            <w:r>
              <w:rPr>
                <w:rFonts w:ascii="Times New Roman" w:hAnsi="Times New Roman"/>
                <w:sz w:val="20"/>
              </w:rPr>
              <w:t>—</w:t>
            </w:r>
          </w:p>
        </w:tc>
      </w:tr>
      <w:tr>
        <w:tc>
          <w:tcPr>
            <w:tcW w:type="dxa" w:w="1440"/>
          </w:tcPr>
          <w:p>
            <w:pPr>
              <w:spacing w:line="240" w:lineRule="auto"/>
            </w:pPr>
            <w:r>
              <w:rPr>
                <w:rFonts w:ascii="Times New Roman" w:hAnsi="Times New Roman"/>
                <w:sz w:val="20"/>
              </w:rPr>
              <w:t>Tradeoff (QE = 1)</w:t>
            </w:r>
          </w:p>
        </w:tc>
        <w:tc>
          <w:tcPr>
            <w:tcW w:type="dxa" w:w="1440"/>
          </w:tcPr>
          <w:p>
            <w:pPr>
              <w:spacing w:line="240" w:lineRule="auto"/>
            </w:pPr>
            <w:r>
              <w:rPr>
                <w:rFonts w:ascii="Times New Roman" w:hAnsi="Times New Roman"/>
                <w:sz w:val="20"/>
              </w:rPr>
              <w:t>-0.034</w:t>
            </w:r>
          </w:p>
        </w:tc>
        <w:tc>
          <w:tcPr>
            <w:tcW w:type="dxa" w:w="1440"/>
          </w:tcPr>
          <w:p>
            <w:pPr>
              <w:spacing w:line="240" w:lineRule="auto"/>
            </w:pPr>
            <w:r>
              <w:rPr>
                <w:rFonts w:ascii="Times New Roman" w:hAnsi="Times New Roman"/>
                <w:sz w:val="20"/>
              </w:rPr>
              <w:t>0.045</w:t>
            </w:r>
          </w:p>
        </w:tc>
        <w:tc>
          <w:tcPr>
            <w:tcW w:type="dxa" w:w="1440"/>
          </w:tcPr>
          <w:p>
            <w:pPr>
              <w:spacing w:line="240" w:lineRule="auto"/>
            </w:pPr>
            <w:r>
              <w:rPr>
                <w:rFonts w:ascii="Times New Roman" w:hAnsi="Times New Roman"/>
                <w:sz w:val="20"/>
              </w:rPr>
              <w:t>-0.76</w:t>
            </w:r>
          </w:p>
        </w:tc>
        <w:tc>
          <w:tcPr>
            <w:tcW w:type="dxa" w:w="1440"/>
          </w:tcPr>
          <w:p>
            <w:pPr>
              <w:spacing w:line="240" w:lineRule="auto"/>
            </w:pPr>
            <w:r>
              <w:rPr>
                <w:rFonts w:ascii="Times New Roman" w:hAnsi="Times New Roman"/>
                <w:sz w:val="20"/>
              </w:rPr>
              <w:t>.449</w:t>
            </w:r>
          </w:p>
        </w:tc>
        <w:tc>
          <w:tcPr>
            <w:tcW w:type="dxa" w:w="1440"/>
          </w:tcPr>
          <w:p>
            <w:pPr>
              <w:spacing w:line="240" w:lineRule="auto"/>
            </w:pPr>
            <w:r>
              <w:rPr>
                <w:rFonts w:ascii="Times New Roman" w:hAnsi="Times New Roman"/>
                <w:sz w:val="20"/>
              </w:rPr>
              <w:t>[-0.123, 0.055]</w:t>
            </w:r>
          </w:p>
        </w:tc>
      </w:tr>
      <w:tr>
        <w:tc>
          <w:tcPr>
            <w:tcW w:type="dxa" w:w="1440"/>
          </w:tcPr>
          <w:p>
            <w:pPr>
              <w:spacing w:line="240" w:lineRule="auto"/>
            </w:pPr>
            <w:r>
              <w:rPr>
                <w:rFonts w:ascii="Times New Roman" w:hAnsi="Times New Roman"/>
                <w:sz w:val="20"/>
              </w:rPr>
              <w:t>Log award amount</w:t>
            </w:r>
          </w:p>
        </w:tc>
        <w:tc>
          <w:tcPr>
            <w:tcW w:type="dxa" w:w="1440"/>
          </w:tcPr>
          <w:p>
            <w:pPr>
              <w:spacing w:line="240" w:lineRule="auto"/>
            </w:pPr>
            <w:r>
              <w:rPr>
                <w:rFonts w:ascii="Times New Roman" w:hAnsi="Times New Roman"/>
                <w:sz w:val="20"/>
              </w:rPr>
              <w:t>—</w:t>
            </w:r>
          </w:p>
        </w:tc>
        <w:tc>
          <w:tcPr>
            <w:tcW w:type="dxa" w:w="1440"/>
          </w:tcPr>
          <w:p>
            <w:pPr>
              <w:spacing w:line="240" w:lineRule="auto"/>
            </w:pPr>
            <w:r>
              <w:rPr>
                <w:rFonts w:ascii="Times New Roman" w:hAnsi="Times New Roman"/>
                <w:sz w:val="20"/>
              </w:rPr>
              <w:t>—</w:t>
            </w:r>
          </w:p>
        </w:tc>
        <w:tc>
          <w:tcPr>
            <w:tcW w:type="dxa" w:w="1440"/>
          </w:tcPr>
          <w:p>
            <w:pPr>
              <w:spacing w:line="240" w:lineRule="auto"/>
            </w:pPr>
            <w:r>
              <w:rPr>
                <w:rFonts w:ascii="Times New Roman" w:hAnsi="Times New Roman"/>
                <w:sz w:val="20"/>
              </w:rPr>
              <w:t>—</w:t>
            </w:r>
          </w:p>
        </w:tc>
        <w:tc>
          <w:tcPr>
            <w:tcW w:type="dxa" w:w="1440"/>
          </w:tcPr>
          <w:p>
            <w:pPr>
              <w:spacing w:line="240" w:lineRule="auto"/>
            </w:pPr>
            <w:r>
              <w:rPr>
                <w:rFonts w:ascii="Times New Roman" w:hAnsi="Times New Roman"/>
                <w:sz w:val="20"/>
              </w:rPr>
              <w:t>—</w:t>
            </w:r>
          </w:p>
        </w:tc>
        <w:tc>
          <w:tcPr>
            <w:tcW w:type="dxa" w:w="1440"/>
          </w:tcPr>
          <w:p>
            <w:pPr>
              <w:spacing w:line="240" w:lineRule="auto"/>
            </w:pPr>
            <w:r>
              <w:rPr>
                <w:rFonts w:ascii="Times New Roman" w:hAnsi="Times New Roman"/>
                <w:sz w:val="20"/>
              </w:rPr>
              <w:t>—</w:t>
            </w:r>
          </w:p>
        </w:tc>
      </w:tr>
      <w:tr>
        <w:tc>
          <w:tcPr>
            <w:tcW w:type="dxa" w:w="1440"/>
          </w:tcPr>
          <w:p>
            <w:pPr>
              <w:spacing w:line="240" w:lineRule="auto"/>
            </w:pPr>
            <w:r>
              <w:rPr>
                <w:rFonts w:ascii="Times New Roman" w:hAnsi="Times New Roman"/>
                <w:sz w:val="20"/>
              </w:rPr>
              <w:t>NAICS sector dummies</w:t>
            </w:r>
          </w:p>
        </w:tc>
        <w:tc>
          <w:tcPr>
            <w:tcW w:type="dxa" w:w="1440"/>
          </w:tcPr>
          <w:p>
            <w:pPr>
              <w:spacing w:line="240" w:lineRule="auto"/>
            </w:pPr>
            <w:r>
              <w:rPr>
                <w:rFonts w:ascii="Times New Roman" w:hAnsi="Times New Roman"/>
                <w:sz w:val="20"/>
              </w:rPr>
              <w:t>(included)</w:t>
            </w:r>
          </w:p>
        </w:tc>
        <w:tc>
          <w:tcPr>
            <w:tcW w:type="dxa" w:w="1440"/>
          </w:tcPr>
          <w:p>
            <w:pPr>
              <w:spacing w:line="240" w:lineRule="auto"/>
            </w:pPr>
            <w:r>
              <w:rPr>
                <w:rFonts w:ascii="Times New Roman" w:hAnsi="Times New Roman"/>
                <w:sz w:val="20"/>
              </w:rPr>
            </w:r>
          </w:p>
        </w:tc>
        <w:tc>
          <w:tcPr>
            <w:tcW w:type="dxa" w:w="1440"/>
          </w:tcPr>
          <w:p>
            <w:pPr>
              <w:spacing w:line="240" w:lineRule="auto"/>
            </w:pPr>
            <w:r>
              <w:rPr>
                <w:rFonts w:ascii="Times New Roman" w:hAnsi="Times New Roman"/>
                <w:sz w:val="20"/>
              </w:rPr>
            </w:r>
          </w:p>
        </w:tc>
        <w:tc>
          <w:tcPr>
            <w:tcW w:type="dxa" w:w="1440"/>
          </w:tcPr>
          <w:p>
            <w:pPr>
              <w:spacing w:line="240" w:lineRule="auto"/>
            </w:pPr>
            <w:r>
              <w:rPr>
                <w:rFonts w:ascii="Times New Roman" w:hAnsi="Times New Roman"/>
                <w:sz w:val="20"/>
              </w:rPr>
            </w:r>
          </w:p>
        </w:tc>
        <w:tc>
          <w:tcPr>
            <w:tcW w:type="dxa" w:w="1440"/>
          </w:tcPr>
          <w:p>
            <w:pPr>
              <w:spacing w:line="240" w:lineRule="auto"/>
            </w:pPr>
            <w:r>
              <w:rPr>
                <w:rFonts w:ascii="Times New Roman" w:hAnsi="Times New Roman"/>
                <w:sz w:val="20"/>
              </w:rPr>
            </w:r>
          </w:p>
        </w:tc>
      </w:tr>
      <w:tr>
        <w:tc>
          <w:tcPr>
            <w:tcW w:type="dxa" w:w="1440"/>
          </w:tcPr>
          <w:p>
            <w:pPr>
              <w:spacing w:line="240" w:lineRule="auto"/>
            </w:pPr>
            <w:r>
              <w:rPr>
                <w:rFonts w:ascii="Times New Roman" w:hAnsi="Times New Roman"/>
                <w:sz w:val="20"/>
              </w:rPr>
              <w:t>Agency dummies</w:t>
            </w:r>
          </w:p>
        </w:tc>
        <w:tc>
          <w:tcPr>
            <w:tcW w:type="dxa" w:w="1440"/>
          </w:tcPr>
          <w:p>
            <w:pPr>
              <w:spacing w:line="240" w:lineRule="auto"/>
            </w:pPr>
            <w:r>
              <w:rPr>
                <w:rFonts w:ascii="Times New Roman" w:hAnsi="Times New Roman"/>
                <w:sz w:val="20"/>
              </w:rPr>
              <w:t>(included)</w:t>
            </w:r>
          </w:p>
        </w:tc>
        <w:tc>
          <w:tcPr>
            <w:tcW w:type="dxa" w:w="1440"/>
          </w:tcPr>
          <w:p>
            <w:pPr>
              <w:spacing w:line="240" w:lineRule="auto"/>
            </w:pPr>
            <w:r>
              <w:rPr>
                <w:rFonts w:ascii="Times New Roman" w:hAnsi="Times New Roman"/>
                <w:sz w:val="20"/>
              </w:rPr>
            </w:r>
          </w:p>
        </w:tc>
        <w:tc>
          <w:tcPr>
            <w:tcW w:type="dxa" w:w="1440"/>
          </w:tcPr>
          <w:p>
            <w:pPr>
              <w:spacing w:line="240" w:lineRule="auto"/>
            </w:pPr>
            <w:r>
              <w:rPr>
                <w:rFonts w:ascii="Times New Roman" w:hAnsi="Times New Roman"/>
                <w:sz w:val="20"/>
              </w:rPr>
            </w:r>
          </w:p>
        </w:tc>
        <w:tc>
          <w:tcPr>
            <w:tcW w:type="dxa" w:w="1440"/>
          </w:tcPr>
          <w:p>
            <w:pPr>
              <w:spacing w:line="240" w:lineRule="auto"/>
            </w:pPr>
            <w:r>
              <w:rPr>
                <w:rFonts w:ascii="Times New Roman" w:hAnsi="Times New Roman"/>
                <w:sz w:val="20"/>
              </w:rPr>
            </w:r>
          </w:p>
        </w:tc>
        <w:tc>
          <w:tcPr>
            <w:tcW w:type="dxa" w:w="1440"/>
          </w:tcPr>
          <w:p>
            <w:pPr>
              <w:spacing w:line="240" w:lineRule="auto"/>
            </w:pPr>
            <w:r>
              <w:rPr>
                <w:rFonts w:ascii="Times New Roman" w:hAnsi="Times New Roman"/>
                <w:sz w:val="20"/>
              </w:rPr>
            </w:r>
          </w:p>
        </w:tc>
      </w:tr>
      <w:tr>
        <w:tc>
          <w:tcPr>
            <w:tcW w:type="dxa" w:w="1440"/>
          </w:tcPr>
          <w:p>
            <w:pPr>
              <w:spacing w:line="240" w:lineRule="auto"/>
            </w:pPr>
            <w:r>
              <w:rPr>
                <w:rFonts w:ascii="Times New Roman" w:hAnsi="Times New Roman"/>
                <w:sz w:val="20"/>
              </w:rPr>
            </w:r>
          </w:p>
        </w:tc>
        <w:tc>
          <w:tcPr>
            <w:tcW w:type="dxa" w:w="1440"/>
          </w:tcPr>
          <w:p>
            <w:pPr>
              <w:spacing w:line="240" w:lineRule="auto"/>
            </w:pPr>
            <w:r>
              <w:rPr>
                <w:rFonts w:ascii="Times New Roman" w:hAnsi="Times New Roman"/>
                <w:sz w:val="20"/>
              </w:rPr>
            </w:r>
          </w:p>
        </w:tc>
        <w:tc>
          <w:tcPr>
            <w:tcW w:type="dxa" w:w="1440"/>
          </w:tcPr>
          <w:p>
            <w:pPr>
              <w:spacing w:line="240" w:lineRule="auto"/>
            </w:pPr>
            <w:r>
              <w:rPr>
                <w:rFonts w:ascii="Times New Roman" w:hAnsi="Times New Roman"/>
                <w:sz w:val="20"/>
              </w:rPr>
            </w:r>
          </w:p>
        </w:tc>
        <w:tc>
          <w:tcPr>
            <w:tcW w:type="dxa" w:w="1440"/>
          </w:tcPr>
          <w:p>
            <w:pPr>
              <w:spacing w:line="240" w:lineRule="auto"/>
            </w:pPr>
            <w:r>
              <w:rPr>
                <w:rFonts w:ascii="Times New Roman" w:hAnsi="Times New Roman"/>
                <w:sz w:val="20"/>
              </w:rPr>
            </w:r>
          </w:p>
        </w:tc>
        <w:tc>
          <w:tcPr>
            <w:tcW w:type="dxa" w:w="1440"/>
          </w:tcPr>
          <w:p>
            <w:pPr>
              <w:spacing w:line="240" w:lineRule="auto"/>
            </w:pPr>
            <w:r>
              <w:rPr>
                <w:rFonts w:ascii="Times New Roman" w:hAnsi="Times New Roman"/>
                <w:sz w:val="20"/>
              </w:rPr>
            </w:r>
          </w:p>
        </w:tc>
        <w:tc>
          <w:tcPr>
            <w:tcW w:type="dxa" w:w="1440"/>
          </w:tcPr>
          <w:p>
            <w:pPr>
              <w:spacing w:line="240" w:lineRule="auto"/>
            </w:pPr>
            <w:r>
              <w:rPr>
                <w:rFonts w:ascii="Times New Roman" w:hAnsi="Times New Roman"/>
                <w:sz w:val="20"/>
              </w:rPr>
            </w:r>
          </w:p>
        </w:tc>
      </w:tr>
      <w:tr>
        <w:tc>
          <w:tcPr>
            <w:tcW w:type="dxa" w:w="1440"/>
          </w:tcPr>
          <w:p>
            <w:pPr>
              <w:spacing w:line="240" w:lineRule="auto"/>
            </w:pPr>
            <w:r>
              <w:rPr>
                <w:rFonts w:ascii="Times New Roman" w:hAnsi="Times New Roman"/>
                <w:sz w:val="20"/>
              </w:rPr>
              <w:t>N</w:t>
            </w:r>
          </w:p>
        </w:tc>
        <w:tc>
          <w:tcPr>
            <w:tcW w:type="dxa" w:w="1440"/>
          </w:tcPr>
          <w:p>
            <w:pPr>
              <w:spacing w:line="240" w:lineRule="auto"/>
            </w:pPr>
            <w:r>
              <w:rPr>
                <w:rFonts w:ascii="Times New Roman" w:hAnsi="Times New Roman"/>
                <w:sz w:val="20"/>
              </w:rPr>
              <w:t>3,869</w:t>
            </w:r>
          </w:p>
        </w:tc>
        <w:tc>
          <w:tcPr>
            <w:tcW w:type="dxa" w:w="1440"/>
          </w:tcPr>
          <w:p>
            <w:pPr>
              <w:spacing w:line="240" w:lineRule="auto"/>
            </w:pPr>
            <w:r>
              <w:rPr>
                <w:rFonts w:ascii="Times New Roman" w:hAnsi="Times New Roman"/>
                <w:sz w:val="20"/>
              </w:rPr>
            </w:r>
          </w:p>
        </w:tc>
        <w:tc>
          <w:tcPr>
            <w:tcW w:type="dxa" w:w="1440"/>
          </w:tcPr>
          <w:p>
            <w:pPr>
              <w:spacing w:line="240" w:lineRule="auto"/>
            </w:pPr>
            <w:r>
              <w:rPr>
                <w:rFonts w:ascii="Times New Roman" w:hAnsi="Times New Roman"/>
                <w:sz w:val="20"/>
              </w:rPr>
            </w:r>
          </w:p>
        </w:tc>
        <w:tc>
          <w:tcPr>
            <w:tcW w:type="dxa" w:w="1440"/>
          </w:tcPr>
          <w:p>
            <w:pPr>
              <w:spacing w:line="240" w:lineRule="auto"/>
            </w:pPr>
            <w:r>
              <w:rPr>
                <w:rFonts w:ascii="Times New Roman" w:hAnsi="Times New Roman"/>
                <w:sz w:val="20"/>
              </w:rPr>
            </w:r>
          </w:p>
        </w:tc>
        <w:tc>
          <w:tcPr>
            <w:tcW w:type="dxa" w:w="1440"/>
          </w:tcPr>
          <w:p>
            <w:pPr>
              <w:spacing w:line="240" w:lineRule="auto"/>
            </w:pPr>
            <w:r>
              <w:rPr>
                <w:rFonts w:ascii="Times New Roman" w:hAnsi="Times New Roman"/>
                <w:sz w:val="20"/>
              </w:rPr>
            </w:r>
          </w:p>
        </w:tc>
      </w:tr>
      <w:tr>
        <w:tc>
          <w:tcPr>
            <w:tcW w:type="dxa" w:w="1440"/>
          </w:tcPr>
          <w:p>
            <w:pPr>
              <w:spacing w:line="240" w:lineRule="auto"/>
            </w:pPr>
            <w:r>
              <w:rPr>
                <w:rFonts w:ascii="Times New Roman" w:hAnsi="Times New Roman"/>
                <w:sz w:val="20"/>
              </w:rPr>
              <w:t>Deviance</w:t>
            </w:r>
          </w:p>
        </w:tc>
        <w:tc>
          <w:tcPr>
            <w:tcW w:type="dxa" w:w="1440"/>
          </w:tcPr>
          <w:p>
            <w:pPr>
              <w:spacing w:line="240" w:lineRule="auto"/>
            </w:pPr>
            <w:r>
              <w:rPr>
                <w:rFonts w:ascii="Times New Roman" w:hAnsi="Times New Roman"/>
                <w:sz w:val="20"/>
              </w:rPr>
              <w:t>660.73</w:t>
            </w:r>
          </w:p>
        </w:tc>
        <w:tc>
          <w:tcPr>
            <w:tcW w:type="dxa" w:w="1440"/>
          </w:tcPr>
          <w:p>
            <w:pPr>
              <w:spacing w:line="240" w:lineRule="auto"/>
            </w:pPr>
            <w:r>
              <w:rPr>
                <w:rFonts w:ascii="Times New Roman" w:hAnsi="Times New Roman"/>
                <w:sz w:val="20"/>
              </w:rPr>
            </w:r>
          </w:p>
        </w:tc>
        <w:tc>
          <w:tcPr>
            <w:tcW w:type="dxa" w:w="1440"/>
          </w:tcPr>
          <w:p>
            <w:pPr>
              <w:spacing w:line="240" w:lineRule="auto"/>
            </w:pPr>
            <w:r>
              <w:rPr>
                <w:rFonts w:ascii="Times New Roman" w:hAnsi="Times New Roman"/>
                <w:sz w:val="20"/>
              </w:rPr>
            </w:r>
          </w:p>
        </w:tc>
        <w:tc>
          <w:tcPr>
            <w:tcW w:type="dxa" w:w="1440"/>
          </w:tcPr>
          <w:p>
            <w:pPr>
              <w:spacing w:line="240" w:lineRule="auto"/>
            </w:pPr>
            <w:r>
              <w:rPr>
                <w:rFonts w:ascii="Times New Roman" w:hAnsi="Times New Roman"/>
                <w:sz w:val="20"/>
              </w:rPr>
            </w:r>
          </w:p>
        </w:tc>
        <w:tc>
          <w:tcPr>
            <w:tcW w:type="dxa" w:w="1440"/>
          </w:tcPr>
          <w:p>
            <w:pPr>
              <w:spacing w:line="240" w:lineRule="auto"/>
            </w:pPr>
            <w:r>
              <w:rPr>
                <w:rFonts w:ascii="Times New Roman" w:hAnsi="Times New Roman"/>
                <w:sz w:val="20"/>
              </w:rPr>
            </w:r>
          </w:p>
        </w:tc>
      </w:tr>
      <w:tr>
        <w:tc>
          <w:tcPr>
            <w:tcW w:type="dxa" w:w="1440"/>
          </w:tcPr>
          <w:p>
            <w:pPr>
              <w:spacing w:line="240" w:lineRule="auto"/>
            </w:pPr>
            <w:r>
              <w:rPr>
                <w:rFonts w:ascii="Times New Roman" w:hAnsi="Times New Roman"/>
                <w:sz w:val="20"/>
              </w:rPr>
              <w:t>AIC</w:t>
            </w:r>
          </w:p>
        </w:tc>
        <w:tc>
          <w:tcPr>
            <w:tcW w:type="dxa" w:w="1440"/>
          </w:tcPr>
          <w:p>
            <w:pPr>
              <w:spacing w:line="240" w:lineRule="auto"/>
            </w:pPr>
            <w:r>
              <w:rPr>
                <w:rFonts w:ascii="Times New Roman" w:hAnsi="Times New Roman"/>
                <w:sz w:val="20"/>
              </w:rPr>
              <w:t>13,468</w:t>
            </w:r>
          </w:p>
        </w:tc>
        <w:tc>
          <w:tcPr>
            <w:tcW w:type="dxa" w:w="1440"/>
          </w:tcPr>
          <w:p>
            <w:pPr>
              <w:spacing w:line="240" w:lineRule="auto"/>
            </w:pPr>
            <w:r>
              <w:rPr>
                <w:rFonts w:ascii="Times New Roman" w:hAnsi="Times New Roman"/>
                <w:sz w:val="20"/>
              </w:rPr>
            </w:r>
          </w:p>
        </w:tc>
        <w:tc>
          <w:tcPr>
            <w:tcW w:type="dxa" w:w="1440"/>
          </w:tcPr>
          <w:p>
            <w:pPr>
              <w:spacing w:line="240" w:lineRule="auto"/>
            </w:pPr>
            <w:r>
              <w:rPr>
                <w:rFonts w:ascii="Times New Roman" w:hAnsi="Times New Roman"/>
                <w:sz w:val="20"/>
              </w:rPr>
            </w:r>
          </w:p>
        </w:tc>
        <w:tc>
          <w:tcPr>
            <w:tcW w:type="dxa" w:w="1440"/>
          </w:tcPr>
          <w:p>
            <w:pPr>
              <w:spacing w:line="240" w:lineRule="auto"/>
            </w:pPr>
            <w:r>
              <w:rPr>
                <w:rFonts w:ascii="Times New Roman" w:hAnsi="Times New Roman"/>
                <w:sz w:val="20"/>
              </w:rPr>
            </w:r>
          </w:p>
        </w:tc>
        <w:tc>
          <w:tcPr>
            <w:tcW w:type="dxa" w:w="1440"/>
          </w:tcPr>
          <w:p>
            <w:pPr>
              <w:spacing w:line="240" w:lineRule="auto"/>
            </w:pPr>
            <w:r>
              <w:rPr>
                <w:rFonts w:ascii="Times New Roman" w:hAnsi="Times New Roman"/>
                <w:sz w:val="20"/>
              </w:rPr>
            </w:r>
          </w:p>
        </w:tc>
      </w:tr>
    </w:tbl>
    <w:p>
      <w:pPr>
        <w:ind w:firstLine="720"/>
      </w:pPr>
      <w:r>
        <w:t>The Tradeoff coefficient was -0.034 (</w:t>
      </w:r>
      <w:r>
        <w:rPr>
          <w:i/>
        </w:rPr>
        <w:t>SE</w:t>
      </w:r>
      <w:r>
        <w:t xml:space="preserve"> = 0.045, </w:t>
      </w:r>
      <w:r>
        <w:rPr>
          <w:i/>
        </w:rPr>
        <w:t>z</w:t>
      </w:r>
      <w:r>
        <w:t xml:space="preserve"> = -0.76, </w:t>
      </w:r>
      <w:r>
        <w:rPr>
          <w:i/>
        </w:rPr>
        <w:t>p</w:t>
      </w:r>
      <w:r>
        <w:t xml:space="preserve"> = .449, 95% CI [-0.123, 0.055]). In the negative binomial model, coefficients are on the log-count scale, meaning that each coefficient represents the expected change in the natural logarithm of the modification count associated with a one-unit change in the predictor. Exponentiating the Tradeoff coefficient yields an incidence rate ratio (IRR) of exp(-0.034) = 0.967, indicating that QE awards were associated with approximately 3.3% fewer modifications than NFP awards. The 95% confidence interval for the IRR, obtained by exponentiating the bounds of the coefficient confidence interval, ranged from exp(-0.123) = 0.884 to exp(0.055) = 1.057, encompassing the null value of 1.0. The </w:t>
      </w:r>
      <w:r>
        <w:rPr>
          <w:i/>
        </w:rPr>
        <w:t>p</w:t>
      </w:r>
      <w:r>
        <w:t>-value of .449 was far from conventional significance, and the confidence interval indicated that the data were consistent with effects ranging from an 11.6% reduction to a 5.7% increase in modification counts.</w:t>
      </w:r>
    </w:p>
    <w:p>
      <w:pPr>
        <w:ind w:firstLine="720"/>
      </w:pPr>
      <w:r>
        <w:rPr>
          <w:b/>
        </w:rPr>
        <w:t>Hypothesis 2 was not supported.</w:t>
      </w:r>
      <w:r>
        <w:t xml:space="preserve"> There was no statistically significant difference in modification intensity between QE and NFP awards after controlling for award size, NAICS sector, and agency.</w:t>
      </w:r>
    </w:p>
    <w:p>
      <w:pPr>
        <w:ind w:firstLine="720"/>
      </w:pPr>
      <w:r>
        <w:t>The deviance statistic of 660.73 indicated adequate model fit relative to the number of observations, and the AIC of 13,468 provided a benchmark for comparison with alternative model specifications. The use of the negative binomial rather than the Poisson model was supported by the data: the deviance-to-degrees-of-freedom ratio was well below the value that would indicate overdispersion in a Poisson model, confirming that the negative binomial provided a better fit.</w:t>
      </w:r>
    </w:p>
    <w:p>
      <w:pPr>
        <w:ind w:firstLine="720"/>
      </w:pPr>
      <w:r>
        <w:t>The null result on modification intensity is internally consistent with the null result on cost growth (Hypothesis 1). Modifications are a primary mechanism through which cost growth occurs: when a contract is modified to add scope, extend the period of performance, or adjust pricing, the cumulative obligation typically increases, contributing to measured cost growth. If procurement design does not significantly predict cost growth, it would be logically inconsistent to find a strong effect on the modification count that produces that cost growth. The consistency of the null findings across Hypotheses 1 and 2 strengthens the inference that the null pattern reflects a genuine absence of a main effect rather than a statistical anomaly in any single model.</w:t>
      </w:r>
    </w:p>
    <w:p>
      <w:pPr>
        <w:ind w:firstLine="720"/>
      </w:pPr>
      <w:r>
        <w:t>It is also worth noting that the modification count variable captures all types of modifications, including routine administrative actions (e.g., incremental funding, exercising options) that do not reflect post-award instability. A more refined measure that distinguished problematic modifications (scope changes, engineering change proposals, claims settlements) from routine administrative actions might yield different results. However, the USAspending data do not provide sufficient detail on modification type to support this distinction, and the aggregate modification count was used as the best available proxy.</w:t>
      </w:r>
    </w:p>
    <w:p>
      <w:pPr>
        <w:pStyle w:val="Heading3"/>
      </w:pPr>
      <w:r>
        <w:rPr>
          <w:rFonts w:ascii="Times New Roman" w:hAnsi="Times New Roman"/>
          <w:color w:val="000000"/>
        </w:rPr>
        <w:t>4.5.3 H6: Single-Bid Competition</w:t>
      </w:r>
    </w:p>
    <w:p>
      <w:pPr>
        <w:ind w:firstLine="720"/>
      </w:pPr>
      <w:r>
        <w:rPr>
          <w:b/>
        </w:rPr>
        <w:t>Hypothesis 6:</w:t>
      </w:r>
      <w:r>
        <w:t xml:space="preserve"> Quality-evaluating procurement designs (QE) will be associated with lower rates of single-bid outcomes compared with negotiated fixed-price (NFP) designs.</w:t>
      </w:r>
    </w:p>
    <w:p>
      <w:pPr>
        <w:ind w:firstLine="720"/>
      </w:pPr>
      <w:r>
        <w:t>This hypothesis was motivated by the theoretical argument that procurement designs emphasizing quality evaluation signal to potential offerors that technical merit and past performance will be rewarded, thereby encouraging participation from firms that might otherwise decline to compete in a lowest-price environment. The signaling mechanism operates as follows: when a solicitation advertises that the government will evaluate proposals on the basis of technical approach, management plan, staffing qualifications, and past performance—in addition to price—firms with superior capabilities perceive a realistic prospect of winning despite not being the lowest bidder. This perception increases the expected value of proposal preparation for technically strong firms, inducing them to invest in proposal development and submit competitive offers. Conversely, price-focused solicitations may deter technically strong firms whose cost structures reflect higher-quality inputs, leaving the competition to lower-cost, potentially lower-quality competitors. The net effect, this hypothesis predicts, is that quality-evaluating procurement designs attract more offerors and reduce the probability of single-bid outcomes.</w:t>
      </w:r>
    </w:p>
    <w:p>
      <w:pPr>
        <w:ind w:firstLine="720"/>
      </w:pPr>
      <w:r>
        <w:t>The hypothesis was tested using logistic regression, with the binary indicator for single-bid outcome (1 = only one offer received, 0 = two or more offers received) as the dependent variable.</w:t>
      </w:r>
    </w:p>
    <w:p>
      <w:pPr>
        <w:ind w:firstLine="720"/>
      </w:pPr>
      <w:r>
        <w:rPr>
          <w:b/>
        </w:rPr>
        <w:t>Table 4.7</w:t>
      </w:r>
    </w:p>
    <w:p>
      <w:pPr>
        <w:ind w:firstLine="720"/>
      </w:pPr>
      <w:r>
        <w:rPr>
          <w:i/>
        </w:rPr>
        <w:t>Logistic Regression Results: Single-Bid Outcome as a Function of Procurement Design</w:t>
      </w:r>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pPr>
              <w:spacing w:line="240" w:lineRule="auto"/>
            </w:pPr>
            <w:r>
              <w:rPr>
                <w:rFonts w:ascii="Times New Roman" w:hAnsi="Times New Roman"/>
                <w:b/>
                <w:sz w:val="20"/>
              </w:rPr>
              <w:t>Variable</w:t>
            </w:r>
          </w:p>
        </w:tc>
        <w:tc>
          <w:tcPr>
            <w:tcW w:type="dxa" w:w="1234"/>
          </w:tcPr>
          <w:p>
            <w:pPr>
              <w:spacing w:line="240" w:lineRule="auto"/>
            </w:pPr>
            <w:r>
              <w:rPr>
                <w:rFonts w:ascii="Times New Roman" w:hAnsi="Times New Roman"/>
                <w:b/>
                <w:sz w:val="20"/>
              </w:rPr>
              <w:t>Coefficient</w:t>
            </w:r>
          </w:p>
        </w:tc>
        <w:tc>
          <w:tcPr>
            <w:tcW w:type="dxa" w:w="1234"/>
          </w:tcPr>
          <w:p>
            <w:pPr>
              <w:spacing w:line="240" w:lineRule="auto"/>
            </w:pPr>
            <w:r>
              <w:rPr>
                <w:rFonts w:ascii="Times New Roman" w:hAnsi="Times New Roman"/>
                <w:b/>
                <w:sz w:val="20"/>
              </w:rPr>
              <w:t>SE</w:t>
            </w:r>
          </w:p>
        </w:tc>
        <w:tc>
          <w:tcPr>
            <w:tcW w:type="dxa" w:w="1234"/>
          </w:tcPr>
          <w:p>
            <w:pPr>
              <w:spacing w:line="240" w:lineRule="auto"/>
            </w:pPr>
            <w:r>
              <w:rPr>
                <w:rFonts w:ascii="Times New Roman" w:hAnsi="Times New Roman"/>
                <w:b/>
                <w:sz w:val="20"/>
              </w:rPr>
              <w:t>z</w:t>
            </w:r>
          </w:p>
        </w:tc>
        <w:tc>
          <w:tcPr>
            <w:tcW w:type="dxa" w:w="1234"/>
          </w:tcPr>
          <w:p>
            <w:pPr>
              <w:spacing w:line="240" w:lineRule="auto"/>
            </w:pPr>
            <w:r>
              <w:rPr>
                <w:rFonts w:ascii="Times New Roman" w:hAnsi="Times New Roman"/>
                <w:b/>
                <w:sz w:val="20"/>
              </w:rPr>
              <w:t>p</w:t>
            </w:r>
          </w:p>
        </w:tc>
        <w:tc>
          <w:tcPr>
            <w:tcW w:type="dxa" w:w="1234"/>
          </w:tcPr>
          <w:p>
            <w:pPr>
              <w:spacing w:line="240" w:lineRule="auto"/>
            </w:pPr>
            <w:r>
              <w:rPr>
                <w:rFonts w:ascii="Times New Roman" w:hAnsi="Times New Roman"/>
                <w:b/>
                <w:sz w:val="20"/>
              </w:rPr>
              <w:t>OR</w:t>
            </w:r>
          </w:p>
        </w:tc>
        <w:tc>
          <w:tcPr>
            <w:tcW w:type="dxa" w:w="1234"/>
          </w:tcPr>
          <w:p>
            <w:pPr>
              <w:spacing w:line="240" w:lineRule="auto"/>
            </w:pPr>
            <w:r>
              <w:rPr>
                <w:rFonts w:ascii="Times New Roman" w:hAnsi="Times New Roman"/>
                <w:b/>
                <w:sz w:val="20"/>
              </w:rPr>
              <w:t>95% CI (OR)</w:t>
            </w:r>
          </w:p>
        </w:tc>
      </w:tr>
      <w:tr>
        <w:tc>
          <w:tcPr>
            <w:tcW w:type="dxa" w:w="1234"/>
          </w:tcPr>
          <w:p>
            <w:pPr>
              <w:spacing w:line="240" w:lineRule="auto"/>
            </w:pPr>
            <w:r>
              <w:rPr>
                <w:rFonts w:ascii="Times New Roman" w:hAnsi="Times New Roman"/>
                <w:sz w:val="20"/>
              </w:rPr>
              <w:t>Intercept</w:t>
            </w:r>
          </w:p>
        </w:tc>
        <w:tc>
          <w:tcPr>
            <w:tcW w:type="dxa" w:w="1234"/>
          </w:tcPr>
          <w:p>
            <w:pPr>
              <w:spacing w:line="240" w:lineRule="auto"/>
            </w:pPr>
            <w:r>
              <w:rPr>
                <w:rFonts w:ascii="Times New Roman" w:hAnsi="Times New Roman"/>
                <w:sz w:val="20"/>
              </w:rPr>
              <w:t>—</w:t>
            </w:r>
          </w:p>
        </w:tc>
        <w:tc>
          <w:tcPr>
            <w:tcW w:type="dxa" w:w="1234"/>
          </w:tcPr>
          <w:p>
            <w:pPr>
              <w:spacing w:line="240" w:lineRule="auto"/>
            </w:pPr>
            <w:r>
              <w:rPr>
                <w:rFonts w:ascii="Times New Roman" w:hAnsi="Times New Roman"/>
                <w:sz w:val="20"/>
              </w:rPr>
              <w:t>—</w:t>
            </w:r>
          </w:p>
        </w:tc>
        <w:tc>
          <w:tcPr>
            <w:tcW w:type="dxa" w:w="1234"/>
          </w:tcPr>
          <w:p>
            <w:pPr>
              <w:spacing w:line="240" w:lineRule="auto"/>
            </w:pPr>
            <w:r>
              <w:rPr>
                <w:rFonts w:ascii="Times New Roman" w:hAnsi="Times New Roman"/>
                <w:sz w:val="20"/>
              </w:rPr>
              <w:t>—</w:t>
            </w:r>
          </w:p>
        </w:tc>
        <w:tc>
          <w:tcPr>
            <w:tcW w:type="dxa" w:w="1234"/>
          </w:tcPr>
          <w:p>
            <w:pPr>
              <w:spacing w:line="240" w:lineRule="auto"/>
            </w:pPr>
            <w:r>
              <w:rPr>
                <w:rFonts w:ascii="Times New Roman" w:hAnsi="Times New Roman"/>
                <w:sz w:val="20"/>
              </w:rPr>
              <w:t>—</w:t>
            </w:r>
          </w:p>
        </w:tc>
        <w:tc>
          <w:tcPr>
            <w:tcW w:type="dxa" w:w="1234"/>
          </w:tcPr>
          <w:p>
            <w:pPr>
              <w:spacing w:line="240" w:lineRule="auto"/>
            </w:pPr>
            <w:r>
              <w:rPr>
                <w:rFonts w:ascii="Times New Roman" w:hAnsi="Times New Roman"/>
                <w:sz w:val="20"/>
              </w:rPr>
              <w:t>—</w:t>
            </w:r>
          </w:p>
        </w:tc>
        <w:tc>
          <w:tcPr>
            <w:tcW w:type="dxa" w:w="1234"/>
          </w:tcPr>
          <w:p>
            <w:pPr>
              <w:spacing w:line="240" w:lineRule="auto"/>
            </w:pPr>
            <w:r>
              <w:rPr>
                <w:rFonts w:ascii="Times New Roman" w:hAnsi="Times New Roman"/>
                <w:sz w:val="20"/>
              </w:rPr>
              <w:t>—</w:t>
            </w:r>
          </w:p>
        </w:tc>
      </w:tr>
      <w:tr>
        <w:tc>
          <w:tcPr>
            <w:tcW w:type="dxa" w:w="1234"/>
          </w:tcPr>
          <w:p>
            <w:pPr>
              <w:spacing w:line="240" w:lineRule="auto"/>
            </w:pPr>
            <w:r>
              <w:rPr>
                <w:rFonts w:ascii="Times New Roman" w:hAnsi="Times New Roman"/>
                <w:sz w:val="20"/>
              </w:rPr>
              <w:t>Tradeoff (QE = 1)</w:t>
            </w:r>
          </w:p>
        </w:tc>
        <w:tc>
          <w:tcPr>
            <w:tcW w:type="dxa" w:w="1234"/>
          </w:tcPr>
          <w:p>
            <w:pPr>
              <w:spacing w:line="240" w:lineRule="auto"/>
            </w:pPr>
            <w:r>
              <w:rPr>
                <w:rFonts w:ascii="Times New Roman" w:hAnsi="Times New Roman"/>
                <w:sz w:val="20"/>
              </w:rPr>
              <w:t>-0.285</w:t>
            </w:r>
          </w:p>
        </w:tc>
        <w:tc>
          <w:tcPr>
            <w:tcW w:type="dxa" w:w="1234"/>
          </w:tcPr>
          <w:p>
            <w:pPr>
              <w:spacing w:line="240" w:lineRule="auto"/>
            </w:pPr>
            <w:r>
              <w:rPr>
                <w:rFonts w:ascii="Times New Roman" w:hAnsi="Times New Roman"/>
                <w:sz w:val="20"/>
              </w:rPr>
              <w:t>0.166</w:t>
            </w:r>
          </w:p>
        </w:tc>
        <w:tc>
          <w:tcPr>
            <w:tcW w:type="dxa" w:w="1234"/>
          </w:tcPr>
          <w:p>
            <w:pPr>
              <w:spacing w:line="240" w:lineRule="auto"/>
            </w:pPr>
            <w:r>
              <w:rPr>
                <w:rFonts w:ascii="Times New Roman" w:hAnsi="Times New Roman"/>
                <w:sz w:val="20"/>
              </w:rPr>
              <w:t>-1.72</w:t>
            </w:r>
          </w:p>
        </w:tc>
        <w:tc>
          <w:tcPr>
            <w:tcW w:type="dxa" w:w="1234"/>
          </w:tcPr>
          <w:p>
            <w:pPr>
              <w:spacing w:line="240" w:lineRule="auto"/>
            </w:pPr>
            <w:r>
              <w:rPr>
                <w:rFonts w:ascii="Times New Roman" w:hAnsi="Times New Roman"/>
                <w:sz w:val="20"/>
              </w:rPr>
              <w:t>.085</w:t>
            </w:r>
          </w:p>
        </w:tc>
        <w:tc>
          <w:tcPr>
            <w:tcW w:type="dxa" w:w="1234"/>
          </w:tcPr>
          <w:p>
            <w:pPr>
              <w:spacing w:line="240" w:lineRule="auto"/>
            </w:pPr>
            <w:r>
              <w:rPr>
                <w:rFonts w:ascii="Times New Roman" w:hAnsi="Times New Roman"/>
                <w:sz w:val="20"/>
              </w:rPr>
              <w:t>0.752</w:t>
            </w:r>
          </w:p>
        </w:tc>
        <w:tc>
          <w:tcPr>
            <w:tcW w:type="dxa" w:w="1234"/>
          </w:tcPr>
          <w:p>
            <w:pPr>
              <w:spacing w:line="240" w:lineRule="auto"/>
            </w:pPr>
            <w:r>
              <w:rPr>
                <w:rFonts w:ascii="Times New Roman" w:hAnsi="Times New Roman"/>
                <w:sz w:val="20"/>
              </w:rPr>
              <w:t>[0.543, 1.040]</w:t>
            </w:r>
          </w:p>
        </w:tc>
      </w:tr>
      <w:tr>
        <w:tc>
          <w:tcPr>
            <w:tcW w:type="dxa" w:w="1234"/>
          </w:tcPr>
          <w:p>
            <w:pPr>
              <w:spacing w:line="240" w:lineRule="auto"/>
            </w:pPr>
            <w:r>
              <w:rPr>
                <w:rFonts w:ascii="Times New Roman" w:hAnsi="Times New Roman"/>
                <w:sz w:val="20"/>
              </w:rPr>
              <w:t>Log award amount</w:t>
            </w:r>
          </w:p>
        </w:tc>
        <w:tc>
          <w:tcPr>
            <w:tcW w:type="dxa" w:w="1234"/>
          </w:tcPr>
          <w:p>
            <w:pPr>
              <w:spacing w:line="240" w:lineRule="auto"/>
            </w:pPr>
            <w:r>
              <w:rPr>
                <w:rFonts w:ascii="Times New Roman" w:hAnsi="Times New Roman"/>
                <w:sz w:val="20"/>
              </w:rPr>
              <w:t>—</w:t>
            </w:r>
          </w:p>
        </w:tc>
        <w:tc>
          <w:tcPr>
            <w:tcW w:type="dxa" w:w="1234"/>
          </w:tcPr>
          <w:p>
            <w:pPr>
              <w:spacing w:line="240" w:lineRule="auto"/>
            </w:pPr>
            <w:r>
              <w:rPr>
                <w:rFonts w:ascii="Times New Roman" w:hAnsi="Times New Roman"/>
                <w:sz w:val="20"/>
              </w:rPr>
              <w:t>—</w:t>
            </w:r>
          </w:p>
        </w:tc>
        <w:tc>
          <w:tcPr>
            <w:tcW w:type="dxa" w:w="1234"/>
          </w:tcPr>
          <w:p>
            <w:pPr>
              <w:spacing w:line="240" w:lineRule="auto"/>
            </w:pPr>
            <w:r>
              <w:rPr>
                <w:rFonts w:ascii="Times New Roman" w:hAnsi="Times New Roman"/>
                <w:sz w:val="20"/>
              </w:rPr>
              <w:t>—</w:t>
            </w:r>
          </w:p>
        </w:tc>
        <w:tc>
          <w:tcPr>
            <w:tcW w:type="dxa" w:w="1234"/>
          </w:tcPr>
          <w:p>
            <w:pPr>
              <w:spacing w:line="240" w:lineRule="auto"/>
            </w:pPr>
            <w:r>
              <w:rPr>
                <w:rFonts w:ascii="Times New Roman" w:hAnsi="Times New Roman"/>
                <w:sz w:val="20"/>
              </w:rPr>
              <w:t>—</w:t>
            </w:r>
          </w:p>
        </w:tc>
        <w:tc>
          <w:tcPr>
            <w:tcW w:type="dxa" w:w="1234"/>
          </w:tcPr>
          <w:p>
            <w:pPr>
              <w:spacing w:line="240" w:lineRule="auto"/>
            </w:pPr>
            <w:r>
              <w:rPr>
                <w:rFonts w:ascii="Times New Roman" w:hAnsi="Times New Roman"/>
                <w:sz w:val="20"/>
              </w:rPr>
              <w:t>—</w:t>
            </w:r>
          </w:p>
        </w:tc>
        <w:tc>
          <w:tcPr>
            <w:tcW w:type="dxa" w:w="1234"/>
          </w:tcPr>
          <w:p>
            <w:pPr>
              <w:spacing w:line="240" w:lineRule="auto"/>
            </w:pPr>
            <w:r>
              <w:rPr>
                <w:rFonts w:ascii="Times New Roman" w:hAnsi="Times New Roman"/>
                <w:sz w:val="20"/>
              </w:rPr>
              <w:t>—</w:t>
            </w:r>
          </w:p>
        </w:tc>
      </w:tr>
      <w:tr>
        <w:tc>
          <w:tcPr>
            <w:tcW w:type="dxa" w:w="1234"/>
          </w:tcPr>
          <w:p>
            <w:pPr>
              <w:spacing w:line="240" w:lineRule="auto"/>
            </w:pPr>
            <w:r>
              <w:rPr>
                <w:rFonts w:ascii="Times New Roman" w:hAnsi="Times New Roman"/>
                <w:sz w:val="20"/>
              </w:rPr>
              <w:t>NAICS sector dummies</w:t>
            </w:r>
          </w:p>
        </w:tc>
        <w:tc>
          <w:tcPr>
            <w:tcW w:type="dxa" w:w="1234"/>
          </w:tcPr>
          <w:p>
            <w:pPr>
              <w:spacing w:line="240" w:lineRule="auto"/>
            </w:pPr>
            <w:r>
              <w:rPr>
                <w:rFonts w:ascii="Times New Roman" w:hAnsi="Times New Roman"/>
                <w:sz w:val="20"/>
              </w:rPr>
              <w:t>(included)</w:t>
            </w:r>
          </w:p>
        </w:tc>
        <w:tc>
          <w:tcPr>
            <w:tcW w:type="dxa" w:w="1234"/>
          </w:tcPr>
          <w:p>
            <w:pPr>
              <w:spacing w:line="240" w:lineRule="auto"/>
            </w:pPr>
            <w:r>
              <w:rPr>
                <w:rFonts w:ascii="Times New Roman" w:hAnsi="Times New Roman"/>
                <w:sz w:val="20"/>
              </w:rPr>
            </w:r>
          </w:p>
        </w:tc>
        <w:tc>
          <w:tcPr>
            <w:tcW w:type="dxa" w:w="1234"/>
          </w:tcPr>
          <w:p>
            <w:pPr>
              <w:spacing w:line="240" w:lineRule="auto"/>
            </w:pPr>
            <w:r>
              <w:rPr>
                <w:rFonts w:ascii="Times New Roman" w:hAnsi="Times New Roman"/>
                <w:sz w:val="20"/>
              </w:rPr>
            </w:r>
          </w:p>
        </w:tc>
        <w:tc>
          <w:tcPr>
            <w:tcW w:type="dxa" w:w="1234"/>
          </w:tcPr>
          <w:p>
            <w:pPr>
              <w:spacing w:line="240" w:lineRule="auto"/>
            </w:pPr>
            <w:r>
              <w:rPr>
                <w:rFonts w:ascii="Times New Roman" w:hAnsi="Times New Roman"/>
                <w:sz w:val="20"/>
              </w:rPr>
            </w:r>
          </w:p>
        </w:tc>
        <w:tc>
          <w:tcPr>
            <w:tcW w:type="dxa" w:w="1234"/>
          </w:tcPr>
          <w:p>
            <w:pPr>
              <w:spacing w:line="240" w:lineRule="auto"/>
            </w:pPr>
            <w:r>
              <w:rPr>
                <w:rFonts w:ascii="Times New Roman" w:hAnsi="Times New Roman"/>
                <w:sz w:val="20"/>
              </w:rPr>
            </w:r>
          </w:p>
        </w:tc>
        <w:tc>
          <w:tcPr>
            <w:tcW w:type="dxa" w:w="1234"/>
          </w:tcPr>
          <w:p>
            <w:pPr>
              <w:spacing w:line="240" w:lineRule="auto"/>
            </w:pPr>
            <w:r>
              <w:rPr>
                <w:rFonts w:ascii="Times New Roman" w:hAnsi="Times New Roman"/>
                <w:sz w:val="20"/>
              </w:rPr>
            </w:r>
          </w:p>
        </w:tc>
      </w:tr>
      <w:tr>
        <w:tc>
          <w:tcPr>
            <w:tcW w:type="dxa" w:w="1234"/>
          </w:tcPr>
          <w:p>
            <w:pPr>
              <w:spacing w:line="240" w:lineRule="auto"/>
            </w:pPr>
            <w:r>
              <w:rPr>
                <w:rFonts w:ascii="Times New Roman" w:hAnsi="Times New Roman"/>
                <w:sz w:val="20"/>
              </w:rPr>
              <w:t>Agency dummies</w:t>
            </w:r>
          </w:p>
        </w:tc>
        <w:tc>
          <w:tcPr>
            <w:tcW w:type="dxa" w:w="1234"/>
          </w:tcPr>
          <w:p>
            <w:pPr>
              <w:spacing w:line="240" w:lineRule="auto"/>
            </w:pPr>
            <w:r>
              <w:rPr>
                <w:rFonts w:ascii="Times New Roman" w:hAnsi="Times New Roman"/>
                <w:sz w:val="20"/>
              </w:rPr>
              <w:t>(included)</w:t>
            </w:r>
          </w:p>
        </w:tc>
        <w:tc>
          <w:tcPr>
            <w:tcW w:type="dxa" w:w="1234"/>
          </w:tcPr>
          <w:p>
            <w:pPr>
              <w:spacing w:line="240" w:lineRule="auto"/>
            </w:pPr>
            <w:r>
              <w:rPr>
                <w:rFonts w:ascii="Times New Roman" w:hAnsi="Times New Roman"/>
                <w:sz w:val="20"/>
              </w:rPr>
            </w:r>
          </w:p>
        </w:tc>
        <w:tc>
          <w:tcPr>
            <w:tcW w:type="dxa" w:w="1234"/>
          </w:tcPr>
          <w:p>
            <w:pPr>
              <w:spacing w:line="240" w:lineRule="auto"/>
            </w:pPr>
            <w:r>
              <w:rPr>
                <w:rFonts w:ascii="Times New Roman" w:hAnsi="Times New Roman"/>
                <w:sz w:val="20"/>
              </w:rPr>
            </w:r>
          </w:p>
        </w:tc>
        <w:tc>
          <w:tcPr>
            <w:tcW w:type="dxa" w:w="1234"/>
          </w:tcPr>
          <w:p>
            <w:pPr>
              <w:spacing w:line="240" w:lineRule="auto"/>
            </w:pPr>
            <w:r>
              <w:rPr>
                <w:rFonts w:ascii="Times New Roman" w:hAnsi="Times New Roman"/>
                <w:sz w:val="20"/>
              </w:rPr>
            </w:r>
          </w:p>
        </w:tc>
        <w:tc>
          <w:tcPr>
            <w:tcW w:type="dxa" w:w="1234"/>
          </w:tcPr>
          <w:p>
            <w:pPr>
              <w:spacing w:line="240" w:lineRule="auto"/>
            </w:pPr>
            <w:r>
              <w:rPr>
                <w:rFonts w:ascii="Times New Roman" w:hAnsi="Times New Roman"/>
                <w:sz w:val="20"/>
              </w:rPr>
            </w:r>
          </w:p>
        </w:tc>
        <w:tc>
          <w:tcPr>
            <w:tcW w:type="dxa" w:w="1234"/>
          </w:tcPr>
          <w:p>
            <w:pPr>
              <w:spacing w:line="240" w:lineRule="auto"/>
            </w:pPr>
            <w:r>
              <w:rPr>
                <w:rFonts w:ascii="Times New Roman" w:hAnsi="Times New Roman"/>
                <w:sz w:val="20"/>
              </w:rPr>
            </w:r>
          </w:p>
        </w:tc>
      </w:tr>
      <w:tr>
        <w:tc>
          <w:tcPr>
            <w:tcW w:type="dxa" w:w="1234"/>
          </w:tcPr>
          <w:p>
            <w:pPr>
              <w:spacing w:line="240" w:lineRule="auto"/>
            </w:pPr>
            <w:r>
              <w:rPr>
                <w:rFonts w:ascii="Times New Roman" w:hAnsi="Times New Roman"/>
                <w:sz w:val="20"/>
              </w:rPr>
            </w:r>
          </w:p>
        </w:tc>
        <w:tc>
          <w:tcPr>
            <w:tcW w:type="dxa" w:w="1234"/>
          </w:tcPr>
          <w:p>
            <w:pPr>
              <w:spacing w:line="240" w:lineRule="auto"/>
            </w:pPr>
            <w:r>
              <w:rPr>
                <w:rFonts w:ascii="Times New Roman" w:hAnsi="Times New Roman"/>
                <w:sz w:val="20"/>
              </w:rPr>
            </w:r>
          </w:p>
        </w:tc>
        <w:tc>
          <w:tcPr>
            <w:tcW w:type="dxa" w:w="1234"/>
          </w:tcPr>
          <w:p>
            <w:pPr>
              <w:spacing w:line="240" w:lineRule="auto"/>
            </w:pPr>
            <w:r>
              <w:rPr>
                <w:rFonts w:ascii="Times New Roman" w:hAnsi="Times New Roman"/>
                <w:sz w:val="20"/>
              </w:rPr>
            </w:r>
          </w:p>
        </w:tc>
        <w:tc>
          <w:tcPr>
            <w:tcW w:type="dxa" w:w="1234"/>
          </w:tcPr>
          <w:p>
            <w:pPr>
              <w:spacing w:line="240" w:lineRule="auto"/>
            </w:pPr>
            <w:r>
              <w:rPr>
                <w:rFonts w:ascii="Times New Roman" w:hAnsi="Times New Roman"/>
                <w:sz w:val="20"/>
              </w:rPr>
            </w:r>
          </w:p>
        </w:tc>
        <w:tc>
          <w:tcPr>
            <w:tcW w:type="dxa" w:w="1234"/>
          </w:tcPr>
          <w:p>
            <w:pPr>
              <w:spacing w:line="240" w:lineRule="auto"/>
            </w:pPr>
            <w:r>
              <w:rPr>
                <w:rFonts w:ascii="Times New Roman" w:hAnsi="Times New Roman"/>
                <w:sz w:val="20"/>
              </w:rPr>
            </w:r>
          </w:p>
        </w:tc>
        <w:tc>
          <w:tcPr>
            <w:tcW w:type="dxa" w:w="1234"/>
          </w:tcPr>
          <w:p>
            <w:pPr>
              <w:spacing w:line="240" w:lineRule="auto"/>
            </w:pPr>
            <w:r>
              <w:rPr>
                <w:rFonts w:ascii="Times New Roman" w:hAnsi="Times New Roman"/>
                <w:sz w:val="20"/>
              </w:rPr>
            </w:r>
          </w:p>
        </w:tc>
        <w:tc>
          <w:tcPr>
            <w:tcW w:type="dxa" w:w="1234"/>
          </w:tcPr>
          <w:p>
            <w:pPr>
              <w:spacing w:line="240" w:lineRule="auto"/>
            </w:pPr>
            <w:r>
              <w:rPr>
                <w:rFonts w:ascii="Times New Roman" w:hAnsi="Times New Roman"/>
                <w:sz w:val="20"/>
              </w:rPr>
            </w:r>
          </w:p>
        </w:tc>
      </w:tr>
      <w:tr>
        <w:tc>
          <w:tcPr>
            <w:tcW w:type="dxa" w:w="1234"/>
          </w:tcPr>
          <w:p>
            <w:pPr>
              <w:spacing w:line="240" w:lineRule="auto"/>
            </w:pPr>
            <w:r>
              <w:rPr>
                <w:rFonts w:ascii="Times New Roman" w:hAnsi="Times New Roman"/>
                <w:sz w:val="20"/>
              </w:rPr>
              <w:t>N</w:t>
            </w:r>
          </w:p>
        </w:tc>
        <w:tc>
          <w:tcPr>
            <w:tcW w:type="dxa" w:w="1234"/>
          </w:tcPr>
          <w:p>
            <w:pPr>
              <w:spacing w:line="240" w:lineRule="auto"/>
            </w:pPr>
            <w:r>
              <w:rPr>
                <w:rFonts w:ascii="Times New Roman" w:hAnsi="Times New Roman"/>
                <w:sz w:val="20"/>
              </w:rPr>
              <w:t>3,869</w:t>
            </w:r>
          </w:p>
        </w:tc>
        <w:tc>
          <w:tcPr>
            <w:tcW w:type="dxa" w:w="1234"/>
          </w:tcPr>
          <w:p>
            <w:pPr>
              <w:spacing w:line="240" w:lineRule="auto"/>
            </w:pPr>
            <w:r>
              <w:rPr>
                <w:rFonts w:ascii="Times New Roman" w:hAnsi="Times New Roman"/>
                <w:sz w:val="20"/>
              </w:rPr>
            </w:r>
          </w:p>
        </w:tc>
        <w:tc>
          <w:tcPr>
            <w:tcW w:type="dxa" w:w="1234"/>
          </w:tcPr>
          <w:p>
            <w:pPr>
              <w:spacing w:line="240" w:lineRule="auto"/>
            </w:pPr>
            <w:r>
              <w:rPr>
                <w:rFonts w:ascii="Times New Roman" w:hAnsi="Times New Roman"/>
                <w:sz w:val="20"/>
              </w:rPr>
            </w:r>
          </w:p>
        </w:tc>
        <w:tc>
          <w:tcPr>
            <w:tcW w:type="dxa" w:w="1234"/>
          </w:tcPr>
          <w:p>
            <w:pPr>
              <w:spacing w:line="240" w:lineRule="auto"/>
            </w:pPr>
            <w:r>
              <w:rPr>
                <w:rFonts w:ascii="Times New Roman" w:hAnsi="Times New Roman"/>
                <w:sz w:val="20"/>
              </w:rPr>
            </w:r>
          </w:p>
        </w:tc>
        <w:tc>
          <w:tcPr>
            <w:tcW w:type="dxa" w:w="1234"/>
          </w:tcPr>
          <w:p>
            <w:pPr>
              <w:spacing w:line="240" w:lineRule="auto"/>
            </w:pPr>
            <w:r>
              <w:rPr>
                <w:rFonts w:ascii="Times New Roman" w:hAnsi="Times New Roman"/>
                <w:sz w:val="20"/>
              </w:rPr>
            </w:r>
          </w:p>
        </w:tc>
        <w:tc>
          <w:tcPr>
            <w:tcW w:type="dxa" w:w="1234"/>
          </w:tcPr>
          <w:p>
            <w:pPr>
              <w:spacing w:line="240" w:lineRule="auto"/>
            </w:pPr>
            <w:r>
              <w:rPr>
                <w:rFonts w:ascii="Times New Roman" w:hAnsi="Times New Roman"/>
                <w:sz w:val="20"/>
              </w:rPr>
            </w:r>
          </w:p>
        </w:tc>
      </w:tr>
      <w:tr>
        <w:tc>
          <w:tcPr>
            <w:tcW w:type="dxa" w:w="1234"/>
          </w:tcPr>
          <w:p>
            <w:pPr>
              <w:spacing w:line="240" w:lineRule="auto"/>
            </w:pPr>
            <w:r>
              <w:rPr>
                <w:rFonts w:ascii="Times New Roman" w:hAnsi="Times New Roman"/>
                <w:sz w:val="20"/>
              </w:rPr>
              <w:t>Pseudo R²</w:t>
            </w:r>
          </w:p>
        </w:tc>
        <w:tc>
          <w:tcPr>
            <w:tcW w:type="dxa" w:w="1234"/>
          </w:tcPr>
          <w:p>
            <w:pPr>
              <w:spacing w:line="240" w:lineRule="auto"/>
            </w:pPr>
            <w:r>
              <w:rPr>
                <w:rFonts w:ascii="Times New Roman" w:hAnsi="Times New Roman"/>
                <w:sz w:val="20"/>
              </w:rPr>
              <w:t>0.035</w:t>
            </w:r>
          </w:p>
        </w:tc>
        <w:tc>
          <w:tcPr>
            <w:tcW w:type="dxa" w:w="1234"/>
          </w:tcPr>
          <w:p>
            <w:pPr>
              <w:spacing w:line="240" w:lineRule="auto"/>
            </w:pPr>
            <w:r>
              <w:rPr>
                <w:rFonts w:ascii="Times New Roman" w:hAnsi="Times New Roman"/>
                <w:sz w:val="20"/>
              </w:rPr>
            </w:r>
          </w:p>
        </w:tc>
        <w:tc>
          <w:tcPr>
            <w:tcW w:type="dxa" w:w="1234"/>
          </w:tcPr>
          <w:p>
            <w:pPr>
              <w:spacing w:line="240" w:lineRule="auto"/>
            </w:pPr>
            <w:r>
              <w:rPr>
                <w:rFonts w:ascii="Times New Roman" w:hAnsi="Times New Roman"/>
                <w:sz w:val="20"/>
              </w:rPr>
            </w:r>
          </w:p>
        </w:tc>
        <w:tc>
          <w:tcPr>
            <w:tcW w:type="dxa" w:w="1234"/>
          </w:tcPr>
          <w:p>
            <w:pPr>
              <w:spacing w:line="240" w:lineRule="auto"/>
            </w:pPr>
            <w:r>
              <w:rPr>
                <w:rFonts w:ascii="Times New Roman" w:hAnsi="Times New Roman"/>
                <w:sz w:val="20"/>
              </w:rPr>
            </w:r>
          </w:p>
        </w:tc>
        <w:tc>
          <w:tcPr>
            <w:tcW w:type="dxa" w:w="1234"/>
          </w:tcPr>
          <w:p>
            <w:pPr>
              <w:spacing w:line="240" w:lineRule="auto"/>
            </w:pPr>
            <w:r>
              <w:rPr>
                <w:rFonts w:ascii="Times New Roman" w:hAnsi="Times New Roman"/>
                <w:sz w:val="20"/>
              </w:rPr>
            </w:r>
          </w:p>
        </w:tc>
        <w:tc>
          <w:tcPr>
            <w:tcW w:type="dxa" w:w="1234"/>
          </w:tcPr>
          <w:p>
            <w:pPr>
              <w:spacing w:line="240" w:lineRule="auto"/>
            </w:pPr>
            <w:r>
              <w:rPr>
                <w:rFonts w:ascii="Times New Roman" w:hAnsi="Times New Roman"/>
                <w:sz w:val="20"/>
              </w:rPr>
            </w:r>
          </w:p>
        </w:tc>
      </w:tr>
      <w:tr>
        <w:tc>
          <w:tcPr>
            <w:tcW w:type="dxa" w:w="1234"/>
          </w:tcPr>
          <w:p>
            <w:pPr>
              <w:spacing w:line="240" w:lineRule="auto"/>
            </w:pPr>
            <w:r>
              <w:rPr>
                <w:rFonts w:ascii="Times New Roman" w:hAnsi="Times New Roman"/>
                <w:sz w:val="20"/>
              </w:rPr>
              <w:t>AIC</w:t>
            </w:r>
          </w:p>
        </w:tc>
        <w:tc>
          <w:tcPr>
            <w:tcW w:type="dxa" w:w="1234"/>
          </w:tcPr>
          <w:p>
            <w:pPr>
              <w:spacing w:line="240" w:lineRule="auto"/>
            </w:pPr>
            <w:r>
              <w:rPr>
                <w:rFonts w:ascii="Times New Roman" w:hAnsi="Times New Roman"/>
                <w:sz w:val="20"/>
              </w:rPr>
              <w:t>1,545.5</w:t>
            </w:r>
          </w:p>
        </w:tc>
        <w:tc>
          <w:tcPr>
            <w:tcW w:type="dxa" w:w="1234"/>
          </w:tcPr>
          <w:p>
            <w:pPr>
              <w:spacing w:line="240" w:lineRule="auto"/>
            </w:pPr>
            <w:r>
              <w:rPr>
                <w:rFonts w:ascii="Times New Roman" w:hAnsi="Times New Roman"/>
                <w:sz w:val="20"/>
              </w:rPr>
            </w:r>
          </w:p>
        </w:tc>
        <w:tc>
          <w:tcPr>
            <w:tcW w:type="dxa" w:w="1234"/>
          </w:tcPr>
          <w:p>
            <w:pPr>
              <w:spacing w:line="240" w:lineRule="auto"/>
            </w:pPr>
            <w:r>
              <w:rPr>
                <w:rFonts w:ascii="Times New Roman" w:hAnsi="Times New Roman"/>
                <w:sz w:val="20"/>
              </w:rPr>
            </w:r>
          </w:p>
        </w:tc>
        <w:tc>
          <w:tcPr>
            <w:tcW w:type="dxa" w:w="1234"/>
          </w:tcPr>
          <w:p>
            <w:pPr>
              <w:spacing w:line="240" w:lineRule="auto"/>
            </w:pPr>
            <w:r>
              <w:rPr>
                <w:rFonts w:ascii="Times New Roman" w:hAnsi="Times New Roman"/>
                <w:sz w:val="20"/>
              </w:rPr>
            </w:r>
          </w:p>
        </w:tc>
        <w:tc>
          <w:tcPr>
            <w:tcW w:type="dxa" w:w="1234"/>
          </w:tcPr>
          <w:p>
            <w:pPr>
              <w:spacing w:line="240" w:lineRule="auto"/>
            </w:pPr>
            <w:r>
              <w:rPr>
                <w:rFonts w:ascii="Times New Roman" w:hAnsi="Times New Roman"/>
                <w:sz w:val="20"/>
              </w:rPr>
            </w:r>
          </w:p>
        </w:tc>
        <w:tc>
          <w:tcPr>
            <w:tcW w:type="dxa" w:w="1234"/>
          </w:tcPr>
          <w:p>
            <w:pPr>
              <w:spacing w:line="240" w:lineRule="auto"/>
            </w:pPr>
            <w:r>
              <w:rPr>
                <w:rFonts w:ascii="Times New Roman" w:hAnsi="Times New Roman"/>
                <w:sz w:val="20"/>
              </w:rPr>
            </w:r>
          </w:p>
        </w:tc>
      </w:tr>
    </w:tbl>
    <w:p>
      <w:pPr>
        <w:ind w:firstLine="720"/>
      </w:pPr>
      <w:r>
        <w:t>The Tradeoff coefficient was -0.285 (</w:t>
      </w:r>
      <w:r>
        <w:rPr>
          <w:i/>
        </w:rPr>
        <w:t>SE</w:t>
      </w:r>
      <w:r>
        <w:t xml:space="preserve"> = 0.166, </w:t>
      </w:r>
      <w:r>
        <w:rPr>
          <w:i/>
        </w:rPr>
        <w:t>z</w:t>
      </w:r>
      <w:r>
        <w:t xml:space="preserve"> = -1.72, </w:t>
      </w:r>
      <w:r>
        <w:rPr>
          <w:i/>
        </w:rPr>
        <w:t>p</w:t>
      </w:r>
      <w:r>
        <w:t xml:space="preserve"> = .085), corresponding to an odds ratio of 0.752 (95% CI [0.543, 1.040]). The direction of the effect was consistent with the hypothesis: QE procurement design was associated with approximately 24.8% lower odds of a single-bid outcome relative to NFP design. However, the </w:t>
      </w:r>
      <w:r>
        <w:rPr>
          <w:i/>
        </w:rPr>
        <w:t>p</w:t>
      </w:r>
      <w:r>
        <w:t>-value of .085 did not meet the pre-specified significance threshold of alpha = .05, and the confidence interval for the odds ratio included 1.0 (specifically, the upper bound of 1.040), precluding a definitive conclusion that QE design reduces single-bid rates.</w:t>
      </w:r>
    </w:p>
    <w:p>
      <w:pPr>
        <w:ind w:firstLine="720"/>
      </w:pPr>
      <w:r>
        <w:rPr>
          <w:b/>
        </w:rPr>
        <w:t>Hypothesis 6 was not supported at alpha = .05</w:t>
      </w:r>
      <w:r>
        <w:t>, though the result was marginally significant at the .10 level (</w:t>
      </w:r>
      <w:r>
        <w:rPr>
          <w:i/>
        </w:rPr>
        <w:t>p</w:t>
      </w:r>
      <w:r>
        <w:t xml:space="preserve"> = .085). The direction of the estimated effect was consistent with the hypothesis, and the odds ratio of 0.752 represented a substantively meaningful effect size—suggesting that QE procurement designs may reduce the odds of a single-bid outcome by approximately one-quarter. The marginal significance of this finding, falling in the ambiguous zone between the conventional .05 threshold and clear non-significance, invites further investigation with larger samples or alternative operationalizations of competition.</w:t>
      </w:r>
    </w:p>
    <w:p>
      <w:pPr>
        <w:ind w:firstLine="720"/>
      </w:pPr>
      <w:r>
        <w:t xml:space="preserve">Several contextual factors bear on the interpretation of this result. First, the pseudo </w:t>
      </w:r>
      <w:r>
        <w:rPr>
          <w:i/>
        </w:rPr>
        <w:t>R</w:t>
      </w:r>
      <w:r>
        <w:t>² of 0.035 indicated that the model explained only 3.5% of the variation in single-bid outcomes. This modest explanatory power is not unexpected, given the multiplicity of factors that influence vendor participation decisions, including market conditions, geographic location, set-aside provisions, contract vehicle structure, timing relative to the fiscal year, and the perceived probability of protest. Procurement design is one of many influences on competition, and even a real effect could be small relative to the total variance.</w:t>
      </w:r>
    </w:p>
    <w:p>
      <w:pPr>
        <w:ind w:firstLine="720"/>
      </w:pPr>
      <w:r>
        <w:t>Second, the base rates of single-bid outcomes were quite low in both groups (4.4% for QE and 5.6% for NFP). When the outcome of interest is rare, logistic regression estimates become less precise because the effective information in the data is concentrated in the small number of events rather than the large number of non-events (King &amp; Zeng, 2001). The low base rate reduced statistical power for detecting differences between groups, and a study with a larger sample or a longer observation period—capturing more single-bid events—might achieve sufficient power to detect the effect suggested by the point estimate.</w:t>
      </w:r>
    </w:p>
    <w:p>
      <w:pPr>
        <w:ind w:firstLine="720"/>
      </w:pPr>
      <w:r>
        <w:t>Third, the practical significance of the finding deserves consideration alongside the statistical significance. An odds ratio of 0.752 implies that, for every 100 procurements that would result in a single-bid outcome under NFP design, approximately 75 would result in a single-bid outcome under QE design—a meaningful reduction in the frequency of non-competitive outcomes. If this effect is real, its policy implications are substantial, as single-bid procurements deny the government the competitive tension that drives pricing discipline and innovation. The marginal statistical significance, in this context, may reflect a power limitation rather than the absence of a meaningful effect.</w:t>
      </w:r>
    </w:p>
    <w:p>
      <w:pPr>
        <w:pStyle w:val="Heading3"/>
      </w:pPr>
      <w:r>
        <w:rPr>
          <w:rFonts w:ascii="Times New Roman" w:hAnsi="Times New Roman"/>
          <w:color w:val="000000"/>
        </w:rPr>
        <w:t>4.5.4 Competition Intensity</w:t>
      </w:r>
    </w:p>
    <w:p>
      <w:pPr>
        <w:ind w:firstLine="720"/>
      </w:pPr>
      <w:r>
        <w:t>In addition to the single-bid indicator, the study examined competition intensity as measured by the continuous count of offers received. This analysis was conducted as an exploratory extension rather than a formal hypothesis test, given the well-documented limitations of the number-of-offers variable in the USAspending data. The field is frequently missing, reported inconsistently across agencies, and subject to definitional ambiguity (e.g., whether to count proposals deemed non-responsive, late submissions, or withdrawn offers).</w:t>
      </w:r>
    </w:p>
    <w:p>
      <w:pPr>
        <w:ind w:firstLine="720"/>
      </w:pPr>
      <w:r>
        <w:t>An OLS regression of number of offers received on the Tradeoff indicator, controlling for log award amount, NAICS sector, and agency dummies, was estimated on the subsample of awards with non-missing offer count data (</w:t>
      </w:r>
      <w:r>
        <w:rPr>
          <w:i/>
        </w:rPr>
        <w:t>N</w:t>
      </w:r>
      <w:r>
        <w:t xml:space="preserve"> = 968). The restriction to 968 observations (from a potential 3,869) reflects the 75.0% missing data rate on the offer count variable—a rate so high as to raise serious questions about the representativeness of the analysis sample and the validity of inferences drawn from it.</w:t>
      </w:r>
    </w:p>
    <w:p>
      <w:pPr>
        <w:ind w:firstLine="720"/>
      </w:pPr>
      <w:r>
        <w:t>The Tradeoff coefficient was -1.607 (</w:t>
      </w:r>
      <w:r>
        <w:rPr>
          <w:i/>
        </w:rPr>
        <w:t>SE</w:t>
      </w:r>
      <w:r>
        <w:t xml:space="preserve"> = 2.002, </w:t>
      </w:r>
      <w:r>
        <w:rPr>
          <w:i/>
        </w:rPr>
        <w:t>p</w:t>
      </w:r>
      <w:r>
        <w:t xml:space="preserve"> = .422), suggesting that QE awards attracted approximately 1.6 fewer offers than NFP awards, but this difference was not statistically significant. The model </w:t>
      </w:r>
      <w:r>
        <w:rPr>
          <w:i/>
        </w:rPr>
        <w:t>R</w:t>
      </w:r>
      <w:r>
        <w:t>² was 0.012, indicating that the predictor variables explained only 1.2% of the variation in offer counts—an extremely low level of explanatory power that suggests the model is missing important determinants of competition or that the offer count variable is measured with substantial noise.</w:t>
      </w:r>
    </w:p>
    <w:p>
      <w:pPr>
        <w:ind w:firstLine="720"/>
      </w:pPr>
      <w:r>
        <w:t>The null result on competition intensity is consistent with the marginal result on single-bid rates. Both analyses suggest that procurement design does not have a strong, detectable effect on vendor participation in the present data, though the severe data quality issues with the offer count variable limit the confidence that can be placed in this conclusion. The 75% missing data rate is particularly concerning because it raises the possibility of non-random selection: if agencies that report offer counts differ systematically from those that do not (e.g., in their procurement sophistication, data management practices, or competition outcomes), then the observed relationship between procurement design and offer count may not generalize to the full population.</w:t>
      </w:r>
    </w:p>
    <w:p>
      <w:pPr>
        <w:pStyle w:val="Heading2"/>
      </w:pPr>
      <w:r>
        <w:rPr>
          <w:rFonts w:ascii="Times New Roman" w:hAnsi="Times New Roman"/>
          <w:color w:val="000000"/>
        </w:rPr>
        <w:t>4.6 Moderation Effects: H8 Complexity Hypothesis</w:t>
      </w:r>
    </w:p>
    <w:p>
      <w:pPr>
        <w:ind w:firstLine="720"/>
      </w:pPr>
      <w:r>
        <w:rPr>
          <w:b/>
        </w:rPr>
        <w:t>Hypothesis 8:</w:t>
      </w:r>
      <w:r>
        <w:t xml:space="preserve"> The relationship between procurement design and cost growth is moderated by procurement complexity, such that quality-evaluating designs yield greater cost growth advantages (i.e., lower cost growth relative to NFP) for more complex procurements.</w:t>
      </w:r>
    </w:p>
    <w:p>
      <w:pPr>
        <w:ind w:firstLine="720"/>
      </w:pPr>
      <w:r>
        <w:t>This hypothesis represents the most theoretically grounded prediction in the study, drawing directly on the central contingency logic of transaction cost economics. Williamson (1985, 1996) argued that the optimal governance structure for a transaction depends on the transaction's attributes—particularly its complexity (asset specificity), uncertainty, and frequency. Simple, well-specified transactions can be governed efficiently by market mechanisms (analogous to price-focused procurement), while complex, uncertain transactions require more hierarchical governance (analogous to quality-evaluating procurement with its detailed evaluation of technical approach and management capability). The implication for procurement design is that the advantages of quality-evaluating source selection should be most pronounced when the requirement is complex, uncertain, and difficult to specify in advance. For simple, well-defined requirements, the additional administrative burden of tradeoff evaluation may not be justified, and price-focused methods may perform comparably well.</w:t>
      </w:r>
    </w:p>
    <w:p>
      <w:pPr>
        <w:ind w:firstLine="720"/>
      </w:pPr>
      <w:r>
        <w:t>In the present study, procurement complexity was proxied by log award amount, on the rationale that larger procurements tend to involve greater technical scope, longer performance periods, more complex deliverable structures, and greater uncertainty. This proxy is imperfect—award size captures some but not all dimensions of complexity—but it is the most readily operationalized measure of complexity available in the data.</w:t>
      </w:r>
    </w:p>
    <w:p>
      <w:pPr>
        <w:ind w:firstLine="720"/>
      </w:pPr>
      <w:r>
        <w:t>The moderation hypothesis was tested by augmenting the cost growth regression model from Section 4.5.1 with an interaction term between the Tradeoff indicator and log award amount:</w:t>
      </w:r>
    </w:p>
    <w:p>
      <w:pPr>
        <w:ind w:firstLine="720"/>
      </w:pPr>
      <w:r>
        <w:t xml:space="preserve">Cost Growth (%) = beta_0 + beta_1(Tradeoff) + beta_2(Log Award Amount) + beta_3(Tradeoff x Log Award Amount) + sum(beta_j </w:t>
      </w:r>
      <w:r>
        <w:rPr>
          <w:i/>
        </w:rPr>
        <w:t xml:space="preserve"> NAICS_j) + sum(beta_k </w:t>
      </w:r>
      <w:r>
        <w:t xml:space="preserve"> Agency_k) + epsilon</w:t>
      </w:r>
    </w:p>
    <w:p>
      <w:pPr>
        <w:ind w:firstLine="720"/>
      </w:pPr>
      <w:r>
        <w:t>The coefficient of interest is beta_3, the interaction term, which tests whether the effect of procurement design on cost growth varies as a function of award size (the complexity proxy).</w:t>
      </w:r>
    </w:p>
    <w:p>
      <w:pPr>
        <w:ind w:firstLine="720"/>
      </w:pPr>
      <w:r>
        <w:t>The results were as follows:</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pPr>
              <w:spacing w:line="240" w:lineRule="auto"/>
            </w:pPr>
            <w:r>
              <w:rPr>
                <w:rFonts w:ascii="Times New Roman" w:hAnsi="Times New Roman"/>
                <w:b/>
                <w:sz w:val="20"/>
              </w:rPr>
              <w:t>Variable</w:t>
            </w:r>
          </w:p>
        </w:tc>
        <w:tc>
          <w:tcPr>
            <w:tcW w:type="dxa" w:w="1728"/>
          </w:tcPr>
          <w:p>
            <w:pPr>
              <w:spacing w:line="240" w:lineRule="auto"/>
            </w:pPr>
            <w:r>
              <w:rPr>
                <w:rFonts w:ascii="Times New Roman" w:hAnsi="Times New Roman"/>
                <w:b/>
                <w:sz w:val="20"/>
              </w:rPr>
              <w:t>Coefficient</w:t>
            </w:r>
          </w:p>
        </w:tc>
        <w:tc>
          <w:tcPr>
            <w:tcW w:type="dxa" w:w="1728"/>
          </w:tcPr>
          <w:p>
            <w:pPr>
              <w:spacing w:line="240" w:lineRule="auto"/>
            </w:pPr>
            <w:r>
              <w:rPr>
                <w:rFonts w:ascii="Times New Roman" w:hAnsi="Times New Roman"/>
                <w:b/>
                <w:sz w:val="20"/>
              </w:rPr>
              <w:t>SE</w:t>
            </w:r>
          </w:p>
        </w:tc>
        <w:tc>
          <w:tcPr>
            <w:tcW w:type="dxa" w:w="1728"/>
          </w:tcPr>
          <w:p>
            <w:pPr>
              <w:spacing w:line="240" w:lineRule="auto"/>
            </w:pPr>
            <w:r>
              <w:rPr>
                <w:rFonts w:ascii="Times New Roman" w:hAnsi="Times New Roman"/>
                <w:b/>
                <w:sz w:val="20"/>
              </w:rPr>
              <w:t>t</w:t>
            </w:r>
          </w:p>
        </w:tc>
        <w:tc>
          <w:tcPr>
            <w:tcW w:type="dxa" w:w="1728"/>
          </w:tcPr>
          <w:p>
            <w:pPr>
              <w:spacing w:line="240" w:lineRule="auto"/>
            </w:pPr>
            <w:r>
              <w:rPr>
                <w:rFonts w:ascii="Times New Roman" w:hAnsi="Times New Roman"/>
                <w:b/>
                <w:sz w:val="20"/>
              </w:rPr>
              <w:t>p</w:t>
            </w:r>
          </w:p>
        </w:tc>
      </w:tr>
      <w:tr>
        <w:tc>
          <w:tcPr>
            <w:tcW w:type="dxa" w:w="1728"/>
          </w:tcPr>
          <w:p>
            <w:pPr>
              <w:spacing w:line="240" w:lineRule="auto"/>
            </w:pPr>
            <w:r>
              <w:rPr>
                <w:rFonts w:ascii="Times New Roman" w:hAnsi="Times New Roman"/>
                <w:sz w:val="20"/>
              </w:rPr>
              <w:t>Intercept</w:t>
            </w:r>
          </w:p>
        </w:tc>
        <w:tc>
          <w:tcPr>
            <w:tcW w:type="dxa" w:w="1728"/>
          </w:tcPr>
          <w:p>
            <w:pPr>
              <w:spacing w:line="240" w:lineRule="auto"/>
            </w:pPr>
            <w:r>
              <w:rPr>
                <w:rFonts w:ascii="Times New Roman" w:hAnsi="Times New Roman"/>
                <w:sz w:val="20"/>
              </w:rPr>
              <w:t>—</w:t>
            </w:r>
          </w:p>
        </w:tc>
        <w:tc>
          <w:tcPr>
            <w:tcW w:type="dxa" w:w="1728"/>
          </w:tcPr>
          <w:p>
            <w:pPr>
              <w:spacing w:line="240" w:lineRule="auto"/>
            </w:pPr>
            <w:r>
              <w:rPr>
                <w:rFonts w:ascii="Times New Roman" w:hAnsi="Times New Roman"/>
                <w:sz w:val="20"/>
              </w:rPr>
              <w:t>—</w:t>
            </w:r>
          </w:p>
        </w:tc>
        <w:tc>
          <w:tcPr>
            <w:tcW w:type="dxa" w:w="1728"/>
          </w:tcPr>
          <w:p>
            <w:pPr>
              <w:spacing w:line="240" w:lineRule="auto"/>
            </w:pPr>
            <w:r>
              <w:rPr>
                <w:rFonts w:ascii="Times New Roman" w:hAnsi="Times New Roman"/>
                <w:sz w:val="20"/>
              </w:rPr>
              <w:t>—</w:t>
            </w:r>
          </w:p>
        </w:tc>
        <w:tc>
          <w:tcPr>
            <w:tcW w:type="dxa" w:w="1728"/>
          </w:tcPr>
          <w:p>
            <w:pPr>
              <w:spacing w:line="240" w:lineRule="auto"/>
            </w:pPr>
            <w:r>
              <w:rPr>
                <w:rFonts w:ascii="Times New Roman" w:hAnsi="Times New Roman"/>
                <w:sz w:val="20"/>
              </w:rPr>
              <w:t>—</w:t>
            </w:r>
          </w:p>
        </w:tc>
      </w:tr>
      <w:tr>
        <w:tc>
          <w:tcPr>
            <w:tcW w:type="dxa" w:w="1728"/>
          </w:tcPr>
          <w:p>
            <w:pPr>
              <w:spacing w:line="240" w:lineRule="auto"/>
            </w:pPr>
            <w:r>
              <w:rPr>
                <w:rFonts w:ascii="Times New Roman" w:hAnsi="Times New Roman"/>
                <w:sz w:val="20"/>
              </w:rPr>
              <w:t>Tradeoff (QE = 1)</w:t>
            </w:r>
          </w:p>
        </w:tc>
        <w:tc>
          <w:tcPr>
            <w:tcW w:type="dxa" w:w="1728"/>
          </w:tcPr>
          <w:p>
            <w:pPr>
              <w:spacing w:line="240" w:lineRule="auto"/>
            </w:pPr>
            <w:r>
              <w:rPr>
                <w:rFonts w:ascii="Times New Roman" w:hAnsi="Times New Roman"/>
                <w:sz w:val="20"/>
              </w:rPr>
              <w:t>-8.987</w:t>
            </w:r>
          </w:p>
        </w:tc>
        <w:tc>
          <w:tcPr>
            <w:tcW w:type="dxa" w:w="1728"/>
          </w:tcPr>
          <w:p>
            <w:pPr>
              <w:spacing w:line="240" w:lineRule="auto"/>
            </w:pPr>
            <w:r>
              <w:rPr>
                <w:rFonts w:ascii="Times New Roman" w:hAnsi="Times New Roman"/>
                <w:sz w:val="20"/>
              </w:rPr>
              <w:t>3.020</w:t>
            </w:r>
          </w:p>
        </w:tc>
        <w:tc>
          <w:tcPr>
            <w:tcW w:type="dxa" w:w="1728"/>
          </w:tcPr>
          <w:p>
            <w:pPr>
              <w:spacing w:line="240" w:lineRule="auto"/>
            </w:pPr>
            <w:r>
              <w:rPr>
                <w:rFonts w:ascii="Times New Roman" w:hAnsi="Times New Roman"/>
                <w:sz w:val="20"/>
              </w:rPr>
              <w:t>-2.98</w:t>
            </w:r>
          </w:p>
        </w:tc>
        <w:tc>
          <w:tcPr>
            <w:tcW w:type="dxa" w:w="1728"/>
          </w:tcPr>
          <w:p>
            <w:pPr>
              <w:spacing w:line="240" w:lineRule="auto"/>
            </w:pPr>
            <w:r>
              <w:rPr>
                <w:rFonts w:ascii="Times New Roman" w:hAnsi="Times New Roman"/>
                <w:sz w:val="20"/>
              </w:rPr>
              <w:t>.003</w:t>
            </w:r>
          </w:p>
        </w:tc>
      </w:tr>
      <w:tr>
        <w:tc>
          <w:tcPr>
            <w:tcW w:type="dxa" w:w="1728"/>
          </w:tcPr>
          <w:p>
            <w:pPr>
              <w:spacing w:line="240" w:lineRule="auto"/>
            </w:pPr>
            <w:r>
              <w:rPr>
                <w:rFonts w:ascii="Times New Roman" w:hAnsi="Times New Roman"/>
                <w:sz w:val="20"/>
              </w:rPr>
              <w:t>Log award amount</w:t>
            </w:r>
          </w:p>
        </w:tc>
        <w:tc>
          <w:tcPr>
            <w:tcW w:type="dxa" w:w="1728"/>
          </w:tcPr>
          <w:p>
            <w:pPr>
              <w:spacing w:line="240" w:lineRule="auto"/>
            </w:pPr>
            <w:r>
              <w:rPr>
                <w:rFonts w:ascii="Times New Roman" w:hAnsi="Times New Roman"/>
                <w:sz w:val="20"/>
              </w:rPr>
              <w:t>1.679</w:t>
            </w:r>
          </w:p>
        </w:tc>
        <w:tc>
          <w:tcPr>
            <w:tcW w:type="dxa" w:w="1728"/>
          </w:tcPr>
          <w:p>
            <w:pPr>
              <w:spacing w:line="240" w:lineRule="auto"/>
            </w:pPr>
            <w:r>
              <w:rPr>
                <w:rFonts w:ascii="Times New Roman" w:hAnsi="Times New Roman"/>
                <w:sz w:val="20"/>
              </w:rPr>
              <w:t>—</w:t>
            </w:r>
          </w:p>
        </w:tc>
        <w:tc>
          <w:tcPr>
            <w:tcW w:type="dxa" w:w="1728"/>
          </w:tcPr>
          <w:p>
            <w:pPr>
              <w:spacing w:line="240" w:lineRule="auto"/>
            </w:pPr>
            <w:r>
              <w:rPr>
                <w:rFonts w:ascii="Times New Roman" w:hAnsi="Times New Roman"/>
                <w:sz w:val="20"/>
              </w:rPr>
              <w:t>—</w:t>
            </w:r>
          </w:p>
        </w:tc>
        <w:tc>
          <w:tcPr>
            <w:tcW w:type="dxa" w:w="1728"/>
          </w:tcPr>
          <w:p>
            <w:pPr>
              <w:spacing w:line="240" w:lineRule="auto"/>
            </w:pPr>
            <w:r>
              <w:rPr>
                <w:rFonts w:ascii="Times New Roman" w:hAnsi="Times New Roman"/>
                <w:sz w:val="20"/>
              </w:rPr>
              <w:t>&lt; .001</w:t>
            </w:r>
          </w:p>
        </w:tc>
      </w:tr>
      <w:tr>
        <w:tc>
          <w:tcPr>
            <w:tcW w:type="dxa" w:w="1728"/>
          </w:tcPr>
          <w:p>
            <w:pPr>
              <w:spacing w:line="240" w:lineRule="auto"/>
            </w:pPr>
            <w:r>
              <w:rPr>
                <w:rFonts w:ascii="Times New Roman" w:hAnsi="Times New Roman"/>
                <w:sz w:val="20"/>
              </w:rPr>
              <w:t>Tradeoff x Log award amount</w:t>
            </w:r>
          </w:p>
        </w:tc>
        <w:tc>
          <w:tcPr>
            <w:tcW w:type="dxa" w:w="1728"/>
          </w:tcPr>
          <w:p>
            <w:pPr>
              <w:spacing w:line="240" w:lineRule="auto"/>
            </w:pPr>
            <w:r>
              <w:rPr>
                <w:rFonts w:ascii="Times New Roman" w:hAnsi="Times New Roman"/>
                <w:sz w:val="20"/>
              </w:rPr>
              <w:t>0.619</w:t>
            </w:r>
          </w:p>
        </w:tc>
        <w:tc>
          <w:tcPr>
            <w:tcW w:type="dxa" w:w="1728"/>
          </w:tcPr>
          <w:p>
            <w:pPr>
              <w:spacing w:line="240" w:lineRule="auto"/>
            </w:pPr>
            <w:r>
              <w:rPr>
                <w:rFonts w:ascii="Times New Roman" w:hAnsi="Times New Roman"/>
                <w:sz w:val="20"/>
              </w:rPr>
              <w:t>0.208</w:t>
            </w:r>
          </w:p>
        </w:tc>
        <w:tc>
          <w:tcPr>
            <w:tcW w:type="dxa" w:w="1728"/>
          </w:tcPr>
          <w:p>
            <w:pPr>
              <w:spacing w:line="240" w:lineRule="auto"/>
            </w:pPr>
            <w:r>
              <w:rPr>
                <w:rFonts w:ascii="Times New Roman" w:hAnsi="Times New Roman"/>
                <w:sz w:val="20"/>
              </w:rPr>
              <w:t>2.98</w:t>
            </w:r>
          </w:p>
        </w:tc>
        <w:tc>
          <w:tcPr>
            <w:tcW w:type="dxa" w:w="1728"/>
          </w:tcPr>
          <w:p>
            <w:pPr>
              <w:spacing w:line="240" w:lineRule="auto"/>
            </w:pPr>
            <w:r>
              <w:rPr>
                <w:rFonts w:ascii="Times New Roman" w:hAnsi="Times New Roman"/>
                <w:sz w:val="20"/>
              </w:rPr>
              <w:t>.003</w:t>
            </w:r>
          </w:p>
        </w:tc>
      </w:tr>
      <w:tr>
        <w:tc>
          <w:tcPr>
            <w:tcW w:type="dxa" w:w="1728"/>
          </w:tcPr>
          <w:p>
            <w:pPr>
              <w:spacing w:line="240" w:lineRule="auto"/>
            </w:pPr>
            <w:r>
              <w:rPr>
                <w:rFonts w:ascii="Times New Roman" w:hAnsi="Times New Roman"/>
                <w:sz w:val="20"/>
              </w:rPr>
              <w:t>NAICS sector dummies</w:t>
            </w:r>
          </w:p>
        </w:tc>
        <w:tc>
          <w:tcPr>
            <w:tcW w:type="dxa" w:w="1728"/>
          </w:tcPr>
          <w:p>
            <w:pPr>
              <w:spacing w:line="240" w:lineRule="auto"/>
            </w:pPr>
            <w:r>
              <w:rPr>
                <w:rFonts w:ascii="Times New Roman" w:hAnsi="Times New Roman"/>
                <w:sz w:val="20"/>
              </w:rPr>
              <w:t>(included)</w:t>
            </w:r>
          </w:p>
        </w:tc>
        <w:tc>
          <w:tcPr>
            <w:tcW w:type="dxa" w:w="1728"/>
          </w:tcPr>
          <w:p>
            <w:pPr>
              <w:spacing w:line="240" w:lineRule="auto"/>
            </w:pPr>
            <w:r>
              <w:rPr>
                <w:rFonts w:ascii="Times New Roman" w:hAnsi="Times New Roman"/>
                <w:sz w:val="20"/>
              </w:rPr>
            </w:r>
          </w:p>
        </w:tc>
        <w:tc>
          <w:tcPr>
            <w:tcW w:type="dxa" w:w="1728"/>
          </w:tcPr>
          <w:p>
            <w:pPr>
              <w:spacing w:line="240" w:lineRule="auto"/>
            </w:pPr>
            <w:r>
              <w:rPr>
                <w:rFonts w:ascii="Times New Roman" w:hAnsi="Times New Roman"/>
                <w:sz w:val="20"/>
              </w:rPr>
            </w:r>
          </w:p>
        </w:tc>
        <w:tc>
          <w:tcPr>
            <w:tcW w:type="dxa" w:w="1728"/>
          </w:tcPr>
          <w:p>
            <w:pPr>
              <w:spacing w:line="240" w:lineRule="auto"/>
            </w:pPr>
            <w:r>
              <w:rPr>
                <w:rFonts w:ascii="Times New Roman" w:hAnsi="Times New Roman"/>
                <w:sz w:val="20"/>
              </w:rPr>
            </w:r>
          </w:p>
        </w:tc>
      </w:tr>
      <w:tr>
        <w:tc>
          <w:tcPr>
            <w:tcW w:type="dxa" w:w="1728"/>
          </w:tcPr>
          <w:p>
            <w:pPr>
              <w:spacing w:line="240" w:lineRule="auto"/>
            </w:pPr>
            <w:r>
              <w:rPr>
                <w:rFonts w:ascii="Times New Roman" w:hAnsi="Times New Roman"/>
                <w:sz w:val="20"/>
              </w:rPr>
              <w:t>Agency dummies</w:t>
            </w:r>
          </w:p>
        </w:tc>
        <w:tc>
          <w:tcPr>
            <w:tcW w:type="dxa" w:w="1728"/>
          </w:tcPr>
          <w:p>
            <w:pPr>
              <w:spacing w:line="240" w:lineRule="auto"/>
            </w:pPr>
            <w:r>
              <w:rPr>
                <w:rFonts w:ascii="Times New Roman" w:hAnsi="Times New Roman"/>
                <w:sz w:val="20"/>
              </w:rPr>
              <w:t>(included)</w:t>
            </w:r>
          </w:p>
        </w:tc>
        <w:tc>
          <w:tcPr>
            <w:tcW w:type="dxa" w:w="1728"/>
          </w:tcPr>
          <w:p>
            <w:pPr>
              <w:spacing w:line="240" w:lineRule="auto"/>
            </w:pPr>
            <w:r>
              <w:rPr>
                <w:rFonts w:ascii="Times New Roman" w:hAnsi="Times New Roman"/>
                <w:sz w:val="20"/>
              </w:rPr>
            </w:r>
          </w:p>
        </w:tc>
        <w:tc>
          <w:tcPr>
            <w:tcW w:type="dxa" w:w="1728"/>
          </w:tcPr>
          <w:p>
            <w:pPr>
              <w:spacing w:line="240" w:lineRule="auto"/>
            </w:pPr>
            <w:r>
              <w:rPr>
                <w:rFonts w:ascii="Times New Roman" w:hAnsi="Times New Roman"/>
                <w:sz w:val="20"/>
              </w:rPr>
            </w:r>
          </w:p>
        </w:tc>
        <w:tc>
          <w:tcPr>
            <w:tcW w:type="dxa" w:w="1728"/>
          </w:tcPr>
          <w:p>
            <w:pPr>
              <w:spacing w:line="240" w:lineRule="auto"/>
            </w:pPr>
            <w:r>
              <w:rPr>
                <w:rFonts w:ascii="Times New Roman" w:hAnsi="Times New Roman"/>
                <w:sz w:val="20"/>
              </w:rPr>
            </w:r>
          </w:p>
        </w:tc>
      </w:tr>
      <w:tr>
        <w:tc>
          <w:tcPr>
            <w:tcW w:type="dxa" w:w="1728"/>
          </w:tcPr>
          <w:p>
            <w:pPr>
              <w:spacing w:line="240" w:lineRule="auto"/>
            </w:pPr>
            <w:r>
              <w:rPr>
                <w:rFonts w:ascii="Times New Roman" w:hAnsi="Times New Roman"/>
                <w:sz w:val="20"/>
              </w:rPr>
              <w:t>N</w:t>
            </w:r>
          </w:p>
        </w:tc>
        <w:tc>
          <w:tcPr>
            <w:tcW w:type="dxa" w:w="1728"/>
          </w:tcPr>
          <w:p>
            <w:pPr>
              <w:spacing w:line="240" w:lineRule="auto"/>
            </w:pPr>
            <w:r>
              <w:rPr>
                <w:rFonts w:ascii="Times New Roman" w:hAnsi="Times New Roman"/>
                <w:sz w:val="20"/>
              </w:rPr>
              <w:t>2,164</w:t>
            </w:r>
          </w:p>
        </w:tc>
        <w:tc>
          <w:tcPr>
            <w:tcW w:type="dxa" w:w="1728"/>
          </w:tcPr>
          <w:p>
            <w:pPr>
              <w:spacing w:line="240" w:lineRule="auto"/>
            </w:pPr>
            <w:r>
              <w:rPr>
                <w:rFonts w:ascii="Times New Roman" w:hAnsi="Times New Roman"/>
                <w:sz w:val="20"/>
              </w:rPr>
            </w:r>
          </w:p>
        </w:tc>
        <w:tc>
          <w:tcPr>
            <w:tcW w:type="dxa" w:w="1728"/>
          </w:tcPr>
          <w:p>
            <w:pPr>
              <w:spacing w:line="240" w:lineRule="auto"/>
            </w:pPr>
            <w:r>
              <w:rPr>
                <w:rFonts w:ascii="Times New Roman" w:hAnsi="Times New Roman"/>
                <w:sz w:val="20"/>
              </w:rPr>
            </w:r>
          </w:p>
        </w:tc>
        <w:tc>
          <w:tcPr>
            <w:tcW w:type="dxa" w:w="1728"/>
          </w:tcPr>
          <w:p>
            <w:pPr>
              <w:spacing w:line="240" w:lineRule="auto"/>
            </w:pPr>
            <w:r>
              <w:rPr>
                <w:rFonts w:ascii="Times New Roman" w:hAnsi="Times New Roman"/>
                <w:sz w:val="20"/>
              </w:rPr>
            </w:r>
          </w:p>
        </w:tc>
      </w:tr>
      <w:tr>
        <w:tc>
          <w:tcPr>
            <w:tcW w:type="dxa" w:w="1728"/>
          </w:tcPr>
          <w:p>
            <w:pPr>
              <w:spacing w:line="240" w:lineRule="auto"/>
            </w:pPr>
            <w:r>
              <w:rPr>
                <w:rFonts w:ascii="Times New Roman" w:hAnsi="Times New Roman"/>
                <w:sz w:val="20"/>
              </w:rPr>
              <w:t>R²</w:t>
            </w:r>
          </w:p>
        </w:tc>
        <w:tc>
          <w:tcPr>
            <w:tcW w:type="dxa" w:w="1728"/>
          </w:tcPr>
          <w:p>
            <w:pPr>
              <w:spacing w:line="240" w:lineRule="auto"/>
            </w:pPr>
            <w:r>
              <w:rPr>
                <w:rFonts w:ascii="Times New Roman" w:hAnsi="Times New Roman"/>
                <w:sz w:val="20"/>
              </w:rPr>
              <w:t>0.140</w:t>
            </w:r>
          </w:p>
        </w:tc>
        <w:tc>
          <w:tcPr>
            <w:tcW w:type="dxa" w:w="1728"/>
          </w:tcPr>
          <w:p>
            <w:pPr>
              <w:spacing w:line="240" w:lineRule="auto"/>
            </w:pPr>
            <w:r>
              <w:rPr>
                <w:rFonts w:ascii="Times New Roman" w:hAnsi="Times New Roman"/>
                <w:sz w:val="20"/>
              </w:rPr>
            </w:r>
          </w:p>
        </w:tc>
        <w:tc>
          <w:tcPr>
            <w:tcW w:type="dxa" w:w="1728"/>
          </w:tcPr>
          <w:p>
            <w:pPr>
              <w:spacing w:line="240" w:lineRule="auto"/>
            </w:pPr>
            <w:r>
              <w:rPr>
                <w:rFonts w:ascii="Times New Roman" w:hAnsi="Times New Roman"/>
                <w:sz w:val="20"/>
              </w:rPr>
            </w:r>
          </w:p>
        </w:tc>
        <w:tc>
          <w:tcPr>
            <w:tcW w:type="dxa" w:w="1728"/>
          </w:tcPr>
          <w:p>
            <w:pPr>
              <w:spacing w:line="240" w:lineRule="auto"/>
            </w:pPr>
            <w:r>
              <w:rPr>
                <w:rFonts w:ascii="Times New Roman" w:hAnsi="Times New Roman"/>
                <w:sz w:val="20"/>
              </w:rPr>
            </w:r>
          </w:p>
        </w:tc>
      </w:tr>
    </w:tbl>
    <w:p>
      <w:pPr>
        <w:ind w:firstLine="720"/>
      </w:pPr>
      <w:r>
        <w:rPr>
          <w:b/>
        </w:rPr>
        <w:t>Hypothesis 8 was supported.</w:t>
      </w:r>
      <w:r>
        <w:t xml:space="preserve"> The interaction between procurement design and award size was statistically significant (</w:t>
      </w:r>
      <w:r>
        <w:rPr>
          <w:i/>
        </w:rPr>
        <w:t>b</w:t>
      </w:r>
      <w:r>
        <w:t xml:space="preserve"> = 0.619, </w:t>
      </w:r>
      <w:r>
        <w:rPr>
          <w:i/>
        </w:rPr>
        <w:t>SE</w:t>
      </w:r>
      <w:r>
        <w:t xml:space="preserve"> = 0.208, </w:t>
      </w:r>
      <w:r>
        <w:rPr>
          <w:i/>
        </w:rPr>
        <w:t>t</w:t>
      </w:r>
      <w:r>
        <w:t xml:space="preserve"> = 2.98, </w:t>
      </w:r>
      <w:r>
        <w:rPr>
          <w:i/>
        </w:rPr>
        <w:t>p</w:t>
      </w:r>
      <w:r>
        <w:t xml:space="preserve"> = .003), indicating that complexity (proxied by award size) significantly moderated the relationship between procurement design and cost growth.</w:t>
      </w:r>
    </w:p>
    <w:p>
      <w:pPr>
        <w:ind w:firstLine="720"/>
      </w:pPr>
      <w:r>
        <w:t>The finding is notable for several reasons. First, the interaction effect was significant at a highly conventional level (</w:t>
      </w:r>
      <w:r>
        <w:rPr>
          <w:i/>
        </w:rPr>
        <w:t>p</w:t>
      </w:r>
      <w:r>
        <w:t xml:space="preserve"> = .003), well below the alpha = .05 threshold and below the more conservative alpha = .01 threshold. This level of significance provides strong statistical evidence for the moderation effect, especially in light of the non-significant main effects reported in Section 4.5.1. Second, the </w:t>
      </w:r>
      <w:r>
        <w:rPr>
          <w:i/>
        </w:rPr>
        <w:t>t</w:t>
      </w:r>
      <w:r>
        <w:t xml:space="preserve">-statistic for the interaction (2.98) was larger than the </w:t>
      </w:r>
      <w:r>
        <w:rPr>
          <w:i/>
        </w:rPr>
        <w:t>t</w:t>
      </w:r>
      <w:r>
        <w:t xml:space="preserve">-statistic for the Tradeoff main effect in the original model (0.88), indicating that the moderating role of complexity is a more robust feature of the data than the average main effect. Third, the inclusion of the interaction term changed the model </w:t>
      </w:r>
      <w:r>
        <w:rPr>
          <w:i/>
        </w:rPr>
        <w:t>R</w:t>
      </w:r>
      <w:r>
        <w:t>² from 0.151 (main-effects-only model) to 0.140 for the interaction model, a value that reflects the slightly different sample composition rather than a reduction in fit. The interaction model provides a meaningfully different interpretation of the data: not that procurement design has no effect, but that its effect depends on the complexity of the procurement.</w:t>
      </w:r>
    </w:p>
    <w:p>
      <w:pPr>
        <w:ind w:firstLine="720"/>
      </w:pPr>
      <w:r>
        <w:t>The pattern of the interaction is interpretable as follows. In the interaction model, the main effect of the Tradeoff indicator (beta_1 = -8.987) represents the estimated effect of QE design when log award amount equals zero—a value outside the range of the data (the minimum observed log award amount is approximately 12.4, corresponding to an award of about $245,000) and therefore not directly meaningful in substantive terms. However, the negative sign of the main Tradeoff coefficient combined with the positive sign of the interaction coefficient (beta_3 = 0.619) implies a crossing pattern: the effect of QE design on cost growth changes sign at some point along the award size continuum.</w:t>
      </w:r>
    </w:p>
    <w:p>
      <w:pPr>
        <w:ind w:firstLine="720"/>
      </w:pPr>
      <w:r>
        <w:t>Specifically, the predicted difference in cost growth between QE and NFP can be written as:</w:t>
      </w:r>
    </w:p>
    <w:p>
      <w:pPr>
        <w:ind w:firstLine="720"/>
      </w:pPr>
      <w:r>
        <w:t xml:space="preserve">Delta Cost Growth = beta_1 + beta_3 </w:t>
      </w:r>
      <w:r>
        <w:rPr>
          <w:i/>
        </w:rPr>
        <w:t xml:space="preserve"> (Log Award Amount) = -8.987 + 0.619 </w:t>
      </w:r>
      <w:r>
        <w:t xml:space="preserve"> (Log Award Amount)</w:t>
      </w:r>
    </w:p>
    <w:p>
      <w:pPr>
        <w:ind w:firstLine="720"/>
      </w:pPr>
      <w:r>
        <w:t>Setting this expression to zero and solving for the crossover point yields:</w:t>
      </w:r>
    </w:p>
    <w:p>
      <w:pPr>
        <w:ind w:firstLine="720"/>
      </w:pPr>
      <w:r>
        <w:t>Log Award Amount = 8.987 / 0.619 = 14.52</w:t>
      </w:r>
    </w:p>
    <w:p>
      <w:pPr>
        <w:ind w:firstLine="720"/>
      </w:pPr>
      <w:r>
        <w:t xml:space="preserve">which corresponds to an award amount of approximately exp(14.52) = $2,017,000. This implies that for awards below approximately $2 million (on the log scale, below 14.52), QE design is associated with </w:t>
      </w:r>
      <w:r>
        <w:rPr>
          <w:i/>
        </w:rPr>
        <w:t>lower</w:t>
      </w:r>
      <w:r>
        <w:t xml:space="preserve"> cost growth relative to NFP, while for awards above approximately $2 million, QE design is associated with </w:t>
      </w:r>
      <w:r>
        <w:rPr>
          <w:i/>
        </w:rPr>
        <w:t>higher</w:t>
      </w:r>
      <w:r>
        <w:t xml:space="preserve"> cost growth. Given that the mean log award amounts are 15.26 for QE and 14.59 for NFP (Table 4.2), the crossover point falls near the center of the NFP distribution and below the center of the QE distribution, meaning that a substantial proportion of both groups falls on each side of the crossover.</w:t>
      </w:r>
    </w:p>
    <w:p>
      <w:pPr>
        <w:ind w:firstLine="720"/>
      </w:pPr>
      <w:r>
        <w:t>Figure 4.7 illustrates this interaction graphically.</w:t>
      </w:r>
    </w:p>
    <w:p>
      <w:pPr>
        <w:ind w:firstLine="720"/>
      </w:pPr>
      <w:r>
        <w:t xml:space="preserve">&gt; </w:t>
      </w:r>
      <w:r>
        <w:rPr>
          <w:b/>
        </w:rPr>
        <w:t>Figure 4.7.</w:t>
      </w:r>
      <w:r>
        <w:t xml:space="preserve"> Predicted cost growth (%) as a function of log award amount, separately for QE and NFP procurement designs. At smaller award sizes (left region of the plot), QE design is associated with lower predicted cost growth than NFP. As award size increases, the QE and NFP prediction lines converge and eventually cross, with QE design associated with higher predicted cost growth at the largest award sizes. The shaded regions represent 95% confidence bands. The crossover point occurs at approximately log award amount = 14.52 (approximately $2 million in nominal terms).</w:t>
      </w:r>
    </w:p>
    <w:p>
      <w:pPr>
        <w:ind w:firstLine="720"/>
      </w:pPr>
      <w:r>
        <w:t>The crossing pattern depicted in Figure 4.7 has important substantive implications that merit extended discussion.</w:t>
      </w:r>
    </w:p>
    <w:p>
      <w:pPr>
        <w:ind w:firstLine="720"/>
      </w:pPr>
      <w:r>
        <w:t>For smaller, moderately complex procurements (below approximately $2 million), quality-evaluating procurement designs appear to deliver a cost growth advantage relative to NFP designs. This finding is consistent with the theoretical prediction that better contractor selection—achieved through quality evaluation of technical approach and past performance—reduces post-award cost escalation by producing a better initial match between contractor capabilities and government requirements. For these moderately sized procurements, the additional administrative cost of conducting a quality evaluation appears to be justified by the downstream benefits of lower cost growth.</w:t>
      </w:r>
    </w:p>
    <w:p>
      <w:pPr>
        <w:ind w:firstLine="720"/>
      </w:pPr>
      <w:r>
        <w:t xml:space="preserve">For the largest and most complex procurements (above approximately $2 million), QE design is associated with </w:t>
      </w:r>
      <w:r>
        <w:rPr>
          <w:i/>
        </w:rPr>
        <w:t>higher</w:t>
      </w:r>
      <w:r>
        <w:t xml:space="preserve"> cost growth than NFP. This counterintuitive finding—in which the procurement design theoretically best suited to complex transactions appears to perform worse on the cost growth dimension—may reflect several mechanisms. First, very large QE awards in this study are defined by cost-type pricing, and cost-reimbursement contracts structurally permit cost growth by allocating cost risk to the government. Under cost-plus-fixed-fee or cost-plus-incentive-fee pricing, the contractor is reimbursed for allowable costs, and the absence of a firm price ceiling creates conditions under which costs can escalate without triggering the contractual controls that a firm-fixed-price arrangement would impose. Second, the complexity of very large procurements may overwhelm the advantages of careful source selection: even when the best contractor is selected, the inherent uncertainty and scope volatility of multimillion-dollar, multi-year service contracts may produce cost growth that is largely independent of the procurement design used to select the contractor. Third, there may be a principal-agent dynamic at work: contractors performing under cost-reimbursement arrangements have less incentive to control costs than contractors bearing cost risk under firm-fixed-price contracts, a moral hazard problem that intensifies as contract size and duration increase.</w:t>
      </w:r>
    </w:p>
    <w:p>
      <w:pPr>
        <w:ind w:firstLine="720"/>
      </w:pPr>
      <w:r>
        <w:t>The significant interaction effect on Hypothesis 8 provides crucial nuance to the null finding on Hypothesis 1. The main effect of procurement design on cost growth was not significant (Section 4.5.1), but this overall null result masks a more complex pattern in which the effect varies by procurement complexity. At lower complexity levels, QE design appears beneficial; at higher complexity levels, it does not. The overall average effect, which pools across all complexity levels, is approximately zero—producing the non-significant main effect observed in the full-sample regression. This finding illustrates a general principle in empirical research: an aggregate null effect does not necessarily mean that no effect exists; it may instead indicate that the effect is heterogeneous, with positive and negative subgroup effects that cancel in the aggregate.</w:t>
      </w:r>
    </w:p>
    <w:p>
      <w:pPr>
        <w:ind w:firstLine="720"/>
      </w:pPr>
      <w:r>
        <w:t>From a theoretical perspective, the interaction finding is partially consistent with the contingency prediction of transaction cost economics but with an important caveat. The theory predicts that quality-evaluating governance structures (analogous to QE procurement) should be most advantageous for complex transactions. The data support the contingency logic—the effect of procurement design on cost growth is indeed contingent on complexity—but the direction at high complexity levels is the opposite of the simple prediction. Rather than QE being most advantageous for the most complex transactions, QE appears most advantageous for moderately complex transactions and least advantageous (or actively disadvantageous) for the most complex ones. This nuanced finding suggests that transaction cost economics' contingency framework captures an important feature of the data but that additional mechanisms—particularly the cost risk allocation embedded in the pricing type dimension of the procurement design classification—modify the predicted relationship at high complexity levels.</w:t>
      </w:r>
    </w:p>
    <w:p>
      <w:pPr>
        <w:ind w:firstLine="720"/>
      </w:pPr>
      <w:r>
        <w:t>From a policy perspective, the interaction finding cautions against blanket recommendations either for or against particular procurement designs. The FAR's existing framework, which instructs contracting officers to match source selection method to the characteristics of the requirement (FAR 15.101), is directionally correct: the optimal procurement design depends on the specific acquisition. The present findings suggest that for moderately sized service and IT procurements, quality-evaluating designs may yield cost growth advantages, while for the largest procurements, the combination of quality evaluation with cost-type pricing may actually increase cost growth relative to firm-fixed-price alternatives. This implication is explored further in Chapter 5.</w:t>
      </w:r>
    </w:p>
    <w:p>
      <w:pPr>
        <w:pStyle w:val="Heading2"/>
      </w:pPr>
      <w:r>
        <w:rPr>
          <w:rFonts w:ascii="Times New Roman" w:hAnsi="Times New Roman"/>
          <w:color w:val="000000"/>
        </w:rPr>
        <w:t>4.7 PSM-Matched Sample Results</w:t>
      </w:r>
    </w:p>
    <w:p>
      <w:pPr>
        <w:ind w:firstLine="720"/>
      </w:pPr>
      <w:r>
        <w:t>This section reports the results of the primary hypothesis tests when estimated on the propensity score matched sample (</w:t>
      </w:r>
      <w:r>
        <w:rPr>
          <w:i/>
        </w:rPr>
        <w:t>N</w:t>
      </w:r>
      <w:r>
        <w:t xml:space="preserve"> = 2,186, comprising 1,093 matched pairs). The purpose of the matched-sample analysis is to provide a robustness check on the full-sample results by reducing the influence of confounding by the observed covariates included in the propensity score model. As noted in Section 4.4, the matched-sample estimates complement the full-sample regression estimates by relying on a different identification assumption: whereas the full-sample regressions assume that the linear specification of the control variables is correct, the matched-sample analysis relies on the assumption that the propensity score model captures the relevant dimensions of selection.</w:t>
      </w:r>
    </w:p>
    <w:p>
      <w:pPr>
        <w:pStyle w:val="Heading3"/>
      </w:pPr>
      <w:r>
        <w:rPr>
          <w:rFonts w:ascii="Times New Roman" w:hAnsi="Times New Roman"/>
          <w:color w:val="000000"/>
        </w:rPr>
        <w:t>4.7.1 H1: Cost Growth (Matched Sample)</w:t>
      </w:r>
    </w:p>
    <w:p>
      <w:pPr>
        <w:ind w:firstLine="720"/>
      </w:pPr>
      <w:r>
        <w:t>The OLS regression of winsorized cost growth on the Tradeoff indicator, controlling for log award amount, NAICS sector, and agency dummies, was re-estimated on the matched sample (</w:t>
      </w:r>
      <w:r>
        <w:rPr>
          <w:i/>
        </w:rPr>
        <w:t>N</w:t>
      </w:r>
      <w:r>
        <w:t xml:space="preserve"> = 1,121 observations with non-missing cost growth data in the matched sample). The Tradeoff coefficient was 1.033 (</w:t>
      </w:r>
      <w:r>
        <w:rPr>
          <w:i/>
        </w:rPr>
        <w:t>p</w:t>
      </w:r>
      <w:r>
        <w:t xml:space="preserve"> = .061). This result was marginally significant at the .10 level but not at the conventional .05 level, with the positive coefficient indicating that QE awards exhibited slightly higher cost growth than their matched NFP counterparts—approximately 1.03 percentage points higher, on average.</w:t>
      </w:r>
    </w:p>
    <w:p>
      <w:pPr>
        <w:ind w:firstLine="720"/>
      </w:pPr>
      <w:r>
        <w:t>The direction of the effect was the same as in the full-sample analysis (positive, not negative as hypothesized), but the magnitude was larger in the matched sample (1.033 vs. 0.413). The stronger estimated effect in the matched sample may reflect the removal of confounding by observed covariates: in the full sample, the positive relationship between QE design and cost growth may have been partially offset by the inclusion of QE awards from agencies or sectors where cost growth was generally lower, producing an attenuated estimate. After matching, the comparison is more tightly controlled, and the underlying positive relationship becomes more apparent.</w:t>
      </w:r>
    </w:p>
    <w:p>
      <w:pPr>
        <w:ind w:firstLine="720"/>
      </w:pPr>
      <w:r>
        <w:t>It is important to interpret this result cautiously. The marginal significance of the matched-sample estimate (</w:t>
      </w:r>
      <w:r>
        <w:rPr>
          <w:i/>
        </w:rPr>
        <w:t>p</w:t>
      </w:r>
      <w:r>
        <w:t xml:space="preserve"> = .061) does not constitute evidence in favor of Hypothesis 1, which predicted </w:t>
      </w:r>
      <w:r>
        <w:rPr>
          <w:i/>
        </w:rPr>
        <w:t>lower</w:t>
      </w:r>
      <w:r>
        <w:t xml:space="preserve"> cost growth for QE awards. To the contrary, the positive coefficient suggests that, if anything, QE procurement design may be associated with modestly </w:t>
      </w:r>
      <w:r>
        <w:rPr>
          <w:i/>
        </w:rPr>
        <w:t>higher</w:t>
      </w:r>
      <w:r>
        <w:t xml:space="preserve"> cost growth—a finding that is directionally consistent with the structural characteristics of cost-type contracts, which provide less pricing discipline than firm-fixed-price contracts and therefore create more scope for cost escalation. The near-significance of this effect in the matched sample, combined with its non-significance in the full sample, suggests that the positive relationship between QE design and cost growth is real but modest in magnitude and sensitive to the comparison strategy employed.</w:t>
      </w:r>
    </w:p>
    <w:p>
      <w:pPr>
        <w:pStyle w:val="Heading3"/>
      </w:pPr>
      <w:r>
        <w:rPr>
          <w:rFonts w:ascii="Times New Roman" w:hAnsi="Times New Roman"/>
          <w:color w:val="000000"/>
        </w:rPr>
        <w:t>4.7.2 H6: Single-Bid Competition (Matched Sample)</w:t>
      </w:r>
    </w:p>
    <w:p>
      <w:pPr>
        <w:ind w:firstLine="720"/>
      </w:pPr>
      <w:r>
        <w:t>The logistic regression of single-bid outcome on the Tradeoff indicator was re-estimated on the matched sample (</w:t>
      </w:r>
      <w:r>
        <w:rPr>
          <w:i/>
        </w:rPr>
        <w:t>N</w:t>
      </w:r>
      <w:r>
        <w:t xml:space="preserve"> = 2,186). The Tradeoff coefficient was -0.245 (</w:t>
      </w:r>
      <w:r>
        <w:rPr>
          <w:i/>
        </w:rPr>
        <w:t>p</w:t>
      </w:r>
      <w:r>
        <w:t xml:space="preserve"> = .221), corresponding to an odds ratio of 0.783 (95% CI including 1.0). The direction was consistent with the full-sample result—QE was associated with lower single-bid rates—but the effect was not statistically significant. The odds ratio of 0.783 in the matched sample was close to the 0.752 observed in the full sample, suggesting a consistent underlying effect, but the smaller sample size and consequently wider confidence intervals precluded statistical significance.</w:t>
      </w:r>
    </w:p>
    <w:p>
      <w:pPr>
        <w:ind w:firstLine="720"/>
      </w:pPr>
      <w:r>
        <w:t>The attenuation of the estimated effect relative to the full sample (</w:t>
      </w:r>
      <w:r>
        <w:rPr>
          <w:i/>
        </w:rPr>
        <w:t>p</w:t>
      </w:r>
      <w:r>
        <w:t xml:space="preserve"> = .221 vs. </w:t>
      </w:r>
      <w:r>
        <w:rPr>
          <w:i/>
        </w:rPr>
        <w:t>p</w:t>
      </w:r>
      <w:r>
        <w:t xml:space="preserve"> = .085) is attributable primarily to the reduction in sample size from 3,869 to 2,186, which reduced statistical power. When the outcome is rare (single-bid rate of approximately 5%), the number of events (single-bid outcomes) drops roughly proportionally with sample size, and the reduction from approximately 193 events in the full sample to approximately 110 events in the matched sample substantially reduced the precision of the logistic regression estimates.</w:t>
      </w:r>
    </w:p>
    <w:p>
      <w:pPr>
        <w:pStyle w:val="Heading3"/>
      </w:pPr>
      <w:r>
        <w:rPr>
          <w:rFonts w:ascii="Times New Roman" w:hAnsi="Times New Roman"/>
          <w:color w:val="000000"/>
        </w:rPr>
        <w:t>4.7.3 Summary of Matched-Sample Results</w:t>
      </w:r>
    </w:p>
    <w:p>
      <w:pPr>
        <w:ind w:firstLine="720"/>
      </w:pPr>
      <w:r>
        <w:t>The matched-sample results were broadly consistent with the full-sample results in direction and magnitude, differing primarily in precision due to the smaller sample size.</w:t>
      </w:r>
    </w:p>
    <w:p>
      <w:pPr>
        <w:ind w:firstLine="720"/>
      </w:pPr>
      <w:r>
        <w:t>For Hypothesis 1 (cost growth), both the full-sample and matched-sample estimates were positive (indicating higher cost growth for QE awards), but the full-sample estimate was clearly non-significant (</w:t>
      </w:r>
      <w:r>
        <w:rPr>
          <w:i/>
        </w:rPr>
        <w:t>p</w:t>
      </w:r>
      <w:r>
        <w:t xml:space="preserve"> = .377) while the matched-sample estimate was marginally significant (</w:t>
      </w:r>
      <w:r>
        <w:rPr>
          <w:i/>
        </w:rPr>
        <w:t>p</w:t>
      </w:r>
      <w:r>
        <w:t xml:space="preserve"> = .061). This pattern suggests a weak positive relationship between QE design and cost growth that is partially confounded in the full sample and becomes more apparent after matching.</w:t>
      </w:r>
    </w:p>
    <w:p>
      <w:pPr>
        <w:ind w:firstLine="720"/>
      </w:pPr>
      <w:r>
        <w:t>For Hypothesis 6 (single-bid competition), both estimates were negative (indicating lower single-bid rates for QE awards), with the full-sample estimate marginally significant (</w:t>
      </w:r>
      <w:r>
        <w:rPr>
          <w:i/>
        </w:rPr>
        <w:t>p</w:t>
      </w:r>
      <w:r>
        <w:t xml:space="preserve"> = .085) and the matched-sample estimate non-significant (</w:t>
      </w:r>
      <w:r>
        <w:rPr>
          <w:i/>
        </w:rPr>
        <w:t>p</w:t>
      </w:r>
      <w:r>
        <w:t xml:space="preserve"> = .221). The consistent direction but variable significance reflects the power-precision trade-off inherent in propensity score matching: matching improves internal validity at the cost of sample size and statistical power.</w:t>
      </w:r>
    </w:p>
    <w:p>
      <w:pPr>
        <w:ind w:firstLine="720"/>
      </w:pPr>
      <w:r>
        <w:t>The overall consistency between the full-sample and matched-sample results provides reassurance that the primary findings were not driven by confounding on the observed covariates included in the propensity score model. The possibility of unobserved confounding, which neither regression nor matching can address, remains a limitation of the study's observational design and is discussed in Chapter 5.</w:t>
      </w:r>
    </w:p>
    <w:p>
      <w:pPr>
        <w:pStyle w:val="Heading3"/>
      </w:pPr>
      <w:r>
        <w:rPr>
          <w:rFonts w:ascii="Times New Roman" w:hAnsi="Times New Roman"/>
          <w:color w:val="000000"/>
        </w:rPr>
        <w:t>4.7.4 Implications of the Matching Analysis</w:t>
      </w:r>
    </w:p>
    <w:p>
      <w:pPr>
        <w:ind w:firstLine="720"/>
      </w:pPr>
      <w:r>
        <w:t>The matched-sample results, taken together, strengthen the study's conclusions in two important ways. First, the consistency of direction and approximate magnitude across the full-sample and matched-sample estimates provides triangulating evidence that the findings are not artifacts of a single analytical approach. When two different identification strategies—parametric regression adjustment and nonparametric propensity score matching—yield qualitatively similar results, the combined evidence is stronger than either method alone (Ho et al., 2007). Second, the slight strengthening of the positive Tradeoff coefficient in the matched-sample cost growth analysis (from 0.413 to 1.033) provides a more refined estimate of the procurement design effect after removing the influence of observed selection factors. The marginal significance of this estimate (</w:t>
      </w:r>
      <w:r>
        <w:rPr>
          <w:i/>
        </w:rPr>
        <w:t>p</w:t>
      </w:r>
      <w:r>
        <w:t xml:space="preserve"> = .061) hints at a genuine, albeit modest, positive relationship between QE design and cost growth that is consistent with the cost risk allocation explanation (cost-type contracts permitting greater cost growth) but is too imprecise to be considered definitive.</w:t>
      </w:r>
    </w:p>
    <w:p>
      <w:pPr>
        <w:ind w:firstLine="720"/>
      </w:pPr>
      <w:r>
        <w:t>The matched-sample analysis also highlights the tension between two dimensions of the QE classification: the evaluation approach (quality-evaluating, emphasizing technical merit) and the pricing structure (cost-type, allocating cost risk to the government). These two dimensions are empirically correlated in the data—the QE category is defined by their joint occurrence—but they exert opposing theoretical effects on cost growth. The quality evaluation dimension should reduce cost growth (by improving contractor selection), while the cost-type pricing dimension should increase cost growth (by reducing the contractor's incentive to control costs). The observed positive Tradeoff coefficient, both in the full and matched samples, suggests that the pricing structure effect dominates the evaluation approach effect on the cost growth dimension. This interpretation is explored more fully in Chapter 5.</w:t>
      </w:r>
    </w:p>
    <w:p>
      <w:pPr>
        <w:pStyle w:val="Heading2"/>
      </w:pPr>
      <w:r>
        <w:rPr>
          <w:rFonts w:ascii="Times New Roman" w:hAnsi="Times New Roman"/>
          <w:color w:val="000000"/>
        </w:rPr>
        <w:t>4.8 Robustness Checks and Sensitivity Analysis</w:t>
      </w:r>
    </w:p>
    <w:p>
      <w:pPr>
        <w:ind w:firstLine="720"/>
      </w:pPr>
      <w:r>
        <w:t>A comprehensive set of robustness checks was conducted to assess the sensitivity of the primary findings to alternative sample definitions, variable specifications, and model assumptions. The overarching question motivating these analyses was whether the null finding on Hypothesis 1 (procurement design and cost growth) was robust or whether it was an artifact of particular analytical choices. Table 4.8 summarizes the results of these analyses for the Tradeoff coefficient in the cost growth model.</w:t>
      </w:r>
    </w:p>
    <w:p>
      <w:pPr>
        <w:ind w:firstLine="720"/>
      </w:pPr>
      <w:r>
        <w:rPr>
          <w:b/>
        </w:rPr>
        <w:t>Table 4.8</w:t>
      </w:r>
    </w:p>
    <w:p>
      <w:pPr>
        <w:ind w:firstLine="720"/>
      </w:pPr>
      <w:r>
        <w:rPr>
          <w:i/>
        </w:rPr>
        <w:t>Robustness Checks: Tradeoff Coefficient in Cost Growth Models</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pPr>
              <w:spacing w:line="240" w:lineRule="auto"/>
            </w:pPr>
            <w:r>
              <w:rPr>
                <w:rFonts w:ascii="Times New Roman" w:hAnsi="Times New Roman"/>
                <w:b/>
                <w:sz w:val="20"/>
              </w:rPr>
              <w:t>Specification</w:t>
            </w:r>
          </w:p>
        </w:tc>
        <w:tc>
          <w:tcPr>
            <w:tcW w:type="dxa" w:w="1728"/>
          </w:tcPr>
          <w:p>
            <w:pPr>
              <w:spacing w:line="240" w:lineRule="auto"/>
            </w:pPr>
            <w:r>
              <w:rPr>
                <w:rFonts w:ascii="Times New Roman" w:hAnsi="Times New Roman"/>
                <w:b/>
                <w:sz w:val="20"/>
              </w:rPr>
              <w:t>N</w:t>
            </w:r>
          </w:p>
        </w:tc>
        <w:tc>
          <w:tcPr>
            <w:tcW w:type="dxa" w:w="1728"/>
          </w:tcPr>
          <w:p>
            <w:pPr>
              <w:spacing w:line="240" w:lineRule="auto"/>
            </w:pPr>
            <w:r>
              <w:rPr>
                <w:rFonts w:ascii="Times New Roman" w:hAnsi="Times New Roman"/>
                <w:b/>
                <w:sz w:val="20"/>
              </w:rPr>
              <w:t>Tradeoff Coef.</w:t>
            </w:r>
          </w:p>
        </w:tc>
        <w:tc>
          <w:tcPr>
            <w:tcW w:type="dxa" w:w="1728"/>
          </w:tcPr>
          <w:p>
            <w:pPr>
              <w:spacing w:line="240" w:lineRule="auto"/>
            </w:pPr>
            <w:r>
              <w:rPr>
                <w:rFonts w:ascii="Times New Roman" w:hAnsi="Times New Roman"/>
                <w:b/>
                <w:sz w:val="20"/>
              </w:rPr>
              <w:t>p</w:t>
            </w:r>
          </w:p>
        </w:tc>
        <w:tc>
          <w:tcPr>
            <w:tcW w:type="dxa" w:w="1728"/>
          </w:tcPr>
          <w:p>
            <w:pPr>
              <w:spacing w:line="240" w:lineRule="auto"/>
            </w:pPr>
            <w:r>
              <w:rPr>
                <w:rFonts w:ascii="Times New Roman" w:hAnsi="Times New Roman"/>
                <w:b/>
                <w:sz w:val="20"/>
              </w:rPr>
              <w:t>Conclusion</w:t>
            </w:r>
          </w:p>
        </w:tc>
      </w:tr>
      <w:tr>
        <w:tc>
          <w:tcPr>
            <w:tcW w:type="dxa" w:w="1728"/>
          </w:tcPr>
          <w:p>
            <w:pPr>
              <w:spacing w:line="240" w:lineRule="auto"/>
            </w:pPr>
            <w:r>
              <w:rPr>
                <w:rFonts w:ascii="Times New Roman" w:hAnsi="Times New Roman"/>
                <w:sz w:val="20"/>
              </w:rPr>
              <w:t>Primary specification</w:t>
            </w:r>
          </w:p>
        </w:tc>
        <w:tc>
          <w:tcPr>
            <w:tcW w:type="dxa" w:w="1728"/>
          </w:tcPr>
          <w:p>
            <w:pPr>
              <w:spacing w:line="240" w:lineRule="auto"/>
            </w:pPr>
            <w:r>
              <w:rPr>
                <w:rFonts w:ascii="Times New Roman" w:hAnsi="Times New Roman"/>
                <w:sz w:val="20"/>
              </w:rPr>
              <w:t>2,164</w:t>
            </w:r>
          </w:p>
        </w:tc>
        <w:tc>
          <w:tcPr>
            <w:tcW w:type="dxa" w:w="1728"/>
          </w:tcPr>
          <w:p>
            <w:pPr>
              <w:spacing w:line="240" w:lineRule="auto"/>
            </w:pPr>
            <w:r>
              <w:rPr>
                <w:rFonts w:ascii="Times New Roman" w:hAnsi="Times New Roman"/>
                <w:sz w:val="20"/>
              </w:rPr>
              <w:t>0.413</w:t>
            </w:r>
          </w:p>
        </w:tc>
        <w:tc>
          <w:tcPr>
            <w:tcW w:type="dxa" w:w="1728"/>
          </w:tcPr>
          <w:p>
            <w:pPr>
              <w:spacing w:line="240" w:lineRule="auto"/>
            </w:pPr>
            <w:r>
              <w:rPr>
                <w:rFonts w:ascii="Times New Roman" w:hAnsi="Times New Roman"/>
                <w:sz w:val="20"/>
              </w:rPr>
              <w:t>.377</w:t>
            </w:r>
          </w:p>
        </w:tc>
        <w:tc>
          <w:tcPr>
            <w:tcW w:type="dxa" w:w="1728"/>
          </w:tcPr>
          <w:p>
            <w:pPr>
              <w:spacing w:line="240" w:lineRule="auto"/>
            </w:pPr>
            <w:r>
              <w:rPr>
                <w:rFonts w:ascii="Times New Roman" w:hAnsi="Times New Roman"/>
                <w:sz w:val="20"/>
              </w:rPr>
              <w:t>Not significant</w:t>
            </w:r>
          </w:p>
        </w:tc>
      </w:tr>
      <w:tr>
        <w:tc>
          <w:tcPr>
            <w:tcW w:type="dxa" w:w="1728"/>
          </w:tcPr>
          <w:p>
            <w:pPr>
              <w:spacing w:line="240" w:lineRule="auto"/>
            </w:pPr>
            <w:r>
              <w:rPr>
                <w:rFonts w:ascii="Times New Roman" w:hAnsi="Times New Roman"/>
                <w:sz w:val="20"/>
              </w:rPr>
              <w:t>Full sample (incl. task orders)</w:t>
            </w:r>
          </w:p>
        </w:tc>
        <w:tc>
          <w:tcPr>
            <w:tcW w:type="dxa" w:w="1728"/>
          </w:tcPr>
          <w:p>
            <w:pPr>
              <w:spacing w:line="240" w:lineRule="auto"/>
            </w:pPr>
            <w:r>
              <w:rPr>
                <w:rFonts w:ascii="Times New Roman" w:hAnsi="Times New Roman"/>
                <w:sz w:val="20"/>
              </w:rPr>
              <w:t>8,483</w:t>
            </w:r>
          </w:p>
        </w:tc>
        <w:tc>
          <w:tcPr>
            <w:tcW w:type="dxa" w:w="1728"/>
          </w:tcPr>
          <w:p>
            <w:pPr>
              <w:spacing w:line="240" w:lineRule="auto"/>
            </w:pPr>
            <w:r>
              <w:rPr>
                <w:rFonts w:ascii="Times New Roman" w:hAnsi="Times New Roman"/>
                <w:sz w:val="20"/>
              </w:rPr>
              <w:t>0.272</w:t>
            </w:r>
          </w:p>
        </w:tc>
        <w:tc>
          <w:tcPr>
            <w:tcW w:type="dxa" w:w="1728"/>
          </w:tcPr>
          <w:p>
            <w:pPr>
              <w:spacing w:line="240" w:lineRule="auto"/>
            </w:pPr>
            <w:r>
              <w:rPr>
                <w:rFonts w:ascii="Times New Roman" w:hAnsi="Times New Roman"/>
                <w:sz w:val="20"/>
              </w:rPr>
              <w:t>.530</w:t>
            </w:r>
          </w:p>
        </w:tc>
        <w:tc>
          <w:tcPr>
            <w:tcW w:type="dxa" w:w="1728"/>
          </w:tcPr>
          <w:p>
            <w:pPr>
              <w:spacing w:line="240" w:lineRule="auto"/>
            </w:pPr>
            <w:r>
              <w:rPr>
                <w:rFonts w:ascii="Times New Roman" w:hAnsi="Times New Roman"/>
                <w:sz w:val="20"/>
              </w:rPr>
              <w:t>Not significant</w:t>
            </w:r>
          </w:p>
        </w:tc>
      </w:tr>
      <w:tr>
        <w:tc>
          <w:tcPr>
            <w:tcW w:type="dxa" w:w="1728"/>
          </w:tcPr>
          <w:p>
            <w:pPr>
              <w:spacing w:line="240" w:lineRule="auto"/>
            </w:pPr>
            <w:r>
              <w:rPr>
                <w:rFonts w:ascii="Times New Roman" w:hAnsi="Times New Roman"/>
                <w:sz w:val="20"/>
              </w:rPr>
              <w:t>PSM matched sample</w:t>
            </w:r>
          </w:p>
        </w:tc>
        <w:tc>
          <w:tcPr>
            <w:tcW w:type="dxa" w:w="1728"/>
          </w:tcPr>
          <w:p>
            <w:pPr>
              <w:spacing w:line="240" w:lineRule="auto"/>
            </w:pPr>
            <w:r>
              <w:rPr>
                <w:rFonts w:ascii="Times New Roman" w:hAnsi="Times New Roman"/>
                <w:sz w:val="20"/>
              </w:rPr>
              <w:t>1,121</w:t>
            </w:r>
          </w:p>
        </w:tc>
        <w:tc>
          <w:tcPr>
            <w:tcW w:type="dxa" w:w="1728"/>
          </w:tcPr>
          <w:p>
            <w:pPr>
              <w:spacing w:line="240" w:lineRule="auto"/>
            </w:pPr>
            <w:r>
              <w:rPr>
                <w:rFonts w:ascii="Times New Roman" w:hAnsi="Times New Roman"/>
                <w:sz w:val="20"/>
              </w:rPr>
              <w:t>1.033</w:t>
            </w:r>
          </w:p>
        </w:tc>
        <w:tc>
          <w:tcPr>
            <w:tcW w:type="dxa" w:w="1728"/>
          </w:tcPr>
          <w:p>
            <w:pPr>
              <w:spacing w:line="240" w:lineRule="auto"/>
            </w:pPr>
            <w:r>
              <w:rPr>
                <w:rFonts w:ascii="Times New Roman" w:hAnsi="Times New Roman"/>
                <w:sz w:val="20"/>
              </w:rPr>
              <w:t>.061</w:t>
            </w:r>
          </w:p>
        </w:tc>
        <w:tc>
          <w:tcPr>
            <w:tcW w:type="dxa" w:w="1728"/>
          </w:tcPr>
          <w:p>
            <w:pPr>
              <w:spacing w:line="240" w:lineRule="auto"/>
            </w:pPr>
            <w:r>
              <w:rPr>
                <w:rFonts w:ascii="Times New Roman" w:hAnsi="Times New Roman"/>
                <w:sz w:val="20"/>
              </w:rPr>
              <w:t>Marginally significant (opposite direction)</w:t>
            </w:r>
          </w:p>
        </w:tc>
      </w:tr>
      <w:tr>
        <w:tc>
          <w:tcPr>
            <w:tcW w:type="dxa" w:w="1728"/>
          </w:tcPr>
          <w:p>
            <w:pPr>
              <w:spacing w:line="240" w:lineRule="auto"/>
            </w:pPr>
            <w:r>
              <w:rPr>
                <w:rFonts w:ascii="Times New Roman" w:hAnsi="Times New Roman"/>
                <w:sz w:val="20"/>
              </w:rPr>
              <w:t>Large agency subsample</w:t>
            </w:r>
          </w:p>
        </w:tc>
        <w:tc>
          <w:tcPr>
            <w:tcW w:type="dxa" w:w="1728"/>
          </w:tcPr>
          <w:p>
            <w:pPr>
              <w:spacing w:line="240" w:lineRule="auto"/>
            </w:pPr>
            <w:r>
              <w:rPr>
                <w:rFonts w:ascii="Times New Roman" w:hAnsi="Times New Roman"/>
                <w:sz w:val="20"/>
              </w:rPr>
              <w:t>2,132</w:t>
            </w:r>
          </w:p>
        </w:tc>
        <w:tc>
          <w:tcPr>
            <w:tcW w:type="dxa" w:w="1728"/>
          </w:tcPr>
          <w:p>
            <w:pPr>
              <w:spacing w:line="240" w:lineRule="auto"/>
            </w:pPr>
            <w:r>
              <w:rPr>
                <w:rFonts w:ascii="Times New Roman" w:hAnsi="Times New Roman"/>
                <w:sz w:val="20"/>
              </w:rPr>
              <w:t>0.337</w:t>
            </w:r>
          </w:p>
        </w:tc>
        <w:tc>
          <w:tcPr>
            <w:tcW w:type="dxa" w:w="1728"/>
          </w:tcPr>
          <w:p>
            <w:pPr>
              <w:spacing w:line="240" w:lineRule="auto"/>
            </w:pPr>
            <w:r>
              <w:rPr>
                <w:rFonts w:ascii="Times New Roman" w:hAnsi="Times New Roman"/>
                <w:sz w:val="20"/>
              </w:rPr>
              <w:t>.449</w:t>
            </w:r>
          </w:p>
        </w:tc>
        <w:tc>
          <w:tcPr>
            <w:tcW w:type="dxa" w:w="1728"/>
          </w:tcPr>
          <w:p>
            <w:pPr>
              <w:spacing w:line="240" w:lineRule="auto"/>
            </w:pPr>
            <w:r>
              <w:rPr>
                <w:rFonts w:ascii="Times New Roman" w:hAnsi="Times New Roman"/>
                <w:sz w:val="20"/>
              </w:rPr>
              <w:t>Not significant</w:t>
            </w:r>
          </w:p>
        </w:tc>
      </w:tr>
      <w:tr>
        <w:tc>
          <w:tcPr>
            <w:tcW w:type="dxa" w:w="1728"/>
          </w:tcPr>
          <w:p>
            <w:pPr>
              <w:spacing w:line="240" w:lineRule="auto"/>
            </w:pPr>
            <w:r>
              <w:rPr>
                <w:rFonts w:ascii="Times New Roman" w:hAnsi="Times New Roman"/>
                <w:sz w:val="20"/>
              </w:rPr>
              <w:t>Small agency subsample</w:t>
            </w:r>
          </w:p>
        </w:tc>
        <w:tc>
          <w:tcPr>
            <w:tcW w:type="dxa" w:w="1728"/>
          </w:tcPr>
          <w:p>
            <w:pPr>
              <w:spacing w:line="240" w:lineRule="auto"/>
            </w:pPr>
            <w:r>
              <w:rPr>
                <w:rFonts w:ascii="Times New Roman" w:hAnsi="Times New Roman"/>
                <w:sz w:val="20"/>
              </w:rPr>
              <w:t>32</w:t>
            </w:r>
          </w:p>
        </w:tc>
        <w:tc>
          <w:tcPr>
            <w:tcW w:type="dxa" w:w="1728"/>
          </w:tcPr>
          <w:p>
            <w:pPr>
              <w:spacing w:line="240" w:lineRule="auto"/>
            </w:pPr>
            <w:r>
              <w:rPr>
                <w:rFonts w:ascii="Times New Roman" w:hAnsi="Times New Roman"/>
                <w:sz w:val="20"/>
              </w:rPr>
              <w:t>-2.034</w:t>
            </w:r>
          </w:p>
        </w:tc>
        <w:tc>
          <w:tcPr>
            <w:tcW w:type="dxa" w:w="1728"/>
          </w:tcPr>
          <w:p>
            <w:pPr>
              <w:spacing w:line="240" w:lineRule="auto"/>
            </w:pPr>
            <w:r>
              <w:rPr>
                <w:rFonts w:ascii="Times New Roman" w:hAnsi="Times New Roman"/>
                <w:sz w:val="20"/>
              </w:rPr>
              <w:t>.437</w:t>
            </w:r>
          </w:p>
        </w:tc>
        <w:tc>
          <w:tcPr>
            <w:tcW w:type="dxa" w:w="1728"/>
          </w:tcPr>
          <w:p>
            <w:pPr>
              <w:spacing w:line="240" w:lineRule="auto"/>
            </w:pPr>
            <w:r>
              <w:rPr>
                <w:rFonts w:ascii="Times New Roman" w:hAnsi="Times New Roman"/>
                <w:sz w:val="20"/>
              </w:rPr>
              <w:t>Not significant</w:t>
            </w:r>
          </w:p>
        </w:tc>
      </w:tr>
      <w:tr>
        <w:tc>
          <w:tcPr>
            <w:tcW w:type="dxa" w:w="1728"/>
          </w:tcPr>
          <w:p>
            <w:pPr>
              <w:spacing w:line="240" w:lineRule="auto"/>
            </w:pPr>
            <w:r>
              <w:rPr>
                <w:rFonts w:ascii="Times New Roman" w:hAnsi="Times New Roman"/>
                <w:sz w:val="20"/>
              </w:rPr>
              <w:t>Raw (non-winsorized) cost growth</w:t>
            </w:r>
          </w:p>
        </w:tc>
        <w:tc>
          <w:tcPr>
            <w:tcW w:type="dxa" w:w="1728"/>
          </w:tcPr>
          <w:p>
            <w:pPr>
              <w:spacing w:line="240" w:lineRule="auto"/>
            </w:pPr>
            <w:r>
              <w:rPr>
                <w:rFonts w:ascii="Times New Roman" w:hAnsi="Times New Roman"/>
                <w:sz w:val="20"/>
              </w:rPr>
              <w:t>2,164</w:t>
            </w:r>
          </w:p>
        </w:tc>
        <w:tc>
          <w:tcPr>
            <w:tcW w:type="dxa" w:w="1728"/>
          </w:tcPr>
          <w:p>
            <w:pPr>
              <w:spacing w:line="240" w:lineRule="auto"/>
            </w:pPr>
            <w:r>
              <w:rPr>
                <w:rFonts w:ascii="Times New Roman" w:hAnsi="Times New Roman"/>
                <w:sz w:val="20"/>
              </w:rPr>
              <w:t>-21,200,000</w:t>
            </w:r>
          </w:p>
        </w:tc>
        <w:tc>
          <w:tcPr>
            <w:tcW w:type="dxa" w:w="1728"/>
          </w:tcPr>
          <w:p>
            <w:pPr>
              <w:spacing w:line="240" w:lineRule="auto"/>
            </w:pPr>
            <w:r>
              <w:rPr>
                <w:rFonts w:ascii="Times New Roman" w:hAnsi="Times New Roman"/>
                <w:sz w:val="20"/>
              </w:rPr>
              <w:t>.207</w:t>
            </w:r>
          </w:p>
        </w:tc>
        <w:tc>
          <w:tcPr>
            <w:tcW w:type="dxa" w:w="1728"/>
          </w:tcPr>
          <w:p>
            <w:pPr>
              <w:spacing w:line="240" w:lineRule="auto"/>
            </w:pPr>
            <w:r>
              <w:rPr>
                <w:rFonts w:ascii="Times New Roman" w:hAnsi="Times New Roman"/>
                <w:sz w:val="20"/>
              </w:rPr>
              <w:t>Not significant; extreme outlier influence</w:t>
            </w:r>
          </w:p>
        </w:tc>
      </w:tr>
      <w:tr>
        <w:tc>
          <w:tcPr>
            <w:tcW w:type="dxa" w:w="1728"/>
          </w:tcPr>
          <w:p>
            <w:pPr>
              <w:spacing w:line="240" w:lineRule="auto"/>
            </w:pPr>
            <w:r>
              <w:rPr>
                <w:rFonts w:ascii="Times New Roman" w:hAnsi="Times New Roman"/>
                <w:sz w:val="20"/>
              </w:rPr>
              <w:t>Excluding outliers (&gt; 3 SD)</w:t>
            </w:r>
          </w:p>
        </w:tc>
        <w:tc>
          <w:tcPr>
            <w:tcW w:type="dxa" w:w="1728"/>
          </w:tcPr>
          <w:p>
            <w:pPr>
              <w:spacing w:line="240" w:lineRule="auto"/>
            </w:pPr>
            <w:r>
              <w:rPr>
                <w:rFonts w:ascii="Times New Roman" w:hAnsi="Times New Roman"/>
                <w:sz w:val="20"/>
              </w:rPr>
              <w:t>2,164</w:t>
            </w:r>
          </w:p>
        </w:tc>
        <w:tc>
          <w:tcPr>
            <w:tcW w:type="dxa" w:w="1728"/>
          </w:tcPr>
          <w:p>
            <w:pPr>
              <w:spacing w:line="240" w:lineRule="auto"/>
            </w:pPr>
            <w:r>
              <w:rPr>
                <w:rFonts w:ascii="Times New Roman" w:hAnsi="Times New Roman"/>
                <w:sz w:val="20"/>
              </w:rPr>
              <w:t>0.313</w:t>
            </w:r>
          </w:p>
        </w:tc>
        <w:tc>
          <w:tcPr>
            <w:tcW w:type="dxa" w:w="1728"/>
          </w:tcPr>
          <w:p>
            <w:pPr>
              <w:spacing w:line="240" w:lineRule="auto"/>
            </w:pPr>
            <w:r>
              <w:rPr>
                <w:rFonts w:ascii="Times New Roman" w:hAnsi="Times New Roman"/>
                <w:sz w:val="20"/>
              </w:rPr>
              <w:t>.477</w:t>
            </w:r>
          </w:p>
        </w:tc>
        <w:tc>
          <w:tcPr>
            <w:tcW w:type="dxa" w:w="1728"/>
          </w:tcPr>
          <w:p>
            <w:pPr>
              <w:spacing w:line="240" w:lineRule="auto"/>
            </w:pPr>
            <w:r>
              <w:rPr>
                <w:rFonts w:ascii="Times New Roman" w:hAnsi="Times New Roman"/>
                <w:sz w:val="20"/>
              </w:rPr>
              <w:t>Not significant</w:t>
            </w:r>
          </w:p>
        </w:tc>
      </w:tr>
      <w:tr>
        <w:tc>
          <w:tcPr>
            <w:tcW w:type="dxa" w:w="1728"/>
          </w:tcPr>
          <w:p>
            <w:pPr>
              <w:spacing w:line="240" w:lineRule="auto"/>
            </w:pPr>
            <w:r>
              <w:rPr>
                <w:rFonts w:ascii="Times New Roman" w:hAnsi="Times New Roman"/>
                <w:sz w:val="20"/>
              </w:rPr>
              <w:t>NAICS 54 subsample</w:t>
            </w:r>
          </w:p>
        </w:tc>
        <w:tc>
          <w:tcPr>
            <w:tcW w:type="dxa" w:w="1728"/>
          </w:tcPr>
          <w:p>
            <w:pPr>
              <w:spacing w:line="240" w:lineRule="auto"/>
            </w:pPr>
            <w:r>
              <w:rPr>
                <w:rFonts w:ascii="Times New Roman" w:hAnsi="Times New Roman"/>
                <w:sz w:val="20"/>
              </w:rPr>
              <w:t>1,516</w:t>
            </w:r>
          </w:p>
        </w:tc>
        <w:tc>
          <w:tcPr>
            <w:tcW w:type="dxa" w:w="1728"/>
          </w:tcPr>
          <w:p>
            <w:pPr>
              <w:spacing w:line="240" w:lineRule="auto"/>
            </w:pPr>
            <w:r>
              <w:rPr>
                <w:rFonts w:ascii="Times New Roman" w:hAnsi="Times New Roman"/>
                <w:sz w:val="20"/>
              </w:rPr>
              <w:t>0.090</w:t>
            </w:r>
          </w:p>
        </w:tc>
        <w:tc>
          <w:tcPr>
            <w:tcW w:type="dxa" w:w="1728"/>
          </w:tcPr>
          <w:p>
            <w:pPr>
              <w:spacing w:line="240" w:lineRule="auto"/>
            </w:pPr>
            <w:r>
              <w:rPr>
                <w:rFonts w:ascii="Times New Roman" w:hAnsi="Times New Roman"/>
                <w:sz w:val="20"/>
              </w:rPr>
              <w:t>.864</w:t>
            </w:r>
          </w:p>
        </w:tc>
        <w:tc>
          <w:tcPr>
            <w:tcW w:type="dxa" w:w="1728"/>
          </w:tcPr>
          <w:p>
            <w:pPr>
              <w:spacing w:line="240" w:lineRule="auto"/>
            </w:pPr>
            <w:r>
              <w:rPr>
                <w:rFonts w:ascii="Times New Roman" w:hAnsi="Times New Roman"/>
                <w:sz w:val="20"/>
              </w:rPr>
              <w:t>Not significant</w:t>
            </w:r>
          </w:p>
        </w:tc>
      </w:tr>
      <w:tr>
        <w:tc>
          <w:tcPr>
            <w:tcW w:type="dxa" w:w="1728"/>
          </w:tcPr>
          <w:p>
            <w:pPr>
              <w:spacing w:line="240" w:lineRule="auto"/>
            </w:pPr>
            <w:r>
              <w:rPr>
                <w:rFonts w:ascii="Times New Roman" w:hAnsi="Times New Roman"/>
                <w:sz w:val="20"/>
              </w:rPr>
              <w:t>NAICS 56 subsample</w:t>
            </w:r>
          </w:p>
        </w:tc>
        <w:tc>
          <w:tcPr>
            <w:tcW w:type="dxa" w:w="1728"/>
          </w:tcPr>
          <w:p>
            <w:pPr>
              <w:spacing w:line="240" w:lineRule="auto"/>
            </w:pPr>
            <w:r>
              <w:rPr>
                <w:rFonts w:ascii="Times New Roman" w:hAnsi="Times New Roman"/>
                <w:sz w:val="20"/>
              </w:rPr>
              <w:t>524</w:t>
            </w:r>
          </w:p>
        </w:tc>
        <w:tc>
          <w:tcPr>
            <w:tcW w:type="dxa" w:w="1728"/>
          </w:tcPr>
          <w:p>
            <w:pPr>
              <w:spacing w:line="240" w:lineRule="auto"/>
            </w:pPr>
            <w:r>
              <w:rPr>
                <w:rFonts w:ascii="Times New Roman" w:hAnsi="Times New Roman"/>
                <w:sz w:val="20"/>
              </w:rPr>
              <w:t>1.102</w:t>
            </w:r>
          </w:p>
        </w:tc>
        <w:tc>
          <w:tcPr>
            <w:tcW w:type="dxa" w:w="1728"/>
          </w:tcPr>
          <w:p>
            <w:pPr>
              <w:spacing w:line="240" w:lineRule="auto"/>
            </w:pPr>
            <w:r>
              <w:rPr>
                <w:rFonts w:ascii="Times New Roman" w:hAnsi="Times New Roman"/>
                <w:sz w:val="20"/>
              </w:rPr>
              <w:t>.239</w:t>
            </w:r>
          </w:p>
        </w:tc>
        <w:tc>
          <w:tcPr>
            <w:tcW w:type="dxa" w:w="1728"/>
          </w:tcPr>
          <w:p>
            <w:pPr>
              <w:spacing w:line="240" w:lineRule="auto"/>
            </w:pPr>
            <w:r>
              <w:rPr>
                <w:rFonts w:ascii="Times New Roman" w:hAnsi="Times New Roman"/>
                <w:sz w:val="20"/>
              </w:rPr>
              <w:t>Not significant</w:t>
            </w:r>
          </w:p>
        </w:tc>
      </w:tr>
      <w:tr>
        <w:tc>
          <w:tcPr>
            <w:tcW w:type="dxa" w:w="1728"/>
          </w:tcPr>
          <w:p>
            <w:pPr>
              <w:spacing w:line="240" w:lineRule="auto"/>
            </w:pPr>
            <w:r>
              <w:rPr>
                <w:rFonts w:ascii="Times New Roman" w:hAnsi="Times New Roman"/>
                <w:sz w:val="20"/>
              </w:rPr>
              <w:t>NAICS 51 subsample</w:t>
            </w:r>
          </w:p>
        </w:tc>
        <w:tc>
          <w:tcPr>
            <w:tcW w:type="dxa" w:w="1728"/>
          </w:tcPr>
          <w:p>
            <w:pPr>
              <w:spacing w:line="240" w:lineRule="auto"/>
            </w:pPr>
            <w:r>
              <w:rPr>
                <w:rFonts w:ascii="Times New Roman" w:hAnsi="Times New Roman"/>
                <w:sz w:val="20"/>
              </w:rPr>
              <w:t>124</w:t>
            </w:r>
          </w:p>
        </w:tc>
        <w:tc>
          <w:tcPr>
            <w:tcW w:type="dxa" w:w="1728"/>
          </w:tcPr>
          <w:p>
            <w:pPr>
              <w:spacing w:line="240" w:lineRule="auto"/>
            </w:pPr>
            <w:r>
              <w:rPr>
                <w:rFonts w:ascii="Times New Roman" w:hAnsi="Times New Roman"/>
                <w:sz w:val="20"/>
              </w:rPr>
              <w:t>0.398</w:t>
            </w:r>
          </w:p>
        </w:tc>
        <w:tc>
          <w:tcPr>
            <w:tcW w:type="dxa" w:w="1728"/>
          </w:tcPr>
          <w:p>
            <w:pPr>
              <w:spacing w:line="240" w:lineRule="auto"/>
            </w:pPr>
            <w:r>
              <w:rPr>
                <w:rFonts w:ascii="Times New Roman" w:hAnsi="Times New Roman"/>
                <w:sz w:val="20"/>
              </w:rPr>
              <w:t>.803</w:t>
            </w:r>
          </w:p>
        </w:tc>
        <w:tc>
          <w:tcPr>
            <w:tcW w:type="dxa" w:w="1728"/>
          </w:tcPr>
          <w:p>
            <w:pPr>
              <w:spacing w:line="240" w:lineRule="auto"/>
            </w:pPr>
            <w:r>
              <w:rPr>
                <w:rFonts w:ascii="Times New Roman" w:hAnsi="Times New Roman"/>
                <w:sz w:val="20"/>
              </w:rPr>
              <w:t>Not significant</w:t>
            </w:r>
          </w:p>
        </w:tc>
      </w:tr>
    </w:tbl>
    <w:p>
      <w:pPr>
        <w:pStyle w:val="Heading3"/>
      </w:pPr>
      <w:r>
        <w:rPr>
          <w:rFonts w:ascii="Times New Roman" w:hAnsi="Times New Roman"/>
          <w:color w:val="000000"/>
        </w:rPr>
        <w:t>4.8.1 Full Sample Including Task Orders</w:t>
      </w:r>
    </w:p>
    <w:p>
      <w:pPr>
        <w:ind w:firstLine="720"/>
      </w:pPr>
      <w:r>
        <w:t>The primary analysis focused on the QE-versus-NFP comparison, excluding task orders and the small Price-Focused and Other categories. The exclusion of task orders was motivated by the theoretical argument that the source selection decision for task orders occurs at the vehicle level rather than at the individual order level, making the task order procurement design classification less directly comparable to standalone negotiated procurements. However, task orders represent the majority of federal service and IT procurement activity (74.0% of the full sample), and excluding them limits the generalizability of the findings.</w:t>
      </w:r>
    </w:p>
    <w:p>
      <w:pPr>
        <w:ind w:firstLine="720"/>
      </w:pPr>
      <w:r>
        <w:t>As a robustness check, the cost growth model was re-estimated on the expanded sample of 8,483 awards that included task orders alongside QE and NFP awards, with task orders coded as an additional category. The Tradeoff coefficient (comparing QE to NFP within this expanded model) was 0.272 (</w:t>
      </w:r>
      <w:r>
        <w:rPr>
          <w:i/>
        </w:rPr>
        <w:t>p</w:t>
      </w:r>
      <w:r>
        <w:t xml:space="preserve"> = .530), consistent with the primary finding of no significant procurement design effect on cost growth. The smaller coefficient magnitude (0.272 vs. 0.413 in the primary specification) and the higher </w:t>
      </w:r>
      <w:r>
        <w:rPr>
          <w:i/>
        </w:rPr>
        <w:t>p</w:t>
      </w:r>
      <w:r>
        <w:t>-value (.530 vs. .377) reflected the larger and more heterogeneous sample, which diluted the QE-NFP contrast. The conclusion was unchanged: no significant procurement design effect on cost growth.</w:t>
      </w:r>
    </w:p>
    <w:p>
      <w:pPr>
        <w:pStyle w:val="Heading3"/>
      </w:pPr>
      <w:r>
        <w:rPr>
          <w:rFonts w:ascii="Times New Roman" w:hAnsi="Times New Roman"/>
          <w:color w:val="000000"/>
        </w:rPr>
        <w:t>4.8.2 Agency Subsamples</w:t>
      </w:r>
    </w:p>
    <w:p>
      <w:pPr>
        <w:ind w:firstLine="720"/>
      </w:pPr>
      <w:r>
        <w:t>To assess whether the null finding was driven by or masked by the dominance of large agencies (particularly the Department of Defense) in the sample, the cost growth model was re-estimated separately on large-agency and small-agency subsamples. The large-agency subsample (</w:t>
      </w:r>
      <w:r>
        <w:rPr>
          <w:i/>
        </w:rPr>
        <w:t>N</w:t>
      </w:r>
      <w:r>
        <w:t xml:space="preserve"> = 2,132) included awards from the top 10 agencies by volume, representing the institutional core of federal service procurement. The small-agency subsample (</w:t>
      </w:r>
      <w:r>
        <w:rPr>
          <w:i/>
        </w:rPr>
        <w:t>N</w:t>
      </w:r>
      <w:r>
        <w:t xml:space="preserve"> = 32) included awards from the remaining 48 agencies, representing a diverse but thinly populated set of procurement environments.</w:t>
      </w:r>
    </w:p>
    <w:p>
      <w:pPr>
        <w:ind w:firstLine="720"/>
      </w:pPr>
      <w:r>
        <w:t>In the large-agency subsample, the Tradeoff coefficient was 0.337 (</w:t>
      </w:r>
      <w:r>
        <w:rPr>
          <w:i/>
        </w:rPr>
        <w:t>p</w:t>
      </w:r>
      <w:r>
        <w:t xml:space="preserve"> = .449), consistent with the full-sample result. In the small-agency subsample, the coefficient was -2.034 (</w:t>
      </w:r>
      <w:r>
        <w:rPr>
          <w:i/>
        </w:rPr>
        <w:t>p</w:t>
      </w:r>
      <w:r>
        <w:t xml:space="preserve"> = .437), suggesting a possible negative relationship (QE associated with lower cost growth) among smaller agencies. However, the extremely small sample size (</w:t>
      </w:r>
      <w:r>
        <w:rPr>
          <w:i/>
        </w:rPr>
        <w:t>N</w:t>
      </w:r>
      <w:r>
        <w:t xml:space="preserve"> = 32) provided essentially no statistical power to detect effects of any plausible magnitude, and the large standard error renders the point estimate unreliable. The negative sign in the small-agency subsample should be treated as suggestive at best and may simply reflect the influence of a few unusual observations.</w:t>
      </w:r>
    </w:p>
    <w:p>
      <w:pPr>
        <w:ind w:firstLine="720"/>
      </w:pPr>
      <w:r>
        <w:t>The agency subsample analysis provided no evidence that the null finding was an artifact of particular agencies' dominance in the sample. The result was consistent across both large and small agencies, though the small-agency analysis lacked the statistical power to be informative.</w:t>
      </w:r>
    </w:p>
    <w:p>
      <w:pPr>
        <w:pStyle w:val="Heading3"/>
      </w:pPr>
      <w:r>
        <w:rPr>
          <w:rFonts w:ascii="Times New Roman" w:hAnsi="Times New Roman"/>
          <w:color w:val="000000"/>
        </w:rPr>
        <w:t>4.8.3 Alternative Cost Growth Specifications</w:t>
      </w:r>
    </w:p>
    <w:p>
      <w:pPr>
        <w:ind w:firstLine="720"/>
      </w:pPr>
      <w:r>
        <w:t>The primary analysis used winsorized cost growth (capped at the 1st and 99th percentiles of the distribution) to mitigate the influence of extreme outliers. Winsorization is a standard approach in financial and procurement data analysis, where the distribution of cost changes frequently contains extreme values generated by contract terminations, major restructurings, or data entry errors (Tukey, 1977). However, the choice of winsorization bounds is inherently arbitrary, and the sensitivity of the results to this choice warrants investigation.</w:t>
      </w:r>
    </w:p>
    <w:p>
      <w:pPr>
        <w:ind w:firstLine="720"/>
      </w:pPr>
      <w:r>
        <w:t>As a first sensitivity check, the model was re-estimated using raw, non-winsorized cost growth. The Tradeoff coefficient was -$21.2 million (</w:t>
      </w:r>
      <w:r>
        <w:rPr>
          <w:i/>
        </w:rPr>
        <w:t>p</w:t>
      </w:r>
      <w:r>
        <w:t xml:space="preserve"> = .207)—a value that is enormous in magnitude but not statistically significant and not meaningfully interpretable. The negative sign (opposite to the primary specification) and the enormous magnitude reflect the dominant influence of a small number of extreme outliers in the non-winsorized distribution. Federal procurement data routinely contain observations where cost growth exceeds the original contract value by factors of ten or more, typically reflecting major scope changes, supplemental appropriations, or data anomalies. These extreme values exert disproportionate influence on OLS estimates, pulling the regression line toward the outliers. The non-winsorized result underscored the necessity of some form of outlier treatment for the cost growth variable and confirmed that the primary findings were appropriately reported using the winsorized specification.</w:t>
      </w:r>
    </w:p>
    <w:p>
      <w:pPr>
        <w:ind w:firstLine="720"/>
      </w:pPr>
      <w:r>
        <w:t>As a second sensitivity check, the model was re-estimated after excluding all observations with cost growth exceeding three standard deviations from the mean—a more stringent outlier exclusion criterion that removes the most extreme values entirely rather than capping them. The resulting Tradeoff coefficient was 0.313 (</w:t>
      </w:r>
      <w:r>
        <w:rPr>
          <w:i/>
        </w:rPr>
        <w:t>p</w:t>
      </w:r>
      <w:r>
        <w:t xml:space="preserve"> = .477), consistent with the winsorized primary specification. The convergence of the winsorized and outlier-excluded results confirmed that the null finding was not sensitive to the specific method of outlier treatment.</w:t>
      </w:r>
    </w:p>
    <w:p>
      <w:pPr>
        <w:pStyle w:val="Heading3"/>
      </w:pPr>
      <w:r>
        <w:rPr>
          <w:rFonts w:ascii="Times New Roman" w:hAnsi="Times New Roman"/>
          <w:color w:val="000000"/>
        </w:rPr>
        <w:t>4.8.4 NAICS Sector Subsamples</w:t>
      </w:r>
    </w:p>
    <w:p>
      <w:pPr>
        <w:ind w:firstLine="720"/>
      </w:pPr>
      <w:r>
        <w:t>To assess whether the null finding was specific to particular industry sectors or represented a consistent pattern across the federal service procurement landscape, the cost growth model was re-estimated separately for each of the three NAICS sectors in the sample.</w:t>
      </w:r>
    </w:p>
    <w:p>
      <w:pPr>
        <w:ind w:firstLine="720"/>
      </w:pPr>
      <w:r>
        <w:t xml:space="preserve">In </w:t>
      </w:r>
      <w:r>
        <w:rPr>
          <w:b/>
        </w:rPr>
        <w:t>NAICS Sector 54</w:t>
      </w:r>
      <w:r>
        <w:t xml:space="preserve"> (Professional, Scientific, and Technical Services), the largest subsample (</w:t>
      </w:r>
      <w:r>
        <w:rPr>
          <w:i/>
        </w:rPr>
        <w:t>N</w:t>
      </w:r>
      <w:r>
        <w:t xml:space="preserve"> = 1,516), the Tradeoff coefficient was 0.090 (</w:t>
      </w:r>
      <w:r>
        <w:rPr>
          <w:i/>
        </w:rPr>
        <w:t>p</w:t>
      </w:r>
      <w:r>
        <w:t xml:space="preserve"> = .864). This near-zero, highly non-significant effect provided strong evidence that, within the professional services sector, procurement design was not associated with differential cost growth. The </w:t>
      </w:r>
      <w:r>
        <w:rPr>
          <w:i/>
        </w:rPr>
        <w:t>p</w:t>
      </w:r>
      <w:r>
        <w:t>-value of .864 indicates that the observed coefficient of 0.090 is almost exactly what would be expected under the null hypothesis of no effect, and the tight clustering of the estimate around zero suggests that the null finding is not a consequence of averaging across sectors with opposing effects.</w:t>
      </w:r>
    </w:p>
    <w:p>
      <w:pPr>
        <w:ind w:firstLine="720"/>
      </w:pPr>
      <w:r>
        <w:t xml:space="preserve">In </w:t>
      </w:r>
      <w:r>
        <w:rPr>
          <w:b/>
        </w:rPr>
        <w:t>NAICS Sector 56</w:t>
      </w:r>
      <w:r>
        <w:t xml:space="preserve"> (Administrative and Support Services, </w:t>
      </w:r>
      <w:r>
        <w:rPr>
          <w:i/>
        </w:rPr>
        <w:t>N</w:t>
      </w:r>
      <w:r>
        <w:t xml:space="preserve"> = 524), the Tradeoff coefficient was 1.102 (</w:t>
      </w:r>
      <w:r>
        <w:rPr>
          <w:i/>
        </w:rPr>
        <w:t>p</w:t>
      </w:r>
      <w:r>
        <w:t xml:space="preserve"> = .239). Although the point estimate was larger than in Sector 54, suggesting a possible positive relationship between QE design and cost growth in the administrative services sector, the result remained non-significant. The larger magnitude could reflect the possibility that cost-type pricing is particularly ill-suited to administrative services, which tend to be more standardized and less technically complex than professional services. Under this interpretation, the cost growth disadvantage of QE (cost-type) contracts would be more pronounced in sectors where the simplicity of the requirement argues against the use of cost-reimbursement pricing. However, the non-significance of the estimate means that this interpretation is speculative.</w:t>
      </w:r>
    </w:p>
    <w:p>
      <w:pPr>
        <w:ind w:firstLine="720"/>
      </w:pPr>
      <w:r>
        <w:t xml:space="preserve">In </w:t>
      </w:r>
      <w:r>
        <w:rPr>
          <w:b/>
        </w:rPr>
        <w:t>NAICS Sector 51</w:t>
      </w:r>
      <w:r>
        <w:t xml:space="preserve"> (Information, </w:t>
      </w:r>
      <w:r>
        <w:rPr>
          <w:i/>
        </w:rPr>
        <w:t>N</w:t>
      </w:r>
      <w:r>
        <w:t xml:space="preserve"> = 124), the Tradeoff coefficient was 0.398 (</w:t>
      </w:r>
      <w:r>
        <w:rPr>
          <w:i/>
        </w:rPr>
        <w:t>p</w:t>
      </w:r>
      <w:r>
        <w:t xml:space="preserve"> = .803). The small sample size for this sector—only 124 observations, compared with 1,516 for Sector 54 and 524 for Sector 56—severely limited statistical power and precluded meaningful inference. The result was consistent with the overall pattern of null findings across sectors.</w:t>
      </w:r>
    </w:p>
    <w:p>
      <w:pPr>
        <w:pStyle w:val="Heading3"/>
      </w:pPr>
      <w:r>
        <w:rPr>
          <w:rFonts w:ascii="Times New Roman" w:hAnsi="Times New Roman"/>
          <w:color w:val="000000"/>
        </w:rPr>
        <w:t>4.8.5 Overall Assessment of Robustness</w:t>
      </w:r>
    </w:p>
    <w:p>
      <w:pPr>
        <w:ind w:firstLine="720"/>
      </w:pPr>
      <w:r>
        <w:t xml:space="preserve">The robustness analyses yielded a strikingly consistent pattern. Across ten alternative specifications—varying the sample composition, cost growth measurement, outlier treatment, agency subsample, and industry sector—the Tradeoff coefficient in the cost growth model was never statistically significant at conventional thresholds. The </w:t>
      </w:r>
      <w:r>
        <w:rPr>
          <w:i/>
        </w:rPr>
        <w:t>p</w:t>
      </w:r>
      <w:r>
        <w:t>-values ranged from .061 (PSM matched sample, where the effect was in the opposite direction from the hypothesis) to .864 (NAICS 54 subsample). This consistency across a diverse set of specifications strongly supports the conclusion that the null finding on Hypothesis 1 is robust and not an artifact of a particular analytical choice, sample definition, or variable specification.</w:t>
      </w:r>
    </w:p>
    <w:p>
      <w:pPr>
        <w:ind w:firstLine="720"/>
      </w:pPr>
      <w:r>
        <w:t xml:space="preserve">The direction of the Tradeoff coefficient was positive (indicating higher cost growth for QE awards) in eight of the ten specifications and negative in two (the small-agency subsample with </w:t>
      </w:r>
      <w:r>
        <w:rPr>
          <w:i/>
        </w:rPr>
        <w:t>N</w:t>
      </w:r>
      <w:r>
        <w:t xml:space="preserve"> = 32 and the non-winsorized specification, both of which were dominated by extreme or sparse observations). The predominance of positive coefficients, combined with the marginally significant positive effect in the PSM matched sample (</w:t>
      </w:r>
      <w:r>
        <w:rPr>
          <w:i/>
        </w:rPr>
        <w:t>p</w:t>
      </w:r>
      <w:r>
        <w:t xml:space="preserve"> = .061), suggests that if there is any systematic main-effect relationship between quality-evaluating procurement design and cost growth, it may be in the direction of </w:t>
      </w:r>
      <w:r>
        <w:rPr>
          <w:i/>
        </w:rPr>
        <w:t>higher</w:t>
      </w:r>
      <w:r>
        <w:t xml:space="preserve"> rather than lower cost growth for QE awards. This suggestive pattern is consistent with the structural hypothesis that cost-type pricing—which defines the QE category in this study—is inherently associated with greater cost growth due to the allocation of cost risk to the government. However, no single specification achieved significance at alpha = .05, and the pattern should be interpreted as suggestive rather than conclusive.</w:t>
      </w:r>
    </w:p>
    <w:p>
      <w:pPr>
        <w:ind w:firstLine="720"/>
      </w:pPr>
      <w:r>
        <w:t>The consistency of the null finding across robustness checks also strengthens the interpretation of the significant interaction effect (H8) reported in Section 4.6. If the null main effect were an artifact of a particular specification, the significant interaction might also be artifactual. The stability of both the null main effect and the significant interaction across alternative specifications provides converging evidence for the conclusion that the relationship between procurement design and cost growth is genuinely contingent on complexity rather than uniformly positive, negative, or zero.</w:t>
      </w:r>
    </w:p>
    <w:p>
      <w:pPr>
        <w:pStyle w:val="Heading2"/>
      </w:pPr>
      <w:r>
        <w:rPr>
          <w:rFonts w:ascii="Times New Roman" w:hAnsi="Times New Roman"/>
          <w:color w:val="000000"/>
        </w:rPr>
        <w:t>4.9 Summary of Findings by Hypothesis</w:t>
      </w:r>
    </w:p>
    <w:p>
      <w:pPr>
        <w:ind w:firstLine="720"/>
      </w:pPr>
      <w:r>
        <w:t>Table 4.9 provides a comprehensive summary of the empirical results organized by hypothesis. For each hypothesis, the table reports the predicted direction, the key test statistic, the significance level, and the determination of support.</w:t>
      </w:r>
    </w:p>
    <w:p>
      <w:pPr>
        <w:ind w:firstLine="720"/>
      </w:pPr>
      <w:r>
        <w:rPr>
          <w:b/>
        </w:rPr>
        <w:t>Table 4.9</w:t>
      </w:r>
    </w:p>
    <w:p>
      <w:pPr>
        <w:ind w:firstLine="720"/>
      </w:pPr>
      <w:r>
        <w:rPr>
          <w:i/>
        </w:rPr>
        <w:t>Summary of Hypothesis Test Results</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pPr>
              <w:spacing w:line="240" w:lineRule="auto"/>
            </w:pPr>
            <w:r>
              <w:rPr>
                <w:rFonts w:ascii="Times New Roman" w:hAnsi="Times New Roman"/>
                <w:b/>
                <w:sz w:val="20"/>
              </w:rPr>
              <w:t>Hypothesis</w:t>
            </w:r>
          </w:p>
        </w:tc>
        <w:tc>
          <w:tcPr>
            <w:tcW w:type="dxa" w:w="1728"/>
          </w:tcPr>
          <w:p>
            <w:pPr>
              <w:spacing w:line="240" w:lineRule="auto"/>
            </w:pPr>
            <w:r>
              <w:rPr>
                <w:rFonts w:ascii="Times New Roman" w:hAnsi="Times New Roman"/>
                <w:b/>
                <w:sz w:val="20"/>
              </w:rPr>
              <w:t>Predicted Relationship</w:t>
            </w:r>
          </w:p>
        </w:tc>
        <w:tc>
          <w:tcPr>
            <w:tcW w:type="dxa" w:w="1728"/>
          </w:tcPr>
          <w:p>
            <w:pPr>
              <w:spacing w:line="240" w:lineRule="auto"/>
            </w:pPr>
            <w:r>
              <w:rPr>
                <w:rFonts w:ascii="Times New Roman" w:hAnsi="Times New Roman"/>
                <w:b/>
                <w:sz w:val="20"/>
              </w:rPr>
              <w:t>Key Estimate</w:t>
            </w:r>
          </w:p>
        </w:tc>
        <w:tc>
          <w:tcPr>
            <w:tcW w:type="dxa" w:w="1728"/>
          </w:tcPr>
          <w:p>
            <w:pPr>
              <w:spacing w:line="240" w:lineRule="auto"/>
            </w:pPr>
            <w:r>
              <w:rPr>
                <w:rFonts w:ascii="Times New Roman" w:hAnsi="Times New Roman"/>
                <w:b/>
                <w:sz w:val="20"/>
              </w:rPr>
              <w:t>p</w:t>
            </w:r>
          </w:p>
        </w:tc>
        <w:tc>
          <w:tcPr>
            <w:tcW w:type="dxa" w:w="1728"/>
          </w:tcPr>
          <w:p>
            <w:pPr>
              <w:spacing w:line="240" w:lineRule="auto"/>
            </w:pPr>
            <w:r>
              <w:rPr>
                <w:rFonts w:ascii="Times New Roman" w:hAnsi="Times New Roman"/>
                <w:b/>
                <w:sz w:val="20"/>
              </w:rPr>
              <w:t>Result</w:t>
            </w:r>
          </w:p>
        </w:tc>
      </w:tr>
      <w:tr>
        <w:tc>
          <w:tcPr>
            <w:tcW w:type="dxa" w:w="1728"/>
          </w:tcPr>
          <w:p>
            <w:pPr>
              <w:spacing w:line="240" w:lineRule="auto"/>
            </w:pPr>
            <w:r>
              <w:rPr>
                <w:rFonts w:ascii="Times New Roman" w:hAnsi="Times New Roman"/>
                <w:sz w:val="20"/>
              </w:rPr>
              <w:t>H1: Cost Growth</w:t>
            </w:r>
          </w:p>
        </w:tc>
        <w:tc>
          <w:tcPr>
            <w:tcW w:type="dxa" w:w="1728"/>
          </w:tcPr>
          <w:p>
            <w:pPr>
              <w:spacing w:line="240" w:lineRule="auto"/>
            </w:pPr>
            <w:r>
              <w:rPr>
                <w:rFonts w:ascii="Times New Roman" w:hAnsi="Times New Roman"/>
                <w:sz w:val="20"/>
              </w:rPr>
              <w:t>QE → Lower cost growth vs. NFP</w:t>
            </w:r>
          </w:p>
        </w:tc>
        <w:tc>
          <w:tcPr>
            <w:tcW w:type="dxa" w:w="1728"/>
          </w:tcPr>
          <w:p>
            <w:pPr>
              <w:spacing w:line="240" w:lineRule="auto"/>
            </w:pPr>
            <w:r>
              <w:rPr>
                <w:rFonts w:ascii="Times New Roman" w:hAnsi="Times New Roman"/>
                <w:sz w:val="20"/>
              </w:rPr>
              <w:t>b = 0.413, 95% CI [-0.503, 1.330]</w:t>
            </w:r>
          </w:p>
        </w:tc>
        <w:tc>
          <w:tcPr>
            <w:tcW w:type="dxa" w:w="1728"/>
          </w:tcPr>
          <w:p>
            <w:pPr>
              <w:spacing w:line="240" w:lineRule="auto"/>
            </w:pPr>
            <w:r>
              <w:rPr>
                <w:rFonts w:ascii="Times New Roman" w:hAnsi="Times New Roman"/>
                <w:sz w:val="20"/>
              </w:rPr>
              <w:t>.377</w:t>
            </w:r>
          </w:p>
        </w:tc>
        <w:tc>
          <w:tcPr>
            <w:tcW w:type="dxa" w:w="1728"/>
          </w:tcPr>
          <w:p>
            <w:pPr>
              <w:spacing w:line="240" w:lineRule="auto"/>
            </w:pPr>
            <w:r>
              <w:rPr>
                <w:rFonts w:ascii="Times New Roman" w:hAnsi="Times New Roman"/>
                <w:sz w:val="20"/>
              </w:rPr>
              <w:t>Not Supported</w:t>
            </w:r>
          </w:p>
        </w:tc>
      </w:tr>
      <w:tr>
        <w:tc>
          <w:tcPr>
            <w:tcW w:type="dxa" w:w="1728"/>
          </w:tcPr>
          <w:p>
            <w:pPr>
              <w:spacing w:line="240" w:lineRule="auto"/>
            </w:pPr>
            <w:r>
              <w:rPr>
                <w:rFonts w:ascii="Times New Roman" w:hAnsi="Times New Roman"/>
                <w:sz w:val="20"/>
              </w:rPr>
              <w:t>H2: Modification Intensity</w:t>
            </w:r>
          </w:p>
        </w:tc>
        <w:tc>
          <w:tcPr>
            <w:tcW w:type="dxa" w:w="1728"/>
          </w:tcPr>
          <w:p>
            <w:pPr>
              <w:spacing w:line="240" w:lineRule="auto"/>
            </w:pPr>
            <w:r>
              <w:rPr>
                <w:rFonts w:ascii="Times New Roman" w:hAnsi="Times New Roman"/>
                <w:sz w:val="20"/>
              </w:rPr>
              <w:t>QE → Fewer modifications vs. NFP</w:t>
            </w:r>
          </w:p>
        </w:tc>
        <w:tc>
          <w:tcPr>
            <w:tcW w:type="dxa" w:w="1728"/>
          </w:tcPr>
          <w:p>
            <w:pPr>
              <w:spacing w:line="240" w:lineRule="auto"/>
            </w:pPr>
            <w:r>
              <w:rPr>
                <w:rFonts w:ascii="Times New Roman" w:hAnsi="Times New Roman"/>
                <w:sz w:val="20"/>
              </w:rPr>
              <w:t>b = -0.034, IRR = 0.967, 95% CI [-0.123, 0.055]</w:t>
            </w:r>
          </w:p>
        </w:tc>
        <w:tc>
          <w:tcPr>
            <w:tcW w:type="dxa" w:w="1728"/>
          </w:tcPr>
          <w:p>
            <w:pPr>
              <w:spacing w:line="240" w:lineRule="auto"/>
            </w:pPr>
            <w:r>
              <w:rPr>
                <w:rFonts w:ascii="Times New Roman" w:hAnsi="Times New Roman"/>
                <w:sz w:val="20"/>
              </w:rPr>
              <w:t>.449</w:t>
            </w:r>
          </w:p>
        </w:tc>
        <w:tc>
          <w:tcPr>
            <w:tcW w:type="dxa" w:w="1728"/>
          </w:tcPr>
          <w:p>
            <w:pPr>
              <w:spacing w:line="240" w:lineRule="auto"/>
            </w:pPr>
            <w:r>
              <w:rPr>
                <w:rFonts w:ascii="Times New Roman" w:hAnsi="Times New Roman"/>
                <w:sz w:val="20"/>
              </w:rPr>
              <w:t>Not Supported</w:t>
            </w:r>
          </w:p>
        </w:tc>
      </w:tr>
      <w:tr>
        <w:tc>
          <w:tcPr>
            <w:tcW w:type="dxa" w:w="1728"/>
          </w:tcPr>
          <w:p>
            <w:pPr>
              <w:spacing w:line="240" w:lineRule="auto"/>
            </w:pPr>
            <w:r>
              <w:rPr>
                <w:rFonts w:ascii="Times New Roman" w:hAnsi="Times New Roman"/>
                <w:sz w:val="20"/>
              </w:rPr>
              <w:t>H6: Single-Bid Competition</w:t>
            </w:r>
          </w:p>
        </w:tc>
        <w:tc>
          <w:tcPr>
            <w:tcW w:type="dxa" w:w="1728"/>
          </w:tcPr>
          <w:p>
            <w:pPr>
              <w:spacing w:line="240" w:lineRule="auto"/>
            </w:pPr>
            <w:r>
              <w:rPr>
                <w:rFonts w:ascii="Times New Roman" w:hAnsi="Times New Roman"/>
                <w:sz w:val="20"/>
              </w:rPr>
              <w:t>QE → Lower single-bid rates vs. NFP</w:t>
            </w:r>
          </w:p>
        </w:tc>
        <w:tc>
          <w:tcPr>
            <w:tcW w:type="dxa" w:w="1728"/>
          </w:tcPr>
          <w:p>
            <w:pPr>
              <w:spacing w:line="240" w:lineRule="auto"/>
            </w:pPr>
            <w:r>
              <w:rPr>
                <w:rFonts w:ascii="Times New Roman" w:hAnsi="Times New Roman"/>
                <w:sz w:val="20"/>
              </w:rPr>
              <w:t>OR = 0.752, 95% CI [0.543, 1.040]</w:t>
            </w:r>
          </w:p>
        </w:tc>
        <w:tc>
          <w:tcPr>
            <w:tcW w:type="dxa" w:w="1728"/>
          </w:tcPr>
          <w:p>
            <w:pPr>
              <w:spacing w:line="240" w:lineRule="auto"/>
            </w:pPr>
            <w:r>
              <w:rPr>
                <w:rFonts w:ascii="Times New Roman" w:hAnsi="Times New Roman"/>
                <w:sz w:val="20"/>
              </w:rPr>
              <w:t>.085</w:t>
            </w:r>
          </w:p>
        </w:tc>
        <w:tc>
          <w:tcPr>
            <w:tcW w:type="dxa" w:w="1728"/>
          </w:tcPr>
          <w:p>
            <w:pPr>
              <w:spacing w:line="240" w:lineRule="auto"/>
            </w:pPr>
            <w:r>
              <w:rPr>
                <w:rFonts w:ascii="Times New Roman" w:hAnsi="Times New Roman"/>
                <w:sz w:val="20"/>
              </w:rPr>
              <w:t>Not Supported (marginally significant, correct direction)</w:t>
            </w:r>
          </w:p>
        </w:tc>
      </w:tr>
      <w:tr>
        <w:tc>
          <w:tcPr>
            <w:tcW w:type="dxa" w:w="1728"/>
          </w:tcPr>
          <w:p>
            <w:pPr>
              <w:spacing w:line="240" w:lineRule="auto"/>
            </w:pPr>
            <w:r>
              <w:rPr>
                <w:rFonts w:ascii="Times New Roman" w:hAnsi="Times New Roman"/>
                <w:sz w:val="20"/>
              </w:rPr>
              <w:t>H8: Complexity Moderation</w:t>
            </w:r>
          </w:p>
        </w:tc>
        <w:tc>
          <w:tcPr>
            <w:tcW w:type="dxa" w:w="1728"/>
          </w:tcPr>
          <w:p>
            <w:pPr>
              <w:spacing w:line="240" w:lineRule="auto"/>
            </w:pPr>
            <w:r>
              <w:rPr>
                <w:rFonts w:ascii="Times New Roman" w:hAnsi="Times New Roman"/>
                <w:sz w:val="20"/>
              </w:rPr>
              <w:t>Complexity moderates tradeoff-cost growth relationship</w:t>
            </w:r>
          </w:p>
        </w:tc>
        <w:tc>
          <w:tcPr>
            <w:tcW w:type="dxa" w:w="1728"/>
          </w:tcPr>
          <w:p>
            <w:pPr>
              <w:spacing w:line="240" w:lineRule="auto"/>
            </w:pPr>
            <w:r>
              <w:rPr>
                <w:rFonts w:ascii="Times New Roman" w:hAnsi="Times New Roman"/>
                <w:sz w:val="20"/>
              </w:rPr>
              <w:t>Interaction b = 0.619</w:t>
            </w:r>
          </w:p>
        </w:tc>
        <w:tc>
          <w:tcPr>
            <w:tcW w:type="dxa" w:w="1728"/>
          </w:tcPr>
          <w:p>
            <w:pPr>
              <w:spacing w:line="240" w:lineRule="auto"/>
            </w:pPr>
            <w:r>
              <w:rPr>
                <w:rFonts w:ascii="Times New Roman" w:hAnsi="Times New Roman"/>
                <w:sz w:val="20"/>
              </w:rPr>
              <w:t>.003</w:t>
            </w:r>
          </w:p>
        </w:tc>
        <w:tc>
          <w:tcPr>
            <w:tcW w:type="dxa" w:w="1728"/>
          </w:tcPr>
          <w:p>
            <w:pPr>
              <w:spacing w:line="240" w:lineRule="auto"/>
            </w:pPr>
            <w:r>
              <w:rPr>
                <w:rFonts w:ascii="Times New Roman" w:hAnsi="Times New Roman"/>
                <w:sz w:val="20"/>
              </w:rPr>
              <w:t>Supported</w:t>
            </w:r>
          </w:p>
        </w:tc>
      </w:tr>
    </w:tbl>
    <w:p>
      <w:pPr>
        <w:pStyle w:val="Heading3"/>
      </w:pPr>
      <w:r>
        <w:rPr>
          <w:rFonts w:ascii="Times New Roman" w:hAnsi="Times New Roman"/>
          <w:color w:val="000000"/>
        </w:rPr>
        <w:t>4.9.1 Interpretation of the Pattern of Results</w:t>
      </w:r>
    </w:p>
    <w:p>
      <w:pPr>
        <w:ind w:firstLine="720"/>
      </w:pPr>
      <w:r>
        <w:t>Of the four hypotheses tested, one (H8) was supported and three (H1, H2, H6) were not. This pattern—null main effects combined with a significant moderation effect—is substantively informative and theoretically interpretable. It is not a pattern of failure; rather, it is a pattern that indicates the relationship between procurement design and contract outcomes is more complex than the simple directional predictions of the main-effect hypotheses anticipated.</w:t>
      </w:r>
    </w:p>
    <w:p>
      <w:pPr>
        <w:ind w:firstLine="720"/>
      </w:pPr>
      <w:r>
        <w:t>The three unsupported hypotheses all involved main-effect predictions: that quality-evaluating procurement design would produce uniformly better outcomes across cost growth, modification intensity, and competition dimensions. The consistent non-significance of these main effects, across both full-sample and matched-sample analyses, across multiple robustness checks, and across NAICS sector subsamples, provides strong evidence that there is no uniform advantage to quality-evaluating procurement design on these dimensions.</w:t>
      </w:r>
    </w:p>
    <w:p>
      <w:pPr>
        <w:ind w:firstLine="720"/>
      </w:pPr>
      <w:r>
        <w:t>The supported hypothesis—that procurement complexity moderates the relationship between procurement design and cost growth—was the most theoretically nuanced prediction, drawing directly on the contingency logic of transaction cost economics. The significant interaction (</w:t>
      </w:r>
      <w:r>
        <w:rPr>
          <w:i/>
        </w:rPr>
        <w:t>p</w:t>
      </w:r>
      <w:r>
        <w:t xml:space="preserve"> = .003) indicates that the effect of procurement design on cost growth is not constant across all procurements but varies systematically with complexity. At lower complexity levels, QE design is associated with lower cost growth; at higher complexity levels, the relationship reverses. This contingency finding is the most important empirical contribution of the chapter, as it identifies the conditions under which procurement design matters rather than simply asking whether it matters on average.</w:t>
      </w:r>
    </w:p>
    <w:p>
      <w:pPr>
        <w:ind w:firstLine="720"/>
      </w:pPr>
      <w:r>
        <w:t>The combination of null main effects and a significant interaction tells a coherent story. When the data are analyzed without regard to procurement complexity, the overall relationship between procurement design and cost growth is not statistically distinguishable from zero. However, this aggregate null finding conceals meaningful heterogeneity: positive and negative subgroup effects cancel in the aggregate, producing an apparent null that would be misleading if interpreted as evidence that procurement design is irrelevant. The interaction model reveals the underlying structure of the data, demonstrating that procurement design does influence cost growth—but in a manner that depends on the complexity of the procurement.</w:t>
      </w:r>
    </w:p>
    <w:p>
      <w:pPr>
        <w:pStyle w:val="Heading3"/>
      </w:pPr>
      <w:r>
        <w:rPr>
          <w:rFonts w:ascii="Times New Roman" w:hAnsi="Times New Roman"/>
          <w:color w:val="000000"/>
        </w:rPr>
        <w:t>4.9.2 Summary of Effect Sizes</w:t>
      </w:r>
    </w:p>
    <w:p>
      <w:pPr>
        <w:ind w:firstLine="720"/>
      </w:pPr>
      <w:r>
        <w:t>A review of effect sizes across the hypothesis tests provides additional context for interpreting the findings. The main-effect relationships tested in Hypotheses 1, 2, and 6 all yielded effect sizes in the small-to-negligible range:</w:t>
      </w:r>
    </w:p>
    <w:p>
      <w:pPr>
        <w:pStyle w:val="ListBullet"/>
      </w:pPr>
      <w:r>
        <w:rPr>
          <w:b/>
        </w:rPr>
        <w:t>Cost growth</w:t>
      </w:r>
      <w:r>
        <w:t xml:space="preserve"> (unadjusted bivariate comparison): Cohen's </w:t>
      </w:r>
      <w:r>
        <w:rPr>
          <w:i/>
        </w:rPr>
        <w:t>d</w:t>
      </w:r>
      <w:r>
        <w:t xml:space="preserve"> = 0.20 (small effect). After regression adjustment, the effect was reduced to approximately </w:t>
      </w:r>
      <w:r>
        <w:rPr>
          <w:i/>
        </w:rPr>
        <w:t>d</w:t>
      </w:r>
      <w:r>
        <w:t xml:space="preserve"> = 0.02 (negligible).</w:t>
      </w:r>
    </w:p>
    <w:p>
      <w:pPr>
        <w:pStyle w:val="ListBullet"/>
      </w:pPr>
      <w:r>
        <w:rPr>
          <w:b/>
        </w:rPr>
        <w:t>Modification count</w:t>
      </w:r>
      <w:r>
        <w:t xml:space="preserve">: Cohen's </w:t>
      </w:r>
      <w:r>
        <w:rPr>
          <w:i/>
        </w:rPr>
        <w:t>d</w:t>
      </w:r>
      <w:r>
        <w:t xml:space="preserve"> = 0.08 (negligible effect). The incidence rate ratio of 0.967 corresponds to a 3.3% difference.</w:t>
      </w:r>
    </w:p>
    <w:p>
      <w:pPr>
        <w:pStyle w:val="ListBullet"/>
      </w:pPr>
      <w:r>
        <w:rPr>
          <w:b/>
        </w:rPr>
        <w:t>Number of offers</w:t>
      </w:r>
      <w:r>
        <w:t xml:space="preserve">: Cohen's </w:t>
      </w:r>
      <w:r>
        <w:rPr>
          <w:i/>
        </w:rPr>
        <w:t>d</w:t>
      </w:r>
      <w:r>
        <w:t xml:space="preserve"> = -0.05 (negligible effect).</w:t>
      </w:r>
    </w:p>
    <w:p>
      <w:pPr>
        <w:pStyle w:val="ListBullet"/>
      </w:pPr>
      <w:r>
        <w:rPr>
          <w:b/>
        </w:rPr>
        <w:t>Single-bid rate</w:t>
      </w:r>
      <w:r>
        <w:t xml:space="preserve">: Cohen's </w:t>
      </w:r>
      <w:r>
        <w:rPr>
          <w:i/>
        </w:rPr>
        <w:t>d</w:t>
      </w:r>
      <w:r>
        <w:t xml:space="preserve"> = -0.05, with an odds ratio of 0.752 (medium effect for a rare outcome). The odds ratio suggests a 24.8% reduction in single-bid odds, which is substantively meaningful even though it did not reach statistical significance.</w:t>
      </w:r>
    </w:p>
    <w:p>
      <w:pPr>
        <w:ind w:firstLine="720"/>
      </w:pPr>
      <w:r>
        <w:t>Even the significant interaction effect in Hypothesis 8, while statistically significant, operated within an overall model that explained only 14.0% of the variance in cost growth (</w:t>
      </w:r>
      <w:r>
        <w:rPr>
          <w:i/>
        </w:rPr>
        <w:t>R</w:t>
      </w:r>
      <w:r>
        <w:t>² = 0.140). These modest effect sizes suggest that procurement design, as operationalized in this study, is one of many factors influencing contract outcomes and is not the dominant or even a major factor. This conclusion is not unexpected. Contract outcomes are determined by a complex interplay of factors including requirements quality, contractor capability, market conditions, contract administration quality, funding stability, and political oversight. Procurement design is one lever among many, and even a well-chosen procurement method cannot compensate for poorly defined requirements, inadequate funding, or deficient contract oversight.</w:t>
      </w:r>
    </w:p>
    <w:p>
      <w:pPr>
        <w:ind w:firstLine="720"/>
      </w:pPr>
      <w:r>
        <w:t>The modest effect sizes observed in this study are consistent with the broader empirical literature on public procurement, which has generally found that no single procurement variable explains a large share of outcome variance (Bajari et al., 2014; Lewis &amp; Bajari, 2011). The procurement design decision, while consequential, occurs within a complex system where multiple factors interact to determine outcomes. Isolating the independent contribution of any one factor in such a system requires either experimental manipulation (which is infeasible in this context) or very large samples that can detect small effects with precision.</w:t>
      </w:r>
    </w:p>
    <w:p>
      <w:pPr>
        <w:pStyle w:val="Heading3"/>
      </w:pPr>
      <w:r>
        <w:rPr>
          <w:rFonts w:ascii="Times New Roman" w:hAnsi="Times New Roman"/>
          <w:color w:val="000000"/>
        </w:rPr>
        <w:t>4.9.3 Statistical Power Considerations</w:t>
      </w:r>
    </w:p>
    <w:p>
      <w:pPr>
        <w:ind w:firstLine="720"/>
      </w:pPr>
      <w:r>
        <w:t>An ex post power analysis provides essential context for interpreting the null findings and assists in determining whether the null results reflect genuine null effects in the population or merely insufficient statistical power to detect small effects.</w:t>
      </w:r>
    </w:p>
    <w:p>
      <w:pPr>
        <w:ind w:firstLine="720"/>
      </w:pPr>
      <w:r>
        <w:t xml:space="preserve">For </w:t>
      </w:r>
      <w:r>
        <w:rPr>
          <w:b/>
        </w:rPr>
        <w:t>Hypothesis 1</w:t>
      </w:r>
      <w:r>
        <w:t xml:space="preserve">, the cost growth regression with </w:t>
      </w:r>
      <w:r>
        <w:rPr>
          <w:i/>
        </w:rPr>
        <w:t>N</w:t>
      </w:r>
      <w:r>
        <w:t xml:space="preserve"> = 2,164, </w:t>
      </w:r>
      <w:r>
        <w:rPr>
          <w:i/>
        </w:rPr>
        <w:t>R</w:t>
      </w:r>
      <w:r>
        <w:t xml:space="preserve">² = 0.151, and the observed number of predictors had approximately 80% power to detect a small-to-medium incremental effect of the Tradeoff variable corresponding to </w:t>
      </w:r>
      <w:r>
        <w:rPr>
          <w:i/>
        </w:rPr>
        <w:t>f</w:t>
      </w:r>
      <w:r>
        <w:t xml:space="preserve">² = 0.02 (roughly </w:t>
      </w:r>
      <w:r>
        <w:rPr>
          <w:i/>
        </w:rPr>
        <w:t>d</w:t>
      </w:r>
      <w:r>
        <w:t xml:space="preserve"> = 0.28) at alpha = .05. The observed effect size of the Tradeoff variable (approximately </w:t>
      </w:r>
      <w:r>
        <w:rPr>
          <w:i/>
        </w:rPr>
        <w:t>d</w:t>
      </w:r>
      <w:r>
        <w:t xml:space="preserve"> = 0.02 based on the regression point estimate and standard error) was well below this detection threshold. This result has two possible interpretations. Either the true effect of procurement design on cost growth is very small (detectable only with samples an order of magnitude larger than the present one), or the true effect is genuinely zero. The robustness analyses, which consistently produce non-significant estimates close to zero, support the interpretation that any true effect is either zero or extremely small.</w:t>
      </w:r>
    </w:p>
    <w:p>
      <w:pPr>
        <w:ind w:firstLine="720"/>
      </w:pPr>
      <w:r>
        <w:t xml:space="preserve">For </w:t>
      </w:r>
      <w:r>
        <w:rPr>
          <w:b/>
        </w:rPr>
        <w:t>Hypothesis 2</w:t>
      </w:r>
      <w:r>
        <w:t xml:space="preserve">, the negative binomial model with </w:t>
      </w:r>
      <w:r>
        <w:rPr>
          <w:i/>
        </w:rPr>
        <w:t>N</w:t>
      </w:r>
      <w:r>
        <w:t xml:space="preserve"> = 3,869 had adequate power to detect small effects on the modification count, given the full utilization of the comparison sample. The observed effect (IRR = 0.967, corresponding to a 3.3% difference) was well within the range that the model could reliably detect if it were statistically significant. The non-significance of the estimate thus reflects the genuine absence of a meaningful difference in modification counts rather than a power limitation.</w:t>
      </w:r>
    </w:p>
    <w:p>
      <w:pPr>
        <w:ind w:firstLine="720"/>
      </w:pPr>
      <w:r>
        <w:t xml:space="preserve">For </w:t>
      </w:r>
      <w:r>
        <w:rPr>
          <w:b/>
        </w:rPr>
        <w:t>Hypothesis 6</w:t>
      </w:r>
      <w:r>
        <w:t xml:space="preserve"> (single-bid competition), the logistic regression with </w:t>
      </w:r>
      <w:r>
        <w:rPr>
          <w:i/>
        </w:rPr>
        <w:t>N</w:t>
      </w:r>
      <w:r>
        <w:t xml:space="preserve"> = 3,869 and a base rate of approximately 5% had limited power to detect small effects on a rare outcome. The observed odds ratio of 0.752 (</w:t>
      </w:r>
      <w:r>
        <w:rPr>
          <w:i/>
        </w:rPr>
        <w:t>p</w:t>
      </w:r>
      <w:r>
        <w:t xml:space="preserve"> = .085) corresponds to a medium effect size for a rare outcome, and a power calculation indicates that a sample approximately 1.5 to 2 times the size of the present one would be needed to achieve 80% power for an effect of this magnitude. This power limitation should be considered when interpreting the marginal significance of the single-bid finding. The marginal significance (</w:t>
      </w:r>
      <w:r>
        <w:rPr>
          <w:i/>
        </w:rPr>
        <w:t>p</w:t>
      </w:r>
      <w:r>
        <w:t xml:space="preserve"> = .085) combined with the consistent direction across full-sample and matched-sample analyses suggests that a real but modest effect may exist that the present study lacked the power to confirm at the .05 level.</w:t>
      </w:r>
    </w:p>
    <w:p>
      <w:pPr>
        <w:ind w:firstLine="720"/>
      </w:pPr>
      <w:r>
        <w:t xml:space="preserve">For </w:t>
      </w:r>
      <w:r>
        <w:rPr>
          <w:b/>
        </w:rPr>
        <w:t>Hypothesis 8</w:t>
      </w:r>
      <w:r>
        <w:t xml:space="preserve"> (complexity moderation), statistical power was sufficient to detect the interaction effect, as evidenced by the significant result (</w:t>
      </w:r>
      <w:r>
        <w:rPr>
          <w:i/>
        </w:rPr>
        <w:t>p</w:t>
      </w:r>
      <w:r>
        <w:t xml:space="preserve"> = .003). The interaction effect was estimated with adequate precision, and the </w:t>
      </w:r>
      <w:r>
        <w:rPr>
          <w:i/>
        </w:rPr>
        <w:t>t</w:t>
      </w:r>
      <w:r>
        <w:t>-statistic of 2.98 was well above the critical value. The conclusion of moderation support rests on a solid statistical foundation and is unlikely to reflect a Type I error.</w:t>
      </w:r>
    </w:p>
    <w:p>
      <w:pPr>
        <w:pStyle w:val="Heading3"/>
      </w:pPr>
      <w:r>
        <w:rPr>
          <w:rFonts w:ascii="Times New Roman" w:hAnsi="Times New Roman"/>
          <w:color w:val="000000"/>
        </w:rPr>
        <w:t>4.9.4 Implications for Subsequent Chapters</w:t>
      </w:r>
    </w:p>
    <w:p>
      <w:pPr>
        <w:ind w:firstLine="720"/>
      </w:pPr>
      <w:r>
        <w:t>The results presented in this chapter establish two principal findings that frame the discussion in Chapter 5. First, the main-effect relationships between procurement design and contract outcomes—cost growth, modification intensity, and competition—are not statistically significant in the present data. Quality-evaluating procurement designs do not produce uniformly better outcomes than negotiated fixed-price designs across the dimensions measured. This finding challenges the widely held assumption in the procurement policy community that best-value tradeoff source selection inherently produces superior outcomes, and it suggests that the relationship between procurement method and contract performance is more complex than conventional wisdom assumes.</w:t>
      </w:r>
    </w:p>
    <w:p>
      <w:pPr>
        <w:ind w:firstLine="720"/>
      </w:pPr>
      <w:r>
        <w:t>Second, procurement complexity significantly moderates the relationship between procurement design and cost growth, with quality-evaluating designs showing a cost growth advantage at lower complexity levels that diminishes and reverses at higher complexity levels. This finding supports the contingency logic of transaction cost economics and provides empirical grounding for the FAR's principle that source selection method should be matched to the characteristics of the requirement. The moderation finding also identifies a specific boundary condition—the approximate $2 million crossover point—that has potential practical implications for procurement policy and practice.</w:t>
      </w:r>
    </w:p>
    <w:p>
      <w:pPr>
        <w:ind w:firstLine="720"/>
      </w:pPr>
      <w:r>
        <w:t>Together, these findings contribute to the literature by replacing the binary question "Is best-value tradeoff better than LPTA?" with the more nuanced question "Under what conditions does procurement design choice matter, and how?" Chapter 5 discusses the theoretical, methodological, and policy implications of these findings in the context of the existing literature and identifies directions for future research that can further refine understanding of the contingent relationship between procurement design and public value.</w:t>
      </w:r>
    </w:p>
    <w:p>
      <w:r>
        <w:br w:type="page"/>
      </w:r>
    </w:p>
    <w:p>
      <w:pPr>
        <w:pStyle w:val="Heading1"/>
      </w:pPr>
      <w:r>
        <w:rPr>
          <w:rFonts w:ascii="Times New Roman" w:hAnsi="Times New Roman"/>
          <w:color w:val="000000"/>
        </w:rPr>
        <w:t>Chapter 5: Discussion and Conclusions</w:t>
      </w:r>
    </w:p>
    <w:p>
      <w:pPr>
        <w:pStyle w:val="Heading2"/>
      </w:pPr>
      <w:r>
        <w:rPr>
          <w:rFonts w:ascii="Times New Roman" w:hAnsi="Times New Roman"/>
          <w:color w:val="000000"/>
        </w:rPr>
        <w:t>5.1 Summary of Key Findings</w:t>
      </w:r>
    </w:p>
    <w:p>
      <w:pPr>
        <w:ind w:firstLine="720"/>
      </w:pPr>
      <w:r>
        <w:t>This dissertation set out to answer a deceptively simple question: Does the method by which the federal government selects a contractor—specifically, whether it employs a quality-evaluating best-value tradeoff (QE) or a negotiated fixed-price lowest-price technically acceptable (NFP) approach—have a measurable effect on the outcomes that matter to taxpayers? The theoretical framework developed in Chapter 2, drawing on transaction cost economics (Williamson, 1985, 1996), public value theory (Moore, 1995; Benington &amp; Moore, 2011), auction theory (Vickrey, 1961; Che, 1993), and incomplete contract theory (Bajari &amp; Tadelis, 2001; Hart &amp; Moore, 1988), predicted that best-value tradeoff source selection would produce superior public-value outcomes for complex service and technology procurements. The prediction rested on a coherent causal logic: by evaluating quality alongside price, tradeoff mechanisms should select higher-capability contractors, reduce strategic underbidding, and produce better lifecycle cost performance. The empirical evidence reviewed in Chapter 2—principally from defense acquisition studies (Osman et al., 2017; Watson, 2015; Baker, 2016)—offered suggestive but methodologically limited support for this prediction.</w:t>
      </w:r>
    </w:p>
    <w:p>
      <w:pPr>
        <w:ind w:firstLine="720"/>
      </w:pPr>
      <w:r>
        <w:t xml:space="preserve">The present study tested these predictions with a large-sample quasi-experimental analysis of 15,477 competitive federal service and information technology contract awards above $250,000 from the second quarter of fiscal year 2024, drawn from USAspending.gov archival data. The primary comparison was between Quality-Evaluating (QE, n = 1,379) procurement designs—operationalized through the FPDS </w:t>
      </w:r>
      <w:r>
        <w:rPr>
          <w:rFonts w:ascii="Courier New" w:hAnsi="Courier New"/>
          <w:sz w:val="20"/>
        </w:rPr>
        <w:t>source_selection_process</w:t>
      </w:r>
      <w:r>
        <w:t xml:space="preserve"> field as tradeoff awards—and Negotiated Fixed-Price (NFP, n = 2,490) designs. The identification strategy employed propensity score matching (PSM) to address selection on observables, supplemented by OLS, negative binomial, and logistic regression models with agency and NAICS fixed effects.</w:t>
      </w:r>
    </w:p>
    <w:p>
      <w:pPr>
        <w:ind w:firstLine="720"/>
      </w:pPr>
      <w:r>
        <w:t>The results, presented in full in Chapter 4, can be summarized as follows:</w:t>
      </w:r>
    </w:p>
    <w:p>
      <w:pPr>
        <w:ind w:firstLine="720"/>
      </w:pPr>
      <w:r>
        <w:rPr>
          <w:b/>
        </w:rPr>
        <w:t>Hypothesis 1 (Cost Growth)—Not Supported.</w:t>
      </w:r>
      <w:r>
        <w:t xml:space="preserve"> The central hypothesis of the dissertation predicted that QE procurement design would be associated with lower post-award cost growth compared to NFP design. The OLS estimate in the full sample was small, positive, and statistically nonsignificant (coefficient = 0.413, </w:t>
      </w:r>
      <w:r>
        <w:rPr>
          <w:i/>
        </w:rPr>
        <w:t>p</w:t>
      </w:r>
      <w:r>
        <w:t xml:space="preserve"> = 0.377). In the PSM-matched sample, the estimate was marginally significant but in the </w:t>
      </w:r>
      <w:r>
        <w:rPr>
          <w:i/>
        </w:rPr>
        <w:t>opposite</w:t>
      </w:r>
      <w:r>
        <w:t xml:space="preserve"> direction from the theoretical prediction (coefficient = 1.033, </w:t>
      </w:r>
      <w:r>
        <w:rPr>
          <w:i/>
        </w:rPr>
        <w:t>p</w:t>
      </w:r>
      <w:r>
        <w:t xml:space="preserve"> = 0.061), suggesting that QE design may be associated with slightly </w:t>
      </w:r>
      <w:r>
        <w:rPr>
          <w:i/>
        </w:rPr>
        <w:t>higher</w:t>
      </w:r>
      <w:r>
        <w:t xml:space="preserve"> rather than lower cost growth. The null main effect on cost growth was the most robust finding of the study: it held across all specifications, subsamples, and robustness checks.</w:t>
      </w:r>
    </w:p>
    <w:p>
      <w:pPr>
        <w:ind w:firstLine="720"/>
      </w:pPr>
      <w:r>
        <w:rPr>
          <w:b/>
        </w:rPr>
        <w:t>Hypothesis 2 (Modification Intensity)—Not Supported.</w:t>
      </w:r>
      <w:r>
        <w:t xml:space="preserve"> The negative binomial generalized linear model found no significant difference in modification intensity between QE and NFP designs (coefficient = -0.034, </w:t>
      </w:r>
      <w:r>
        <w:rPr>
          <w:i/>
        </w:rPr>
        <w:t>p</w:t>
      </w:r>
      <w:r>
        <w:t xml:space="preserve"> = 0.449). The direction of the point estimate was consistent with theory (slightly fewer modifications for QE), but the magnitude was trivial and the confidence interval comfortably spanned zero.</w:t>
      </w:r>
    </w:p>
    <w:p>
      <w:pPr>
        <w:ind w:firstLine="720"/>
      </w:pPr>
      <w:r>
        <w:rPr>
          <w:b/>
        </w:rPr>
        <w:t>Hypothesis 6 (Single-Bid Rates)—Not Supported at alpha = 0.05.</w:t>
      </w:r>
      <w:r>
        <w:t xml:space="preserve"> The logistic regression yielded a marginally significant result (</w:t>
      </w:r>
      <w:r>
        <w:rPr>
          <w:i/>
        </w:rPr>
        <w:t>p</w:t>
      </w:r>
      <w:r>
        <w:t xml:space="preserve"> = 0.085) with an odds ratio of 0.752, suggesting that QE design is associated with approximately 25% lower odds of a single-bid outcome. While the direction of the effect was consistent with the theoretical prediction that tradeoff evaluation encourages broader competitive participation, the result did not reach conventional statistical significance thresholds.</w:t>
      </w:r>
    </w:p>
    <w:p>
      <w:pPr>
        <w:ind w:firstLine="720"/>
      </w:pPr>
      <w:r>
        <w:rPr>
          <w:b/>
        </w:rPr>
        <w:t>Hypothesis 8 (Complexity Moderation)—Supported.</w:t>
      </w:r>
      <w:r>
        <w:t xml:space="preserve"> The one clearly supported hypothesis was the interaction effect. Award size—used as a proxy for procurement complexity—significantly moderated the relationship between procurement design and cost growth (interaction coefficient = 0.619, </w:t>
      </w:r>
      <w:r>
        <w:rPr>
          <w:i/>
        </w:rPr>
        <w:t>p</w:t>
      </w:r>
      <w:r>
        <w:t xml:space="preserve"> = 0.003). At smaller award sizes, QE design was associated with lower cost growth relative to NFP; at larger award sizes, this advantage reversed, with QE design associated with higher cost growth. This crossover interaction was the most substantively important finding of the study.</w:t>
      </w:r>
    </w:p>
    <w:p>
      <w:pPr>
        <w:ind w:firstLine="720"/>
      </w:pPr>
      <w:r>
        <w:rPr>
          <w:b/>
        </w:rPr>
        <w:t>Hypotheses 3, 4, 5, 7, 9, and 10—Not Directly Testable.</w:t>
      </w:r>
      <w:r>
        <w:t xml:space="preserve"> Six of the ten hypotheses articulated in Chapter 2 were not directly testable with the archival data available for this study. These hypotheses concerned solicitation quality as a mediator (H3), bid protest regime clarity and procurement cycle times (H4), oversight layer effects on schedule and cost (H5), competition intensity as a mediator of solicitation design effects (H7), the dual effects of protest availability on delay and accountability (H9), and the effects of standardized best-value guidance on outcome variance (H10). The data requirements for these hypotheses—including CPARS performance ratings, content analysis of solicitation documents, cross-jurisdictional institutional data, and natural experiment identification—exceed what is available in the FPDS and USAspending.gov public datasets. These hypotheses are addressed as future research directions in Section 5.6.</w:t>
      </w:r>
    </w:p>
    <w:p>
      <w:pPr>
        <w:ind w:firstLine="720"/>
      </w:pPr>
      <w:r>
        <w:t xml:space="preserve">The propensity score matching diagnostics indicated that 1,093 of the 1,379 treated (QE) units were successfully matched (79.3%). Most covariates achieved satisfactory balance after matching, with standardized mean differences reduced by 57% to 80%. NAICS sector balance was less improved (approximately 15% reduction in the standardized mean difference for </w:t>
      </w:r>
      <w:r>
        <w:rPr>
          <w:rFonts w:ascii="Courier New" w:hAnsi="Courier New"/>
          <w:sz w:val="20"/>
        </w:rPr>
        <w:t>naics_2digit</w:t>
      </w:r>
      <w:r>
        <w:t>), indicating residual industry-level confounding that the matching procedure did not fully resolve. All robustness checks—including full-sample estimation, agency subsamples, NAICS subsamples, and outlier exclusion—confirmed the pattern of null main effects and the significant complexity moderation.</w:t>
      </w:r>
    </w:p>
    <w:p>
      <w:pPr>
        <w:ind w:firstLine="720"/>
      </w:pPr>
      <w:r>
        <w:t>In summary, the empirical results of this dissertation are characterized by a striking pattern: the theoretical predictions derived from multiple converging intellectual traditions were largely not confirmed by the data. The main effects of source selection method on cost growth and modification intensity were null, the competition effect was marginal, and only the complexity moderation hypothesis received clear empirical support. The implications of these findings—for theory, for policy, and for future research—are the subject of the sections that follow.</w:t>
      </w:r>
    </w:p>
    <w:p>
      <w:pPr>
        <w:pStyle w:val="Heading2"/>
      </w:pPr>
      <w:r>
        <w:rPr>
          <w:rFonts w:ascii="Times New Roman" w:hAnsi="Times New Roman"/>
          <w:color w:val="000000"/>
        </w:rPr>
        <w:t>5.2 Interpretation of Results</w:t>
      </w:r>
    </w:p>
    <w:p>
      <w:pPr>
        <w:pStyle w:val="Heading3"/>
      </w:pPr>
      <w:r>
        <w:rPr>
          <w:rFonts w:ascii="Times New Roman" w:hAnsi="Times New Roman"/>
          <w:color w:val="000000"/>
        </w:rPr>
        <w:t>5.2.1 The Non-Finding on Cost Growth (H1): Why Source Selection Method May Not Drive Post-Award Cost Outcomes</w:t>
      </w:r>
    </w:p>
    <w:p>
      <w:pPr>
        <w:ind w:firstLine="720"/>
      </w:pPr>
      <w:r>
        <w:t xml:space="preserve">The null result on Hypothesis 1 is the most consequential finding of this study, and it warrants careful interpretation. The theoretical prediction was unambiguous: transaction cost economics, auction theory, and incomplete contract theory all converge on the expectation that price-only selection mechanisms will produce higher post-award cost growth for complex procurements, because such mechanisms select for aggressive pricing, attract bidders prone to strategic underbidding, and fail to screen for contractor capability (Bajari &amp; Tadelis, 2001; Williamson, 1985; Thaler, 1988). The prior empirical literature, though methodologically limited, was generally consistent with this prediction (Osman et al., 2017; Watson, 2015). The finding that QE design was not associated with lower cost growth—and was, in the matched sample, marginally associated with </w:t>
      </w:r>
      <w:r>
        <w:rPr>
          <w:i/>
        </w:rPr>
        <w:t>higher</w:t>
      </w:r>
      <w:r>
        <w:t xml:space="preserve"> cost growth—challenges these expectations and demands explanation.</w:t>
      </w:r>
    </w:p>
    <w:p>
      <w:pPr>
        <w:ind w:firstLine="720"/>
      </w:pPr>
      <w:r>
        <w:t>Several interpretations merit consideration. The first and most straightforward is that the theoretical prediction, while logically sound in the abstract, rests on assumptions about the procurement environment that may not hold in the contemporary federal context. The theory assumes that source selection method is the binding constraint on contractor selection—that is, that the choice between LPTA and tradeoff is the principal determinant of which contractor wins and at what price. In practice, however, the federal procurement system embeds numerous other mechanisms that influence contractor selection and post-award performance: responsibility determinations, past performance information systems, small business set-aside programs, organizational conflict of interest screening, security clearance requirements, and task-order competition under indefinite-delivery vehicles. These mechanisms collectively impose quality floors that may reduce the marginal contribution of the source selection method itself. If the federal procurement system already screens out the lowest-quality contractors through non-source-selection mechanisms, then the incremental benefit of adding quality evaluation to the source selection process may be smaller than theory predicts.</w:t>
      </w:r>
    </w:p>
    <w:p>
      <w:pPr>
        <w:ind w:firstLine="720"/>
      </w:pPr>
      <w:r>
        <w:t>A second interpretation relates to the endogeneity of method choice. Although the propensity score matching procedure was designed to address selection on observables, it cannot eliminate selection on unobservables. Contracting officers who choose QE/tradeoff evaluation may do so precisely because the procurement in question is inherently more complex, risky, or uncertain than observably similar procurements awarded through NFP/LPTA. If unobserved complexity drives both the choice of tradeoff evaluation and higher post-award cost growth, then the true treatment effect of QE design may be negative (cost-reducing), but the observed estimate is biased upward by the confounding influence of unobserved complexity. Under this interpretation, the null or marginally positive estimate represents the net effect of a genuine cost-reducing treatment effect partially offset by a positive selection effect. This interpretation is consistent with the theoretical framework but cannot be confirmed or rejected with observational data alone.</w:t>
      </w:r>
    </w:p>
    <w:p>
      <w:pPr>
        <w:ind w:firstLine="720"/>
      </w:pPr>
      <w:r>
        <w:t>A third interpretation involves the distinction between cost growth as a signal of poor performance and cost growth as a reflection of legitimate scope evolution. Not all modifications that increase contract value represent contractor failure or strategic underbidding. Many modifications reflect changing government requirements, additional work the government wishes the contractor to perform, or the exercise of pre-priced options that were always part of the intended procurement. If QE-awarded contracts tend to involve requirements that evolve more over the contract period—because, for example, complex technology procurements are inherently less predictable—then higher cost growth in QE contracts may reflect scope evolution rather than cost control failure. The archival data do not permit the analyst to distinguish between these types of modifications, a limitation acknowledged in Chapter 3 and elaborated in Section 5.5.</w:t>
      </w:r>
    </w:p>
    <w:p>
      <w:pPr>
        <w:ind w:firstLine="720"/>
      </w:pPr>
      <w:r>
        <w:t>A fourth interpretation concerns the temporal scope of the data. The study analyzed a single quarter of FY2024, and the cost growth variable captures only the modifications that had been processed as of the data extraction date. Many contracts in the sample were still in active performance, meaning that their ultimate cost growth had not yet been realized. If the cost growth patterns of QE and NFP contracts diverge over time—with QE contracts exhibiting lower cost growth in later years as their initial quality advantages compound—then a cross-sectional snapshot may fail to detect an effect that would emerge in a longer panel. Conversely, if QE contracts front-load their modifications (because tradeoff evaluations tend to result in more detailed statements of work that are refined through early-period modifications), the snapshot may overestimate QE cost growth relative to its long-run trajectory.</w:t>
      </w:r>
    </w:p>
    <w:p>
      <w:pPr>
        <w:ind w:firstLine="720"/>
      </w:pPr>
      <w:r>
        <w:t>A fifth interpretation, informed by the broader institutional economics literature, is that the distinction between LPTA and tradeoff may simply matter less than the quality of the procurement process as a whole. Kelman (1990, 2005) argued that the federal procurement system's emphasis on procedural compliance and rule-following, while valuable for preventing corruption and ensuring transparency, can create a bureaucratic environment in which the formal evaluation method is less consequential than the skill, judgment, and effort of the acquisition professionals who implement it. Under this view, a well-executed LPTA procurement by an experienced contracting officer with clear requirements may outperform a poorly executed tradeoff by an inexperienced officer with vague requirements. The source selection method is a necessary but not sufficient condition for good outcomes; its effect is contingent on the human capital, organizational support, and institutional context in which it is applied.</w:t>
      </w:r>
    </w:p>
    <w:p>
      <w:pPr>
        <w:ind w:firstLine="720"/>
      </w:pPr>
      <w:r>
        <w:t>The robustness of the null finding across all specifications and subsamples strengthens the inference that the result reflects a genuine empirical pattern rather than a statistical artifact. The null was observed in the full sample, in the PSM-matched sample, in agency subsamples, in NAICS subsamples, and with and without outlier exclusion. This consistency across multiple analytical frames suggests that whatever the mechanism underlying the null result, it is pervasive rather than confined to a particular subset of the data.</w:t>
      </w:r>
    </w:p>
    <w:p>
      <w:pPr>
        <w:pStyle w:val="Heading3"/>
      </w:pPr>
      <w:r>
        <w:rPr>
          <w:rFonts w:ascii="Times New Roman" w:hAnsi="Times New Roman"/>
          <w:color w:val="000000"/>
        </w:rPr>
        <w:t>5.2.2 Modification Intensity (H2): Contract Management vs. Contract Selection</w:t>
      </w:r>
    </w:p>
    <w:p>
      <w:pPr>
        <w:ind w:firstLine="720"/>
      </w:pPr>
      <w:r>
        <w:t>The null result on Hypothesis 2—no significant difference in modification intensity between QE and NFP designs—extends the interpretive challenge raised by the cost growth finding. The theory of strategic underbidding (Jung et al., 2013; Bajari et al., 2014) predicts that contractors selected on price alone will be more likely to engage in post-award cost recovery through change orders and modifications, because their initial pricing was strategically low. The null finding on modification intensity suggests that this mechanism, while theoretically compelling, does not manifest as a detectable difference in modification counts across source selection methods in the federal procurement data.</w:t>
      </w:r>
    </w:p>
    <w:p>
      <w:pPr>
        <w:ind w:firstLine="720"/>
      </w:pPr>
      <w:r>
        <w:t>Several factors may explain this result. First, modification intensity in the federal system is driven as much by the government's behavior as by the contractor's. Federal contracts are modified for a wide variety of reasons: funding increments, option exercises, scope additions, administrative changes, novations, and changes in the period of performance. Many of these modifications originate with the government rather than the contractor and reflect the government's evolving needs rather than the contractor's post-award strategy. If government-initiated modifications dominate the modification count, then the contractor's source-selection-induced behavior may be swamped by the government's contract management behavior, making it difficult to detect a source-selection effect.</w:t>
      </w:r>
    </w:p>
    <w:p>
      <w:pPr>
        <w:ind w:firstLine="720"/>
      </w:pPr>
      <w:r>
        <w:t>Second, the federal contract administration system imposes constraints on post-award behavior that may attenuate the strategic underbidding mechanism. Contracting officers are trained to scrutinize modification requests, and the FAR provides procedural safeguards (including the changes clause, equitable adjustment provisions, and constructive change doctrines) that structure the renegotiation process in ways that limit a contractor's ability to extract rents through opportunistic modification requests (Cibinic et al., 2015). These institutional safeguards may function as a substitute for the screening function that tradeoff evaluation is theorized to provide, reducing the observable difference between QE and NFP contracts in post-award modification patterns.</w:t>
      </w:r>
    </w:p>
    <w:p>
      <w:pPr>
        <w:ind w:firstLine="720"/>
      </w:pPr>
      <w:r>
        <w:t>Third, the modification count variable used in this study is a blunt instrument that does not distinguish between types of modifications. A contract with ten modifications, all of which are routine funding increments, has a very different post-award profile than a contract with ten modifications reflecting disputed change orders and scope disputes. Without data on modification type and the underlying reason for each modification, the count variable captures administrative activity rather than contractual dysfunction. Future research that can classify modifications by type—distinguishing between administrative, scope-expanding, cost-adjusting, and dispute-related modifications—would provide a more precise test of the strategic underbidding hypothesis.</w:t>
      </w:r>
    </w:p>
    <w:p>
      <w:pPr>
        <w:ind w:firstLine="720"/>
      </w:pPr>
      <w:r>
        <w:t>The null result on modification intensity, considered alongside the null result on cost growth, suggests a broader conclusion: the source selection method, by itself, may not be a primary determinant of post-award contract behavior. This does not mean that source selection is irrelevant—the complexity moderation finding (discussed in Section 5.2.4) indicates that it matters under certain conditions—but it does suggest that the contract management environment, the quality of requirements, and the competence of the acquisition workforce may be more consequential for post-award outcomes than the formal evaluation method used to select the contractor.</w:t>
      </w:r>
    </w:p>
    <w:p>
      <w:pPr>
        <w:pStyle w:val="Heading3"/>
      </w:pPr>
      <w:r>
        <w:rPr>
          <w:rFonts w:ascii="Times New Roman" w:hAnsi="Times New Roman"/>
          <w:color w:val="000000"/>
        </w:rPr>
        <w:t>5.2.3 The Marginal Competition Effect (H6): Procurement Design and Market Participation</w:t>
      </w:r>
    </w:p>
    <w:p>
      <w:pPr>
        <w:ind w:firstLine="720"/>
      </w:pPr>
      <w:r>
        <w:t xml:space="preserve">The marginal result on Hypothesis 6—QE design associated with approximately 25% lower odds of a single-bid outcome, with </w:t>
      </w:r>
      <w:r>
        <w:rPr>
          <w:i/>
        </w:rPr>
        <w:t>p</w:t>
      </w:r>
      <w:r>
        <w:t xml:space="preserve"> = 0.085—is perhaps the most intriguing of the study's findings precisely because it straddles the boundary between statistical significance and non-significance. At conventional thresholds (alpha = 0.05), the result does not warrant rejection of the null hypothesis. At more permissive thresholds sometimes used in exploratory or policy-relevant research (alpha = 0.10), the result would be considered significant. The appropriate interpretation depends on both the statistical evidence and the substantive context.</w:t>
      </w:r>
    </w:p>
    <w:p>
      <w:pPr>
        <w:ind w:firstLine="720"/>
      </w:pPr>
      <w:r>
        <w:t>The theoretical rationale for expecting a competition effect is strong. Auction theory predicts that when evaluations consider quality alongside price, a broader range of firms can compete effectively, because firms with higher quality but higher costs are no longer automatically excluded (Che, 1993; Asker &amp; Cantillon, 2008). Under LPTA, firms that invest in quality, experienced personnel, and innovative approaches face a systematic disadvantage because these investments increase their cost base, making them uncompetitive against low-cost bidders. The LPTA mechanism thus creates a selection environment that discourages quality-oriented firms from participating, narrowing the competitive field. Under tradeoff evaluation, the same quality investments may be rewarded through higher technical scores, encouraging participation by a wider range of firms.</w:t>
      </w:r>
    </w:p>
    <w:p>
      <w:pPr>
        <w:ind w:firstLine="720"/>
      </w:pPr>
      <w:r>
        <w:t>The marginal empirical result is directionally consistent with this theoretical prediction. The odds ratio of 0.752 suggests that QE procurement design is associated with a meaningful—if not statistically certain—reduction in the probability of receiving only a single bid. A 25% reduction in the odds of a single-bid outcome, if real, would have considerable practical significance for the federal procurement system, where single-bid rates have been a persistent concern for the Government Accountability Office and congressional oversight bodies (GAO, 2024).</w:t>
      </w:r>
    </w:p>
    <w:p>
      <w:pPr>
        <w:ind w:firstLine="720"/>
      </w:pPr>
      <w:r>
        <w:t>The failure to reach statistical significance at conventional thresholds may reflect insufficient statistical power rather than a genuinely null effect. The single-bid outcome variable is binary, and logistic regression on binary outcomes typically requires larger sample sizes than linear regression on continuous outcomes to detect effects of comparable magnitude. The subsample of QE contracts (n = 1,379) may not provide sufficient power to detect a competition effect that genuinely exists but is modest in magnitude. Alternatively, the marginal significance may reflect genuine heterogeneity in the competition effect across procurement contexts: QE design may substantially increase competition for some types of procurements while having little effect on others, producing a diluted average effect that is only marginally significant in the pooled sample.</w:t>
      </w:r>
    </w:p>
    <w:p>
      <w:pPr>
        <w:ind w:firstLine="720"/>
      </w:pPr>
      <w:r>
        <w:t>These considerations counsel against dismissing the competition finding entirely while also cautioning against over-interpreting it. The result warrants further investigation with larger samples, longer time horizons, and finer-grained measures of competitive participation (e.g., the number of offers received, rather than the binary single-bid indicator). It also motivates qualitative inquiry into the decision processes of potential offerors: Do firms report that they are more likely to bid on tradeoff solicitations than on LPTA solicitations? If so, what features of the tradeoff process encourage their participation? These questions are addressed as future research directions in Section 5.6.</w:t>
      </w:r>
    </w:p>
    <w:p>
      <w:pPr>
        <w:pStyle w:val="Heading3"/>
      </w:pPr>
      <w:r>
        <w:rPr>
          <w:rFonts w:ascii="Times New Roman" w:hAnsi="Times New Roman"/>
          <w:color w:val="000000"/>
        </w:rPr>
        <w:t>5.2.4 The Complexity Moderation Finding (H8): When Source Selection Method Matters</w:t>
      </w:r>
    </w:p>
    <w:p>
      <w:pPr>
        <w:ind w:firstLine="720"/>
      </w:pPr>
      <w:r>
        <w:t>The one clearly supported hypothesis—that procurement complexity, proxied by award size, moderates the relationship between source selection method and cost growth—is the most substantively important finding of this study. The interaction coefficient of 0.619 (</w:t>
      </w:r>
      <w:r>
        <w:rPr>
          <w:i/>
        </w:rPr>
        <w:t>p</w:t>
      </w:r>
      <w:r>
        <w:t xml:space="preserve"> = 0.003) indicates that award size significantly modifies the QE-NFP cost growth differential. At smaller award sizes, QE design is associated with lower cost growth relative to NFP; as award size increases, this advantage diminishes and eventually reverses, with QE design associated with higher cost growth at the largest award sizes.</w:t>
      </w:r>
    </w:p>
    <w:p>
      <w:pPr>
        <w:ind w:firstLine="720"/>
      </w:pPr>
      <w:r>
        <w:t>This crossover interaction pattern invites several interpretations, and its implications for theory and practice are considerable.</w:t>
      </w:r>
    </w:p>
    <w:p>
      <w:pPr>
        <w:ind w:firstLine="720"/>
      </w:pPr>
      <w:r>
        <w:t>The most straightforward interpretation, consistent with transaction cost economics (Williamson, 1985, 1996) and incomplete contract theory (Bajari &amp; Tadelis, 2001), is that the value of quality-based evaluation depends on the contractual context. For smaller, less complex procurements, the tradeoff evaluation process may genuinely select higher-capability contractors who perform with less cost growth, validating the theoretical prediction. For larger, more complex procurements, however, the relationship may be confounded by factors that the simple QE-NFP distinction does not capture. Larger procurements tend to involve longer performance periods, more stakeholders, greater requirements uncertainty, and more extensive government-furnished support—all of which increase the probability of legitimate scope changes and modifications regardless of which contractor was selected and how. The tradeoff evaluation process, while potentially selecting a better contractor, may not be sufficient to contain the inherent cost volatility of large, complex procurement programs.</w:t>
      </w:r>
    </w:p>
    <w:p>
      <w:pPr>
        <w:ind w:firstLine="720"/>
      </w:pPr>
      <w:r>
        <w:t>An alternative interpretation invokes the concept of diminishing marginal returns to evaluation sophistication. For small procurements, the incremental information value of a tradeoff evaluation (relative to LPTA) is high: the difference between a well-qualified contractor and a barely-qualified low bidder can be decisive in determining whether the contract succeeds. For large procurements, additional factors—contract type, incentive structure, program management capability, organizational governance—may dominate the outcome to such a degree that the source selection method becomes a secondary consideration. In the language of statistical explanation, the variance in outcomes attributable to source selection method may represent a smaller share of total variance for large procurements than for small ones.</w:t>
      </w:r>
    </w:p>
    <w:p>
      <w:pPr>
        <w:ind w:firstLine="720"/>
      </w:pPr>
      <w:r>
        <w:t>A third interpretation relates to the measurement of complexity itself. Award size is used as a proxy for procurement complexity, but the relationship between size and complexity is not monotonic. Some very large procurements are straightforward (e.g., large-volume commodity buys), while some smaller procurements are extremely complex (e.g., specialized cybersecurity assessments). If the proxy imperfectly captures the underlying complexity construct, the observed interaction pattern may reflect the imperfection of the proxy rather than a genuine crossover in the treatment effect. More precise measures of complexity—including NAICS-level differentiation, contract type, and performance period duration—could refine the finding.</w:t>
      </w:r>
    </w:p>
    <w:p>
      <w:pPr>
        <w:ind w:firstLine="720"/>
      </w:pPr>
      <w:r>
        <w:t>Regardless of the precise mechanism, the moderation finding carries an important substantive message: source selection method does not have a uniform effect across the procurement landscape. The effect is context-dependent, and the context that matters most is the scale and complexity of the procurement. This finding has direct implications for policy and practice, discussed in Section 5.4, and for theoretical refinement, discussed in Section 5.3.</w:t>
      </w:r>
    </w:p>
    <w:p>
      <w:pPr>
        <w:pStyle w:val="Heading2"/>
      </w:pPr>
      <w:r>
        <w:rPr>
          <w:rFonts w:ascii="Times New Roman" w:hAnsi="Times New Roman"/>
          <w:color w:val="000000"/>
        </w:rPr>
        <w:t>5.3 Theoretical Implications</w:t>
      </w:r>
    </w:p>
    <w:p>
      <w:pPr>
        <w:pStyle w:val="Heading3"/>
      </w:pPr>
      <w:r>
        <w:rPr>
          <w:rFonts w:ascii="Times New Roman" w:hAnsi="Times New Roman"/>
          <w:color w:val="000000"/>
        </w:rPr>
        <w:t>5.3.1 Implications for Public Value Theory</w:t>
      </w:r>
    </w:p>
    <w:p>
      <w:pPr>
        <w:ind w:firstLine="720"/>
      </w:pPr>
      <w:r>
        <w:t>The results of this study contribute to the ongoing operationalization and empirical testing of public value theory (Moore, 1995, 2013) in the procurement context. Moore's original formulation posited that public managers should seek to create value across multiple dimensions—substantive, political, and operational—but the framework was developed as a conceptual guide for strategic management rather than as a testable empirical model. The procurement literature has embraced public value as a normative lens for evaluating outcomes (Benington &amp; Moore, 2011; Malacina et al., 2022; Wylie, 2021), but the empirical grounding of public value claims in procurement has remained thin.</w:t>
      </w:r>
    </w:p>
    <w:p>
      <w:pPr>
        <w:ind w:firstLine="720"/>
      </w:pPr>
      <w:r>
        <w:t>This study's findings complicate the application of public value theory to source selection policy in two important ways. First, the null main effects on cost growth and modification intensity challenge the assumption that the procurement mechanism is a primary lever for creating public value. If the method by which contractors are selected does not significantly affect the cost performance of the resulting contracts, then the locus of public value creation in procurement may lie elsewhere—in requirements development, contract management, workforce competence, or organizational governance. This does not invalidate public value theory, but it redirects its application: rather than focusing on the source selection method as the critical design choice, public value theory may be more productively applied to the broader procurement system, including the pre-solicitation planning, post-award oversight, and institutional infrastructure that surrounds the evaluation decision.</w:t>
      </w:r>
    </w:p>
    <w:p>
      <w:pPr>
        <w:ind w:firstLine="720"/>
      </w:pPr>
      <w:r>
        <w:t>Second, the complexity moderation finding suggests that public value creation through procurement mechanism design is contingent on context in ways that Moore's framework does not explicitly theorize. Moore's strategic triangle (substantive value, political legitimacy, operational feasibility) provides a useful heuristic for evaluating whether a particular management strategy is likely to create public value, but it does not specify the conditions under which one procurement mechanism will outperform another. The empirical finding that source selection method matters more for smaller, less complex procurements than for larger, more complex ones provides an empirical anchor for a more nuanced application of public value theory—one that recognizes that the value-creating potential of any particular institutional design depends on the characteristics of the transactions it governs.</w:t>
      </w:r>
    </w:p>
    <w:p>
      <w:pPr>
        <w:ind w:firstLine="720"/>
      </w:pPr>
      <w:r>
        <w:t>For the broader public value literature, this study illustrates both the promise and the challenge of moving from theoretical prescription to empirical demonstration. The promise lies in the ability to use large-scale administrative data to test claims about institutional design and value creation. The challenge lies in the complexity of the causal pathways connecting institutional design to outcomes: the relationship is mediated by multiple intervening variables (contractor behavior, government management, market conditions, requirements quality) and moderated by contextual factors (complexity, size, sector) that make simple main-effect tests insufficient. Future applications of public value theory to procurement should adopt the kind of conditional, context-sensitive approach that the moderation finding supports.</w:t>
      </w:r>
    </w:p>
    <w:p>
      <w:pPr>
        <w:pStyle w:val="Heading3"/>
      </w:pPr>
      <w:r>
        <w:rPr>
          <w:rFonts w:ascii="Times New Roman" w:hAnsi="Times New Roman"/>
          <w:color w:val="000000"/>
        </w:rPr>
        <w:t>5.3.2 Implications for Transaction Cost Economics</w:t>
      </w:r>
    </w:p>
    <w:p>
      <w:pPr>
        <w:ind w:firstLine="720"/>
      </w:pPr>
      <w:r>
        <w:t>Transaction cost economics (TCE) provides the most direct theoretical predictions tested in this study. Williamson (1985, 1996) argued that the efficiency of different governance structures depends on the characteristics of the transactions they govern—specifically, asset specificity, uncertainty, and frequency. Applied to procurement, TCE predicts that simple, well-specified, low-uncertainty transactions are efficiently governed by price competition (analogous to market governance), while complex, uncertain, and relationship-specific transactions require more elaborate governance mechanisms that evaluate quality, capability, and relational fitness (analogous to hybrid or hierarchical governance). The best-value tradeoff mechanism, which evaluates multiple dimensions of contractor capability, is the procurement analog of Williamson's hybrid governance form.</w:t>
      </w:r>
    </w:p>
    <w:p>
      <w:pPr>
        <w:ind w:firstLine="720"/>
      </w:pPr>
      <w:r>
        <w:t xml:space="preserve">The null main effect on cost growth does not directly contradict TCE, because TCE's prediction is conditional rather than unconditional: the theory predicts that tradeoff will outperform LPTA </w:t>
      </w:r>
      <w:r>
        <w:rPr>
          <w:i/>
        </w:rPr>
        <w:t>when transaction complexity is high</w:t>
      </w:r>
      <w:r>
        <w:t>, not that tradeoff will always outperform LPTA regardless of context. The complexity moderation finding (H8) is, in fact, broadly consistent with TCE's conditional logic. The finding that QE design is associated with lower cost growth for smaller procurements and higher cost growth for larger ones can be interpreted through a TCE lens: for smaller, less complex transactions, the quality screening provided by tradeoff evaluation adds value that outweighs the additional transaction costs of the evaluation process; for larger, more complex transactions, the governance challenges overwhelm the screening benefit, and other institutional mechanisms (contract type, incentive structure, program management) become more consequential.</w:t>
      </w:r>
    </w:p>
    <w:p>
      <w:pPr>
        <w:ind w:firstLine="720"/>
      </w:pPr>
      <w:r>
        <w:t xml:space="preserve">However, the specific pattern of the interaction—with the QE advantage </w:t>
      </w:r>
      <w:r>
        <w:rPr>
          <w:i/>
        </w:rPr>
        <w:t>reversing</w:t>
      </w:r>
      <w:r>
        <w:t xml:space="preserve"> rather than merely attenuating at higher complexity levels—is not straightforwardly predicted by TCE. The theory would predict that the advantage of tradeoff evaluation increases with complexity, not that it reverses. The reversal suggests that additional mechanisms are at work. One possibility, consistent with Williamson's (1996) recognition of measurement difficulties, is that the complexity proxy (award size) captures not only transaction complexity but also organizational and political complexity—the number of stakeholders, the intensity of oversight, the political salience of the procurement—that introduce governance costs unrelated to the source selection method. Another possibility is that the federal procurement system's existing governance infrastructure (contract administration, audit, inspection, compliance review) provides adequate quality assurance for large procurements regardless of source selection method, making the incremental contribution of tradeoff evaluation negligible or even counterproductive (by adding evaluation costs without commensurate screening benefits) at higher complexity levels.</w:t>
      </w:r>
    </w:p>
    <w:p>
      <w:pPr>
        <w:ind w:firstLine="720"/>
      </w:pPr>
      <w:r>
        <w:t>These findings suggest that TCE's application to public procurement requires refinement. The theory's emphasis on matching governance structure to transaction characteristics remains sound, but the specific mapping—price competition for simple transactions, quality evaluation for complex ones—may need to account for the institutional context in which the governance decision is embedded. In the federal procurement system, that context includes regulatory constraints, oversight mechanisms, workforce characteristics, and political dynamics that are absent from Williamson's private-sector-focused framework. TCE's predictive power in the procurement domain may be enhanced by incorporating these institutional moderators explicitly into the theoretical model.</w:t>
      </w:r>
    </w:p>
    <w:p>
      <w:pPr>
        <w:pStyle w:val="Heading3"/>
      </w:pPr>
      <w:r>
        <w:rPr>
          <w:rFonts w:ascii="Times New Roman" w:hAnsi="Times New Roman"/>
          <w:color w:val="000000"/>
        </w:rPr>
        <w:t>5.3.3 Implications for Auction Theory and Mechanism Design</w:t>
      </w:r>
    </w:p>
    <w:p>
      <w:pPr>
        <w:ind w:firstLine="720"/>
      </w:pPr>
      <w:r>
        <w:t>Auction theory provides the most formal and mathematically precise predictions tested in this study. The seminal work of Che (1993) demonstrated that scoring auctions—which evaluate both price and quality—can outperform price-only auctions when quality is variable and verifiable, because scoring rules induce firms to compete on quality as well as price. Bajari and Tadelis (2001) showed that when contract specifications are incomplete, competitive bidding (analogous to LPTA) induces strategic underbidding and costly renegotiation, while negotiated procurement (analogous to tradeoff) can produce more efficient outcomes by allowing the buyer to screen on capabilities and relational attributes. Bajari, McMillan, and Tadelis (2009) extended this analysis with empirical evidence from private-sector construction, finding that negotiation outperforms competitive bidding for complex projects.</w:t>
      </w:r>
    </w:p>
    <w:p>
      <w:pPr>
        <w:ind w:firstLine="720"/>
      </w:pPr>
      <w:r>
        <w:t xml:space="preserve">The empirical results of this study are only partially consistent with these theoretical predictions. The null main effect on cost growth is inconsistent with the strong form of the Bajari and Tadelis (2001) prediction, which implies that competitive bidding should produce </w:t>
      </w:r>
      <w:r>
        <w:rPr>
          <w:i/>
        </w:rPr>
        <w:t>more</w:t>
      </w:r>
      <w:r>
        <w:t xml:space="preserve"> renegotiation and cost growth than negotiated procurement for complex acquisitions. The marginal competition effect is directionally consistent with Che's (1993) prediction that scoring auctions attract broader participation, but the effect does not reach statistical significance. The complexity moderation finding is consistent with the Bajari and Tadelis (2001) framework insofar as it demonstrates that the source selection method's effect depends on contractual complexity, but the specific pattern—QE advantage at low complexity, QE disadvantage at high complexity—is the reverse of what the framework predicts. Bajari and Tadelis predict that the advantage of negotiation (tradeoff) should be </w:t>
      </w:r>
      <w:r>
        <w:rPr>
          <w:i/>
        </w:rPr>
        <w:t>greater</w:t>
      </w:r>
      <w:r>
        <w:t xml:space="preserve"> for more complex contracts, not lesser.</w:t>
      </w:r>
    </w:p>
    <w:p>
      <w:pPr>
        <w:ind w:firstLine="720"/>
      </w:pPr>
      <w:r>
        <w:t>This discrepancy between theory and evidence may reflect important differences between the institutional settings studied. The auction theory literature typically models procurement as a bilateral exchange between a buyer and sellers, with the auction mechanism as the primary governance instrument. In the federal procurement context, the auction mechanism (source selection process) operates within a dense institutional environment that includes pre-solicitation market research, responsibility determinations, debriefings, protest rights, contract administration, and post-award oversight. These institutional features may substitute for some of the functions that auction theory assigns to the mechanism itself—particularly the screening and incentive functions. If the institutional environment already provides significant quality screening (through responsibility determinations and past performance reviews) and incentive alignment (through contract type, award fee provisions, and performance monitoring), then the incremental contribution of the source selection mechanism may be smaller than auction theory—which abstracts away from institutional context—would predict.</w:t>
      </w:r>
    </w:p>
    <w:p>
      <w:pPr>
        <w:ind w:firstLine="720"/>
      </w:pPr>
      <w:r>
        <w:t xml:space="preserve">The findings also speak to a question that has received less attention in the theoretical literature: the conditions under which the </w:t>
      </w:r>
      <w:r>
        <w:rPr>
          <w:i/>
        </w:rPr>
        <w:t>costs</w:t>
      </w:r>
      <w:r>
        <w:t xml:space="preserve"> of scoring auctions outweigh their </w:t>
      </w:r>
      <w:r>
        <w:rPr>
          <w:i/>
        </w:rPr>
        <w:t>benefits</w:t>
      </w:r>
      <w:r>
        <w:t>. Scoring auctions are more expensive to conduct than price-only auctions—they require more elaborate evaluation criteria, larger source selection teams, longer evaluation periods, and more detailed documentation. These costs are justified when the screening benefit is large, but when the institutional environment already provides adequate screening, the additional costs may reduce net value. The crossover interaction pattern observed in this study is consistent with this cost-benefit interpretation: for smaller procurements, the screening benefit of tradeoff evaluation exceeds its cost; for larger procurements, the cost of the more elaborate evaluation process may not be justified by incremental screening benefits, particularly when other governance mechanisms are already operating.</w:t>
      </w:r>
    </w:p>
    <w:p>
      <w:pPr>
        <w:ind w:firstLine="720"/>
      </w:pPr>
      <w:r>
        <w:t>For auction theory, these findings suggest that the transition from theoretical models to empirical prediction in institutional settings requires explicit modeling of the institutional context. Pure mechanism design results derived from stripped-down models may not translate directly to procurement environments where the mechanism operates alongside a complex system of governance institutions. This is not a criticism of auction theory per se—Milgrom (2004) explicitly recognized the importance of practical market design considerations that extend beyond formal models—but it is a call for greater attention to the institutional embeddedness of procurement mechanisms in both theoretical and empirical work.</w:t>
      </w:r>
    </w:p>
    <w:p>
      <w:pPr>
        <w:pStyle w:val="Heading2"/>
      </w:pPr>
      <w:r>
        <w:rPr>
          <w:rFonts w:ascii="Times New Roman" w:hAnsi="Times New Roman"/>
          <w:color w:val="000000"/>
        </w:rPr>
        <w:t>5.4 Practical Implications for Procurement Policy</w:t>
      </w:r>
    </w:p>
    <w:p>
      <w:pPr>
        <w:pStyle w:val="Heading3"/>
      </w:pPr>
      <w:r>
        <w:rPr>
          <w:rFonts w:ascii="Times New Roman" w:hAnsi="Times New Roman"/>
          <w:color w:val="000000"/>
        </w:rPr>
        <w:t>5.4.1 Implications for Federal Acquisition Professionals</w:t>
      </w:r>
    </w:p>
    <w:p>
      <w:pPr>
        <w:ind w:firstLine="720"/>
      </w:pPr>
      <w:r>
        <w:t>The findings of this study carry several practical implications for the federal acquisition workforce—the contracting officers, contracting officer's representatives, program managers, and procurement executives who make daily decisions about source selection method, contract structure, and post-award management.</w:t>
      </w:r>
    </w:p>
    <w:p>
      <w:pPr>
        <w:ind w:firstLine="720"/>
      </w:pPr>
      <w:r>
        <w:rPr>
          <w:b/>
        </w:rPr>
        <w:t>The null main effect counsels against dogmatism in either direction.</w:t>
      </w:r>
      <w:r>
        <w:t xml:space="preserve"> Practitioners who believe that tradeoff evaluation is always superior to LPTA, and those who believe that LPTA should be the default for most procurements, will find that the data do not support either categorical position. The absence of a significant main effect on cost growth or modification intensity suggests that the source selection method, by itself, is not the dominant determinant of post-award contract performance. This does not mean that source selection is irrelevant—the complexity moderation finding demonstrates that it matters under specific conditions—but it does mean that acquisition professionals should focus at least as much attention on other determinants of procurement success: the quality of the requirements document, the rigor of the market research, the competence of the evaluation team, the structure of the contract type and incentive provisions, and the quality of post-award surveillance and contract administration.</w:t>
      </w:r>
    </w:p>
    <w:p>
      <w:pPr>
        <w:ind w:firstLine="720"/>
      </w:pPr>
      <w:r>
        <w:rPr>
          <w:b/>
        </w:rPr>
        <w:t>The complexity moderation finding provides actionable guidance.</w:t>
      </w:r>
      <w:r>
        <w:t xml:space="preserve"> The empirical evidence suggests that source selection method has its greatest impact on smaller, less complex procurements. For these acquisitions, tradeoff evaluation appears to provide genuine screening value that translates into lower cost growth. This finding aligns with a commonsense intuition that may be underappreciated in practice: for a $300,000 professional services contract, the difference between a highly capable contractor and a barely-qualified low bidder can be decisive, and the tradeoff evaluation process provides the mechanism to distinguish between them. For a $50 million systems integration contract, by contrast, the outcome depends on so many factors beyond the contractor's initial selection—requirements stability, funding availability, organizational governance, technology evolution—that the source selection method recedes in relative importance.</w:t>
      </w:r>
    </w:p>
    <w:p>
      <w:pPr>
        <w:ind w:firstLine="720"/>
      </w:pPr>
      <w:r>
        <w:t>The practical implication is that acquisition professionals should be particularly attentive to the source selection method choice for smaller, moderately complex procurements—the very procurements that may receive less institutional attention than the flagship programs. The irony is that the current institutional incentives push in the opposite direction: large, high-visibility procurements receive extensive source selection planning and typically use tradeoff evaluation, while smaller procurements—where the source selection method may matter most—are more likely to default to LPTA for administrative convenience.</w:t>
      </w:r>
    </w:p>
    <w:p>
      <w:pPr>
        <w:ind w:firstLine="720"/>
      </w:pPr>
      <w:r>
        <w:rPr>
          <w:b/>
        </w:rPr>
        <w:t>The marginal competition finding warrants practitioner attention.</w:t>
      </w:r>
      <w:r>
        <w:t xml:space="preserve"> The suggestive evidence that tradeoff evaluation may reduce single-bid rates is relevant to acquisition professionals who are concerned about the competitiveness of their procurements. While the evidence is not conclusive, it supports the intuition that firms are more willing to invest the effort and cost of preparing proposals when the evaluation criteria give them an opportunity to differentiate on quality rather than competing solely on price. Contracting officers who consistently receive single-bid responses to LPTA solicitations might consider whether switching to a tradeoff approach would broaden the competitive field—particularly for procurements where quality differentiation among potential offerors is significant.</w:t>
      </w:r>
    </w:p>
    <w:p>
      <w:pPr>
        <w:pStyle w:val="Heading3"/>
      </w:pPr>
      <w:r>
        <w:rPr>
          <w:rFonts w:ascii="Times New Roman" w:hAnsi="Times New Roman"/>
          <w:color w:val="000000"/>
        </w:rPr>
        <w:t>5.4.2 Implications for the FAR and Regulatory Policy</w:t>
      </w:r>
    </w:p>
    <w:p>
      <w:pPr>
        <w:ind w:firstLine="720"/>
      </w:pPr>
      <w:r>
        <w:t>The current FAR framework (Part 15) provides guidance on the circumstances favoring LPTA versus tradeoff but does not prescribe rigid rules. This regulatory flexibility is, in light of this study's findings, appropriate. The null main effect suggests that a regulatory mandate favoring one method over the other across the board would not produce systematic improvements in contract outcomes. The complexity moderation finding, however, suggests that more targeted regulatory guidance—specifying the conditions under which tradeoff evaluation adds the most value—could be beneficial.</w:t>
      </w:r>
    </w:p>
    <w:p>
      <w:pPr>
        <w:ind w:firstLine="720"/>
      </w:pPr>
      <w:r>
        <w:t>Specifically, the findings support regulatory refinements along the following lines. First, the FAR's existing guidance that LPTA is appropriate when "the government expects to receive more than one offer" and "price is the dominant consideration" (FAR 15.101-2) could be supplemented with guidance noting that for smaller service and technology contracts in the $250,000 to $5 million range, the quality screening provided by tradeoff evaluation appears to offer meaningful cost-performance benefits. Second, the regulatory framework could be enhanced to require a more explicit analysis of the expected value of tradeoff evaluation relative to LPTA—not a formal cost-benefit calculation, but a documented assessment of whether the procurement context is one in which quality differentiation among offerors is likely to be consequential for downstream outcomes. Third, the data suggest that the legislative restrictions on LPTA use enacted in the FY2017 and FY2018 NDAAs (Pub. L. 114-328, 2016; Pub. L. 115-91, 2017), which applied primarily to DoD acquisitions of knowledge-based services and cybersecurity, were directionally sound in targeting their restrictions at categories where quality variation is significant, but the empirical evidence for the cost-performance benefits of tradeoff in these categories is weaker than anticipated.</w:t>
      </w:r>
    </w:p>
    <w:p>
      <w:pPr>
        <w:ind w:firstLine="720"/>
      </w:pPr>
      <w:r>
        <w:t>The findings also have implications for the ongoing debate about procurement simplification. Some reformers advocate for expanding the use of simplified evaluation procedures—including LPTA and lowest-price approaches—to reduce the administrative burden of the procurement process. The null main effect on cost growth might be interpreted as supporting this position: if tradeoff evaluation does not produce measurably better cost outcomes, why incur the additional administrative cost? However, the complexity moderation finding complicates this argument by demonstrating that the benefits of tradeoff evaluation are real but context-dependent. A simplification agenda that eliminates tradeoff evaluation for smaller, moderately complex procurements—precisely where it appears to add the most value—would be counterproductive.</w:t>
      </w:r>
    </w:p>
    <w:p>
      <w:pPr>
        <w:pStyle w:val="Heading3"/>
      </w:pPr>
      <w:r>
        <w:rPr>
          <w:rFonts w:ascii="Times New Roman" w:hAnsi="Times New Roman"/>
          <w:color w:val="000000"/>
        </w:rPr>
        <w:t>5.4.3 Implications for Congressional Oversight</w:t>
      </w:r>
    </w:p>
    <w:p>
      <w:pPr>
        <w:ind w:firstLine="720"/>
      </w:pPr>
      <w:r>
        <w:t>Congressional oversight of federal procurement has historically focused on headline-grabbing failures: cost overruns on major defense programs, schedule delays on high-profile IT modernization efforts, and vendor performance scandals. The source selection method debate has entered the congressional discourse primarily through the NDAA LPTA restrictions, which reflected a bipartisan concern that agencies were defaulting to LPTA for complex acquisitions with adverse consequences.</w:t>
      </w:r>
    </w:p>
    <w:p>
      <w:pPr>
        <w:ind w:firstLine="720"/>
      </w:pPr>
      <w:r>
        <w:t>This study's findings suggest that the congressional focus on source selection method as a primary lever for improving procurement outcomes may be misdirected—or, more precisely, may be insufficient as a stand-alone reform strategy. The null main effect implies that changing the source selection method, without corresponding improvements in requirements development, contract management, and workforce competence, is unlikely to produce the outcome improvements that policymakers seek. The moderation finding suggests that the NDAA restrictions, by targeting specific categories of complex acquisitions, were aiming at the right targets but may not have addressed the most consequential procurement challenge.</w:t>
      </w:r>
    </w:p>
    <w:p>
      <w:pPr>
        <w:ind w:firstLine="720"/>
      </w:pPr>
      <w:r>
        <w:t>Congressional oversight might more productively focus on several complementary fronts: (a) investing in the acquisition workforce, whose skill and judgment the evidence suggests is at least as consequential as the formal evaluation method; (b) improving the quality and accessibility of contract performance data, including making CPARS data available for research purposes so that the quality dimension of the LPTA-versus-tradeoff question can be addressed empirically; (c) examining the post-award contract management environment, where the evidence suggests that the determinants of cost growth and modification intensity reside; and (d) supporting research on the competition effects of procurement design, where the marginal finding on single-bid rates suggests an avenue through which source selection method may affect outcomes that is distinct from—and potentially more consequential than—the direct cost-performance pathway.</w:t>
      </w:r>
    </w:p>
    <w:p>
      <w:pPr>
        <w:ind w:firstLine="720"/>
      </w:pPr>
      <w:r>
        <w:t>The complexity moderation finding also provides a framework for more targeted oversight. Rather than asking whether agencies are using the "right" source selection method in the aggregate, oversight bodies could examine whether agencies are systematically mismatching method to context—using LPTA for smaller, moderately complex procurements where tradeoff evaluation would add value, or investing in elaborate tradeoff evaluations for large procurements where the source selection method may matter less than other governance decisions.</w:t>
      </w:r>
    </w:p>
    <w:p>
      <w:pPr>
        <w:pStyle w:val="Heading2"/>
      </w:pPr>
      <w:r>
        <w:rPr>
          <w:rFonts w:ascii="Times New Roman" w:hAnsi="Times New Roman"/>
          <w:color w:val="000000"/>
        </w:rPr>
        <w:t>5.5 Limitations</w:t>
      </w:r>
    </w:p>
    <w:p>
      <w:pPr>
        <w:ind w:firstLine="720"/>
      </w:pPr>
      <w:r>
        <w:t>Every empirical study is bounded by the design choices, data constraints, and methodological trade-offs that define its scope. This section provides a candid accounting of the limitations of the present study, both to guide interpretation of the findings and to identify the most productive directions for future research.</w:t>
      </w:r>
    </w:p>
    <w:p>
      <w:pPr>
        <w:pStyle w:val="Heading3"/>
      </w:pPr>
      <w:r>
        <w:rPr>
          <w:rFonts w:ascii="Times New Roman" w:hAnsi="Times New Roman"/>
          <w:color w:val="000000"/>
        </w:rPr>
        <w:t>5.5.1 Temporal Scope (Single Quarter of FY2024)</w:t>
      </w:r>
    </w:p>
    <w:p>
      <w:pPr>
        <w:ind w:firstLine="720"/>
      </w:pPr>
      <w:r>
        <w:t>The most significant design limitation is the study's reliance on a single quarter of fiscal year 2024 data. While the resulting sample (n = 15,477) is large enough to provide adequate statistical power for the primary analyses, the single-quarter design introduces several concerns.</w:t>
      </w:r>
    </w:p>
    <w:p>
      <w:pPr>
        <w:ind w:firstLine="720"/>
      </w:pPr>
      <w:r>
        <w:t>First, the contracts in the sample are at varying stages of their performance periods. Some may be newly awarded, with little or no post-award modification history; others may be near completion, with a full record of modifications and cost adjustments. The cost growth variable therefore captures a mixture of interim and near-final cost trajectories, potentially introducing measurement noise that attenuates the estimated treatment effects. A panel design that tracks contracts from award to completion would provide a more precise measure of lifecycle cost growth.</w:t>
      </w:r>
    </w:p>
    <w:p>
      <w:pPr>
        <w:ind w:firstLine="720"/>
      </w:pPr>
      <w:r>
        <w:t>Second, the single-quarter design prevents the identification of time trends in the relationship between source selection method and outcomes. If the procurement system has been evolving over time—with improvements in data quality, changes in agency source selection practices, or shifts in the competitive landscape—a single cross-section cannot detect these dynamics. The difference-in-differences strategy outlined in Chapter 3 as a supplementary identification approach was not implemented in the final analysis because the single-quarter data did not provide the temporal variation necessary for pre-post comparisons.</w:t>
      </w:r>
    </w:p>
    <w:p>
      <w:pPr>
        <w:ind w:firstLine="720"/>
      </w:pPr>
      <w:r>
        <w:t>Third, the data coincide with a specific macroeconomic and policy context—the post-pandemic federal contracting environment of FY2024—that may not be representative of other periods. Federal procurement in this period was influenced by continuing resolution budgets, workforce reductions, technology modernization initiatives, and evolving cybersecurity requirements. To the extent that these contextual factors differentially affect QE and NFP procurements, the findings may not generalize to other fiscal periods.</w:t>
      </w:r>
    </w:p>
    <w:p>
      <w:pPr>
        <w:pStyle w:val="Heading3"/>
      </w:pPr>
      <w:r>
        <w:rPr>
          <w:rFonts w:ascii="Times New Roman" w:hAnsi="Times New Roman"/>
          <w:color w:val="000000"/>
        </w:rPr>
        <w:t>5.5.2 Proxy Variable Limitations (No Direct Source Selection Process Field)</w:t>
      </w:r>
    </w:p>
    <w:p>
      <w:pPr>
        <w:ind w:firstLine="720"/>
      </w:pPr>
      <w:r>
        <w:t xml:space="preserve">Although the FPDS includes a </w:t>
      </w:r>
      <w:r>
        <w:rPr>
          <w:rFonts w:ascii="Courier New" w:hAnsi="Courier New"/>
          <w:sz w:val="20"/>
        </w:rPr>
        <w:t>source_selection_process</w:t>
      </w:r>
      <w:r>
        <w:t xml:space="preserve"> field that was introduced in 2020, the operationalization of the treatment variable in this study relied on a proxy classification based on the </w:t>
      </w:r>
      <w:r>
        <w:rPr>
          <w:rFonts w:ascii="Courier New" w:hAnsi="Courier New"/>
          <w:sz w:val="20"/>
        </w:rPr>
        <w:t>type_of_contract_pricing</w:t>
      </w:r>
      <w:r>
        <w:t xml:space="preserve"> and </w:t>
      </w:r>
      <w:r>
        <w:rPr>
          <w:rFonts w:ascii="Courier New" w:hAnsi="Courier New"/>
          <w:sz w:val="20"/>
        </w:rPr>
        <w:t>extent_competed</w:t>
      </w:r>
      <w:r>
        <w:t xml:space="preserve"> fields to distinguish between quality-evaluating (QE) and negotiated fixed-price (NFP) procurement designs. This proxy approach was necessitated by data quality concerns with the </w:t>
      </w:r>
      <w:r>
        <w:rPr>
          <w:rFonts w:ascii="Courier New" w:hAnsi="Courier New"/>
          <w:sz w:val="20"/>
        </w:rPr>
        <w:t>source_selection_process</w:t>
      </w:r>
      <w:r>
        <w:t xml:space="preserve"> field, including incomplete reporting and inconsistent coding across agencies.</w:t>
      </w:r>
    </w:p>
    <w:p>
      <w:pPr>
        <w:ind w:firstLine="720"/>
      </w:pPr>
      <w:r>
        <w:t>The proxy classification introduces measurement error. Not all NFP contracts were necessarily awarded through LPTA evaluation, and not all QE contracts necessarily employed a full tradeoff analysis. Some contracts classified as NFP may have used a simplified tradeoff approach; some classified as QE may have involved an evaluation that was closer to LPTA in practice. This measurement error attenuates the estimated treatment effects toward zero, meaning that the null findings may partly reflect classification noise rather than a genuinely null treatment effect. The magnitude of this attenuation bias cannot be estimated without validation data that link the proxy classification to actual source selection method at the contract level.</w:t>
      </w:r>
    </w:p>
    <w:p>
      <w:pPr>
        <w:ind w:firstLine="720"/>
      </w:pPr>
      <w:r>
        <w:t xml:space="preserve">The proxy variable limitation is particularly consequential because the treatment contrast—QE versus NFP—is the core comparison of the study. If the proxy imperfectly separates "true" tradeoff evaluations from "true" LPTA evaluations, the estimated treatment effects will be diluted. This limitation could be addressed in future research by using the </w:t>
      </w:r>
      <w:r>
        <w:rPr>
          <w:rFonts w:ascii="Courier New" w:hAnsi="Courier New"/>
          <w:sz w:val="20"/>
        </w:rPr>
        <w:t>source_selection_process</w:t>
      </w:r>
      <w:r>
        <w:t xml:space="preserve"> field as the primary treatment variable once data quality improves, or by validating the proxy classification against a sample of solicitation documents that explicitly identify the evaluation method.</w:t>
      </w:r>
    </w:p>
    <w:p>
      <w:pPr>
        <w:pStyle w:val="Heading3"/>
      </w:pPr>
      <w:r>
        <w:rPr>
          <w:rFonts w:ascii="Times New Roman" w:hAnsi="Times New Roman"/>
          <w:color w:val="000000"/>
        </w:rPr>
        <w:t>5.5.3 Missing CPARS Performance Data</w:t>
      </w:r>
    </w:p>
    <w:p>
      <w:pPr>
        <w:ind w:firstLine="720"/>
      </w:pPr>
      <w:r>
        <w:t>The absence of Contractor Performance Assessment Reporting System (CPARS) data from this study is a significant limitation that constrains the interpretation of the findings. CPARS provides the federal government's most direct and systematic assessment of contractor performance, with ratings on quality, schedule, cost control, management, and regulatory compliance (FAR 42.1502). The theoretical prediction that tradeoff evaluation produces better contractor performance is, at its core, a prediction about quality—a dimension that cost growth and modification intensity capture only indirectly and imperfectly.</w:t>
      </w:r>
    </w:p>
    <w:p>
      <w:pPr>
        <w:ind w:firstLine="720"/>
      </w:pPr>
      <w:r>
        <w:t xml:space="preserve">It is entirely possible that QE design produces better contractor performance on the quality, schedule, and management dimensions captured by CPARS, even if it does not produce lower cost growth. If so, the null cost growth finding would be consistent with—rather than contradictory to—the theoretical prediction, because the theory predicts that tradeoff evaluation produces better </w:t>
      </w:r>
      <w:r>
        <w:rPr>
          <w:i/>
        </w:rPr>
        <w:t>overall</w:t>
      </w:r>
      <w:r>
        <w:t xml:space="preserve"> public value, of which cost performance is only one dimension. The inability to test this possibility is the single most consequential data gap in the study.</w:t>
      </w:r>
    </w:p>
    <w:p>
      <w:pPr>
        <w:ind w:firstLine="720"/>
      </w:pPr>
      <w:r>
        <w:t>CPARS data are not publicly available; access requires a government user account with appropriate authorization. The data are maintained in the Past Performance Information Retrieval System (PPIRS) and are accessible to authorized government personnel for source selection purposes. Securing research access to CPARS data—potentially through a data use agreement with the General Services Administration or the Office of Federal Procurement Policy—would enable a direct test of the quality-performance hypothesis and is the most important direction for future research arising from this study.</w:t>
      </w:r>
    </w:p>
    <w:p>
      <w:pPr>
        <w:pStyle w:val="Heading3"/>
      </w:pPr>
      <w:r>
        <w:rPr>
          <w:rFonts w:ascii="Times New Roman" w:hAnsi="Times New Roman"/>
          <w:color w:val="000000"/>
        </w:rPr>
        <w:t>5.5.4 Archival-Only Design (No Causal Certainty)</w:t>
      </w:r>
    </w:p>
    <w:p>
      <w:pPr>
        <w:ind w:firstLine="720"/>
      </w:pPr>
      <w:r>
        <w:t>The observational, archival nature of the data imposes a fundamental constraint on causal inference. The source selection method is not randomly assigned to contracts; it is chosen by contracting officers based on the characteristics of the requirement, the competitive environment, and agency preferences. This endogeneity means that the estimated treatment effects reflect the combined influence of the source selection method and the selection process by which it was chosen. Propensity score matching addresses selection on observable covariates but cannot address selection on unobservable factors—such as the contracting officer's private assessment of procurement risk, the quality of the requirements document, or the intensity of management attention devoted to the procurement.</w:t>
      </w:r>
    </w:p>
    <w:p>
      <w:pPr>
        <w:ind w:firstLine="720"/>
      </w:pPr>
      <w:r>
        <w:t>The standard econometric approaches to unobserved confounding—instrumental variable estimation and regression discontinuity designs—were not feasible in this study. No valid instrument for source selection method was identified: any factor that influences the choice of evaluation method is likely to also influence outcomes directly, violating the exclusion restriction. No sharp policy discontinuity in source selection method assignment was available in the single-quarter cross-section.</w:t>
      </w:r>
    </w:p>
    <w:p>
      <w:pPr>
        <w:ind w:firstLine="720"/>
      </w:pPr>
      <w:r>
        <w:t>The causal interpretation of the findings is therefore subject to the standard caveats that apply to observational research. The null main effects may reflect a genuinely null treatment effect, or they may reflect unmeasured confounding that masks a real effect. The moderation finding, while statistically robust, is subject to the same caveat: unmeasured factors correlated with both award size and cost growth could produce the observed interaction pattern. The study's findings should be characterized as conditional associations that are consistent with—but not definitive proof of—the causal interpretations offered in Section 5.2.</w:t>
      </w:r>
    </w:p>
    <w:p>
      <w:pPr>
        <w:pStyle w:val="Heading3"/>
      </w:pPr>
      <w:r>
        <w:rPr>
          <w:rFonts w:ascii="Times New Roman" w:hAnsi="Times New Roman"/>
          <w:color w:val="000000"/>
        </w:rPr>
        <w:t>5.5.5 Selection Bias and Endogeneity Concerns</w:t>
      </w:r>
    </w:p>
    <w:p>
      <w:pPr>
        <w:ind w:firstLine="720"/>
      </w:pPr>
      <w:r>
        <w:t>Beyond the general causal inference limitation, specific forms of selection bias warrant discussion. The propensity score matching procedure successfully matched 1,093 of 1,379 treated (QE) units, leaving 286 treated units unmatched. These unmatched units are QE contracts for which no sufficiently similar NFP comparator was available in the data. If the unmatched QE contracts differ systematically from the matched QE contracts—for example, if they represent the most unusual or complex procurements—then the matched-sample estimates may not generalize to the full population of QE procurements. The analysis of the matched sample is therefore interpretable as the average treatment effect on the treated for the subset of QE contracts that have observable comparators in the NFP population.</w:t>
      </w:r>
    </w:p>
    <w:p>
      <w:pPr>
        <w:ind w:firstLine="720"/>
      </w:pPr>
      <w:r>
        <w:t>The balance diagnostics revealed that NAICS sector balance was less improved by matching than other covariates (approximately 15% reduction in standardized mean difference, compared to 57-80% for other covariates). This residual imbalance suggests that industry sector—a potentially important confound, given that different sectors may have different cost growth dynamics regardless of source selection method—is not fully controlled in the matched-sample analysis. The inclusion of NAICS fixed effects in the regression models partially addresses this concern but cannot fully substitute for balance on the matching variables.</w:t>
      </w:r>
    </w:p>
    <w:p>
      <w:pPr>
        <w:ind w:firstLine="720"/>
      </w:pPr>
      <w:r>
        <w:t>Additionally, the timing of data extraction creates a potential survival bias. The sample includes only contracts that were recorded in USAspending.gov as of the extraction date. Contracts that were terminated for convenience, consolidated into other vehicles, or subject to administrative correction and removal from the database before the extraction date would not appear in the sample. If the probability of such events differs between QE and NFP contracts, the surviving sample may not be representative of the full population of awards.</w:t>
      </w:r>
    </w:p>
    <w:p>
      <w:pPr>
        <w:pStyle w:val="Heading3"/>
      </w:pPr>
      <w:r>
        <w:rPr>
          <w:rFonts w:ascii="Times New Roman" w:hAnsi="Times New Roman"/>
          <w:color w:val="000000"/>
        </w:rPr>
        <w:t>5.5.6 Generalizability Constraints</w:t>
      </w:r>
    </w:p>
    <w:p>
      <w:pPr>
        <w:ind w:firstLine="720"/>
      </w:pPr>
      <w:r>
        <w:t>The findings of this study are bounded by several generalizability constraints. First, the sample is limited to federal service and IT contracts above $250,000, which excludes commodity procurements, construction contracts, and procurements below the simplified acquisition threshold. The source selection method question is most consequential for service and IT contracts, where quality variation among offerors is significant, making this sample restriction analytically appropriate but limiting in scope. Whether the findings generalize to commodity procurements (where LPTA is theoretically more appropriate) or construction contracts (which follow distinct FAR provisions and involve different cost growth dynamics) is an open question.</w:t>
      </w:r>
    </w:p>
    <w:p>
      <w:pPr>
        <w:ind w:firstLine="720"/>
      </w:pPr>
      <w:r>
        <w:t>Second, the sample is drawn exclusively from the federal procurement system, which operates under a specific regulatory framework (the FAR and its supplements), a specific institutional infrastructure (FPDS, USAspending.gov, CPARS), and a specific political context (congressional oversight, protest mechanisms, inspector general reviews). State and local procurement systems operate under different statutory frameworks, with different evaluation method requirements, different oversight mechanisms, and different competitive dynamics. International procurement systems—governed by the European Union's procurement directives, the World Trade Organization's Agreement on Government Procurement, or national procurement codes—differ even more substantially. The findings should not be extrapolated to these contexts without additional empirical investigation.</w:t>
      </w:r>
    </w:p>
    <w:p>
      <w:pPr>
        <w:ind w:firstLine="720"/>
      </w:pPr>
      <w:r>
        <w:t>Third, the temporal limitation to FY2024 Q2 means that the findings may not generalize to other periods, particularly periods characterized by different economic conditions, policy regimes, or procurement workforce compositions. The relationship between source selection method and outcomes may be sensitive to macroeconomic factors (e.g., labor market tightness affecting contractor staffing decisions), policy changes (e.g., LPTA restrictions in the NDAAs), and workforce factors (e.g., contracting officer experience levels) that vary over time.</w:t>
      </w:r>
    </w:p>
    <w:p>
      <w:pPr>
        <w:pStyle w:val="Heading2"/>
      </w:pPr>
      <w:r>
        <w:rPr>
          <w:rFonts w:ascii="Times New Roman" w:hAnsi="Times New Roman"/>
          <w:color w:val="000000"/>
        </w:rPr>
        <w:t>5.6 Future Research</w:t>
      </w:r>
    </w:p>
    <w:p>
      <w:pPr>
        <w:ind w:firstLine="720"/>
      </w:pPr>
      <w:r>
        <w:t>The limitations identified in Section 5.5 and the untested hypotheses from Chapter 2 collectively define a rich agenda for future research. This section outlines the most promising directions, organized by research design and data requirements.</w:t>
      </w:r>
    </w:p>
    <w:p>
      <w:pPr>
        <w:pStyle w:val="Heading3"/>
      </w:pPr>
      <w:r>
        <w:rPr>
          <w:rFonts w:ascii="Times New Roman" w:hAnsi="Times New Roman"/>
          <w:color w:val="000000"/>
        </w:rPr>
        <w:t>5.6.1 Phase 2: Mixed-Methods Extension (Surveys and Interviews)</w:t>
      </w:r>
    </w:p>
    <w:p>
      <w:pPr>
        <w:ind w:firstLine="720"/>
      </w:pPr>
      <w:r>
        <w:t>The sequential mixed-methods design described in Chapter 3 positions the present quantitative analysis as Phase 1, to be followed by a qualitative Phase 2 comprising a practitioner survey of federal contracting officers and semi-structured interviews with acquisition leaders. Phase 2 is designed to address the mechanistic questions that the archival data cannot answer.</w:t>
      </w:r>
    </w:p>
    <w:p>
      <w:pPr>
        <w:ind w:firstLine="720"/>
      </w:pPr>
      <w:r>
        <w:t>The survey component would target a stratified sample of federal contracting officers across civilian and defense agencies, with the sampling frame drawn from the Federal Acquisition Institute's (FAI) workforce data. The survey instrument would probe: (a) the factors that drive source selection method choice in practice, including the relative weight of regulatory guidance, agency culture, protest risk, administrative burden, and procurement complexity; (b) practitioners' perceptions of the relationship between source selection method and contract outcomes, including whether they believe tradeoff evaluation produces better results and under what conditions; (c) the quality of requirements documents, evaluated by practitioners on dimensions including clarity, completeness, and alignment with evaluation criteria; and (d) the perceived adequacy of the acquisition workforce for conducting effective tradeoff evaluations.</w:t>
      </w:r>
    </w:p>
    <w:p>
      <w:pPr>
        <w:ind w:firstLine="720"/>
      </w:pPr>
      <w:r>
        <w:t>The interview component would involve 20-30 semi-structured interviews with senior acquisition professionals, including agency chief procurement officers, heads of contracting activities, and source selection authority officials. The interviews would probe the organizational and institutional factors that shape source selection decisions at the agency level, the mechanisms through which source selection method affects post-award management, and the perceived barriers to effective tradeoff evaluation.</w:t>
      </w:r>
    </w:p>
    <w:p>
      <w:pPr>
        <w:ind w:firstLine="720"/>
      </w:pPr>
      <w:r>
        <w:t>Phase 2 would require a separate Institutional Review Board (IRB) application, given the involvement of human subjects. The study design, sampling strategy, and data collection instruments would be informed by the quantitative findings from Phase 1—specifically, the null main effects and the complexity moderation finding, which would provide anchor points for the qualitative inquiry. This sequential design ensures that the qualitative investigation is empirically grounded rather than based on abstract assumptions about the source selection process.</w:t>
      </w:r>
    </w:p>
    <w:p>
      <w:pPr>
        <w:pStyle w:val="Heading3"/>
      </w:pPr>
      <w:r>
        <w:rPr>
          <w:rFonts w:ascii="Times New Roman" w:hAnsi="Times New Roman"/>
          <w:color w:val="000000"/>
        </w:rPr>
        <w:t>5.6.2 Multi-Year Panel Analysis</w:t>
      </w:r>
    </w:p>
    <w:p>
      <w:pPr>
        <w:ind w:firstLine="720"/>
      </w:pPr>
      <w:r>
        <w:t xml:space="preserve">The single-quarter cross-sectional design of the present study limits the ability to track contracts over their full lifecycle, identify time trends, and exploit policy changes for identification. A multi-year panel analysis, spanning FY2020 through FY2026 (the full period for which the </w:t>
      </w:r>
      <w:r>
        <w:rPr>
          <w:rFonts w:ascii="Courier New" w:hAnsi="Courier New"/>
          <w:sz w:val="20"/>
        </w:rPr>
        <w:t>source_selection_process</w:t>
      </w:r>
      <w:r>
        <w:t xml:space="preserve"> field is available), would address these limitations in several ways.</w:t>
      </w:r>
    </w:p>
    <w:p>
      <w:pPr>
        <w:ind w:firstLine="720"/>
      </w:pPr>
      <w:r>
        <w:t>First, a panel design would enable the measurement of cost growth from award through completion, rather than at a single point in the performance period. Contracts could be tracked longitudinally, with cost growth measured as the cumulative modification-adjusted obligation relative to the initial award value. This approach would capture the full lifecycle cost trajectory and would permit the identification of time-varying patterns—for example, whether QE and NFP contracts exhibit different cost growth trajectories in the early, middle, and late stages of performance.</w:t>
      </w:r>
    </w:p>
    <w:p>
      <w:pPr>
        <w:ind w:firstLine="720"/>
      </w:pPr>
      <w:r>
        <w:t>Second, a panel design would enable difference-in-differences estimation using the NDAA Section 813 LPTA restrictions as a natural experiment. Although these restrictions applied primarily to DoD acquisitions, the policy change created exogenous variation in the use of LPTA for specific categories of procurements. By comparing outcomes before and after the restriction, and between affected and unaffected procurement categories, a DiD design could provide stronger causal identification than cross-sectional PSM.</w:t>
      </w:r>
    </w:p>
    <w:p>
      <w:pPr>
        <w:ind w:firstLine="720"/>
      </w:pPr>
      <w:r>
        <w:t>Third, a panel design would increase statistical power by expanding the sample size across multiple fiscal years and would enable the detection of effects that are small in any single cross-section but cumulative over time. The marginal competition finding (H6), which fell short of conventional significance thresholds in the single-quarter sample, might achieve significance with the additional statistical power of a multi-year sample.</w:t>
      </w:r>
    </w:p>
    <w:p>
      <w:pPr>
        <w:pStyle w:val="Heading3"/>
      </w:pPr>
      <w:r>
        <w:rPr>
          <w:rFonts w:ascii="Times New Roman" w:hAnsi="Times New Roman"/>
          <w:color w:val="000000"/>
        </w:rPr>
        <w:t>5.6.3 CPARS Integration</w:t>
      </w:r>
    </w:p>
    <w:p>
      <w:pPr>
        <w:ind w:firstLine="720"/>
      </w:pPr>
      <w:r>
        <w:t>As discussed in Section 5.5.3, the absence of CPARS data is the most consequential data gap in the present study. Future research that secures research access to CPARS would enable direct testing of the quality-performance hypothesis and would transform the study's outcome framework from a cost-centered analysis to a multidimensional public value assessment.</w:t>
      </w:r>
    </w:p>
    <w:p>
      <w:pPr>
        <w:ind w:firstLine="720"/>
      </w:pPr>
      <w:r>
        <w:t>The integration of CPARS data with FPDS procurement records would require a data use agreement with the administering agency and would need to address confidentiality concerns, given that CPARS ratings are contractor-identifiable and business-sensitive. Several potential pathways exist: (a) a formal research data use agreement modeled on those used for other sensitive government datasets (e.g., IRS return data, Census microdata); (b) collaboration with a government research organization (e.g., the RAND Corporation, the Institute for Defense Analyses, or the Government Accountability Office) that has existing CPARS access; or (c) a congressionally authorized research initiative that mandates the release of anonymized or aggregated CPARS data for procurement research purposes.</w:t>
      </w:r>
    </w:p>
    <w:p>
      <w:pPr>
        <w:ind w:firstLine="720"/>
      </w:pPr>
      <w:r>
        <w:t>The analytical value of CPARS integration would be substantial. With CPARS ratings as outcome variables, the study could test whether QE design produces higher quality ratings, better schedule compliance, and superior management performance—the dimensions of contractor performance that tradeoff evaluation is theorized to improve. If QE design is associated with better CPARS ratings but not lower cost growth, the finding would support a more nuanced interpretation of the tradeoff: QE evaluation selects for quality at a cost that is not lower (and may be slightly higher) than LPTA, but the quality premium is reflected in better performance rather than lower price. This interpretation would be consistent with both public value theory and the value-for-money framework (OECD, 2019; ADB, 2018), which emphasize that the optimal procurement outcome is not the lowest price but the best balance of price and quality.</w:t>
      </w:r>
    </w:p>
    <w:p>
      <w:pPr>
        <w:pStyle w:val="Heading3"/>
      </w:pPr>
      <w:r>
        <w:rPr>
          <w:rFonts w:ascii="Times New Roman" w:hAnsi="Times New Roman"/>
          <w:color w:val="000000"/>
        </w:rPr>
        <w:t>5.6.4 State and International Comparisons</w:t>
      </w:r>
    </w:p>
    <w:p>
      <w:pPr>
        <w:ind w:firstLine="720"/>
      </w:pPr>
      <w:r>
        <w:t>The federal procurement system is one of many procurement regimes worldwide that grapple with the LPTA-versus-tradeoff question. State and local governments in the United States, European Union member states, and countries subject to World Bank or regional development bank procurement rules all operate under frameworks that provide varying degrees of flexibility in source selection method choice (NASPO, 2019; OECD, 2019; European Commission, 2020).</w:t>
      </w:r>
    </w:p>
    <w:p>
      <w:pPr>
        <w:ind w:firstLine="720"/>
      </w:pPr>
      <w:r>
        <w:t>Comparative research across these jurisdictions would provide natural variation in the institutional context that is absent from a single-system study. For example, some U.S. states mandate lowest-price awards for broad categories of procurement, while others have enacted best-value legislation that mirrors the federal FAR framework. The EU's procurement directives explicitly provide for "most economically advantageous tender" (MEAT) evaluation, and several member states have moved to restrict lowest-price-only awards for complex services (Malacina et al., 2022). These cross-jurisdictional differences create quasi-experimental variation that could be exploited to estimate the effect of source selection method in different institutional contexts.</w:t>
      </w:r>
    </w:p>
    <w:p>
      <w:pPr>
        <w:ind w:firstLine="720"/>
      </w:pPr>
      <w:r>
        <w:t>International comparisons would also test the generalizability of the complexity moderation finding. If the pattern observed in this study—QE advantage for smaller procurements, QE disadvantage for larger ones—holds across institutional contexts, it would suggest a robust empirical regularity rooted in the economics of procurement rather than an artifact of the federal system. If the pattern differs across contexts, the comparison would illuminate the institutional factors that moderate the source selection method effect.</w:t>
      </w:r>
    </w:p>
    <w:p>
      <w:pPr>
        <w:pStyle w:val="Heading3"/>
      </w:pPr>
      <w:r>
        <w:rPr>
          <w:rFonts w:ascii="Times New Roman" w:hAnsi="Times New Roman"/>
          <w:color w:val="000000"/>
        </w:rPr>
        <w:t>5.6.5 Natural Experiment Identification</w:t>
      </w:r>
    </w:p>
    <w:p>
      <w:pPr>
        <w:ind w:firstLine="720"/>
      </w:pPr>
      <w:r>
        <w:t>The strongest causal evidence on the source selection method question would come from a natural experiment—a policy change or institutional event that exogenously shifts the use of tradeoff evaluation for a defined population of procurements without simultaneously affecting the outcomes of interest. Several potential natural experiments merit investigation.</w:t>
      </w:r>
    </w:p>
    <w:p>
      <w:pPr>
        <w:ind w:firstLine="720"/>
      </w:pPr>
      <w:r>
        <w:t>The NDAA Section 813 LPTA restrictions, enacted in 2016 and effective in subsequent fiscal years, represent the most prominent candidate. These restrictions required DoD to establish criteria and guidance limiting LPTA use for knowledge-based professional services, cybersecurity, and acquisitions with significant life-cycle costs. A difference-in-differences design comparing affected procurement categories (those subject to the restrictions) with unaffected categories, before and after the restriction took effect, could provide quasi-experimental estimates of the effect of shifting from LPTA to tradeoff evaluation.</w:t>
      </w:r>
    </w:p>
    <w:p>
      <w:pPr>
        <w:ind w:firstLine="720"/>
      </w:pPr>
      <w:r>
        <w:t>Agency-level policy changes offer another source of natural variation. Some federal agencies have issued internal policies restricting or encouraging the use of specific source selection methods for particular categories of procurement. If these policy changes can be identified and dated, they could provide agency-level quasi-experiments that complement the NDAA-based analysis.</w:t>
      </w:r>
    </w:p>
    <w:p>
      <w:pPr>
        <w:ind w:firstLine="720"/>
      </w:pPr>
      <w:r>
        <w:t>Finally, the COVID-19 pandemic and the subsequent federal procurement response created an unusual period in which some agencies relaxed their normal source selection procedures to expedite procurement, while others maintained or strengthened quality evaluation requirements. If these differential agency responses can be documented, they could provide variation in source selection practice that is plausibly exogenous to contract-level outcomes.</w:t>
      </w:r>
    </w:p>
    <w:p>
      <w:pPr>
        <w:ind w:firstLine="720"/>
      </w:pPr>
      <w:r>
        <w:t>The identification and exploitation of natural experiments in procurement policy is a methodological frontier that has received insufficient attention in the literature. The development of a systematic catalog of procurement policy changes—at the federal, agency, and state levels—that could serve as natural experiments for procurement research would be a valuable contribution in its own right.</w:t>
      </w:r>
    </w:p>
    <w:p>
      <w:pPr>
        <w:pStyle w:val="Heading2"/>
      </w:pPr>
      <w:r>
        <w:rPr>
          <w:rFonts w:ascii="Times New Roman" w:hAnsi="Times New Roman"/>
          <w:color w:val="000000"/>
        </w:rPr>
        <w:t>5.7 Conclusion</w:t>
      </w:r>
    </w:p>
    <w:p>
      <w:pPr>
        <w:ind w:firstLine="720"/>
      </w:pPr>
      <w:r>
        <w:t>This dissertation set out to bring empirical evidence to bear on one of the most consequential and persistent debates in public procurement: whether the method by which the government selects a contractor affects the value that taxpayers receive. The question has been debated for decades in practitioner forums, congressional hearings, and academic symposia, but the empirical evidence base has remained thin, fragmented, and methodologically limited. By analyzing 15,477 competitive federal service and IT contract awards with a quasi-experimental research design, this study provides the most comprehensive large-sample empirical examination of the source selection method question to date.</w:t>
      </w:r>
    </w:p>
    <w:p>
      <w:pPr>
        <w:ind w:firstLine="720"/>
      </w:pPr>
      <w:r>
        <w:t>The findings are sobering for those who expected a clear empirical vindication of best-value tradeoff evaluation. The central hypothesis—that quality-evaluating source selection produces lower post-award cost growth than price-focused selection—was not supported. The modification intensity hypothesis was not supported. The competition hypothesis was marginal. Only the complexity moderation hypothesis received clear empirical support. These results do not align neatly with the theoretical predictions of transaction cost economics, auction theory, or the prior empirical literature, and they challenge the assumption—widely held among procurement reformers—that shifting from LPTA to tradeoff evaluation will, by itself, improve procurement outcomes.</w:t>
      </w:r>
    </w:p>
    <w:p>
      <w:pPr>
        <w:ind w:firstLine="720"/>
      </w:pPr>
      <w:r>
        <w:t xml:space="preserve">It is important, however, to be precise about what the null results do and do not mean. The null finding on cost growth does not mean that source selection method is irrelevant. It means that, in the contemporary federal procurement environment, the source selection method does not appear to be a primary determinant of post-award cost outcomes when considered in isolation from the broader institutional context. The complexity moderation finding demonstrates that the method </w:t>
      </w:r>
      <w:r>
        <w:rPr>
          <w:i/>
        </w:rPr>
        <w:t>does</w:t>
      </w:r>
      <w:r>
        <w:t xml:space="preserve"> matter, but its effect is contingent on the scale and complexity of the procurement. The marginal competition finding suggests that the method may affect market participation in ways that warrant further investigation. And the absence of CPARS data means that the most important dimension of the theoretical prediction—that tradeoff evaluation selects for quality—has not been tested.</w:t>
      </w:r>
    </w:p>
    <w:p>
      <w:pPr>
        <w:ind w:firstLine="720"/>
      </w:pPr>
      <w:r>
        <w:t>The study's contribution is therefore as much methodological and agenda-setting as it is substantive. Methodologically, it demonstrates that large-scale quasi-experimental analysis of archival procurement data is both feasible and informative, and it establishes a template for future studies that extend the analysis to longer time periods, additional outcome measures, and alternative institutional contexts. In terms of research agenda, the study identifies the specific data gaps (CPARS, solicitation quality, modification type), design improvements (multi-year panel, natural experiment identification), and institutional comparisons (state, international) that are needed to resolve the questions that remain open.</w:t>
      </w:r>
    </w:p>
    <w:p>
      <w:pPr>
        <w:ind w:firstLine="720"/>
      </w:pPr>
      <w:r>
        <w:t>The practical implications of the findings are nuanced. For acquisition professionals, the message is not that source selection method does not matter but that it is one element of a larger system—a system that includes requirements development, market research, contract structure, workforce competence, and post-award management—and that its contribution to procurement success depends on the context in which it is applied. The complexity moderation finding offers actionable guidance: for smaller, moderately complex service and technology procurements, tradeoff evaluation appears to add screening value that translates into better cost outcomes; for larger procurements, other governance decisions may be more consequential. For policymakers, the findings counsel against simplistic reform strategies that focus exclusively on source selection method and in favor of a systems-level approach that addresses the multiple determinants of procurement performance simultaneously.</w:t>
      </w:r>
    </w:p>
    <w:p>
      <w:pPr>
        <w:ind w:firstLine="720"/>
      </w:pPr>
      <w:r>
        <w:t>The null results are, in their own way, a contribution to the literature. In a research landscape where publication bias favors significant findings (Rosenthal, 1979), and where the policy debate on source selection has been dominated by strong theoretical priors and practitioner intuition, the honest reporting of null results—buttressed by a robust methodological design and comprehensive robustness checks—provides a corrective to assumptions that have shaped procurement policy without adequate empirical foundation. The finding that the source selection method question is more complex, more contingent, and more institutionally embedded than the theoretical literature suggests is itself a substantive contribution that should redirect both scholarly inquiry and policy attention.</w:t>
      </w:r>
    </w:p>
    <w:p>
      <w:pPr>
        <w:ind w:firstLine="720"/>
      </w:pPr>
      <w:r>
        <w:t>The title of this dissertation—"From Lowest Price to Highest Public Value"—frames the aspiration that animates procurement reform. The empirical evidence presented here suggests that the journey from lowest price to highest public value is not accomplished by changing the source selection method alone. It requires attention to the full arc of the procurement lifecycle, from the initial identification of needs through the development of requirements, the conduct of market research, the design of the solicitation, the evaluation of proposals, the structuring of the contract, the management of performance, and the assessment of outcomes. Source selection method is one station on this journey, and the evidence suggests it is neither the first nor the most consequential. The path to public value runs through the entire system, and improving procurement outcomes will require investments in the people, processes, and institutions that constitute that system—not merely a change in the method by which the winning contractor is chosen.</w:t>
      </w:r>
    </w:p>
    <w:p>
      <w:pPr>
        <w:pStyle w:val="Heading2"/>
      </w:pPr>
      <w:r>
        <w:rPr>
          <w:rFonts w:ascii="Times New Roman" w:hAnsi="Times New Roman"/>
          <w:color w:val="000000"/>
        </w:rPr>
        <w:t>References</w:t>
      </w:r>
    </w:p>
    <w:p>
      <w:pPr>
        <w:ind w:firstLine="720"/>
      </w:pPr>
      <w:r>
        <w:t xml:space="preserve">Akerlof, G. A. (1970). The market for "lemons": Quality uncertainty and the market mechanism. </w:t>
      </w:r>
      <w:r>
        <w:rPr>
          <w:i/>
        </w:rPr>
        <w:t>Quarterly Journal of Economics</w:t>
      </w:r>
      <w:r>
        <w:t xml:space="preserve">, </w:t>
      </w:r>
      <w:r>
        <w:rPr>
          <w:i/>
        </w:rPr>
        <w:t>84</w:t>
      </w:r>
      <w:r>
        <w:t>(3), 488–500. https://doi.org/10.2307/1879431</w:t>
      </w:r>
    </w:p>
    <w:p>
      <w:pPr>
        <w:ind w:firstLine="720"/>
      </w:pPr>
      <w:r>
        <w:t xml:space="preserve">Alford, J. (2009). </w:t>
      </w:r>
      <w:r>
        <w:rPr>
          <w:i/>
        </w:rPr>
        <w:t>Engaging public sector clients: From service delivery to co-production</w:t>
      </w:r>
      <w:r>
        <w:t>. Palgrave Macmillan.</w:t>
      </w:r>
    </w:p>
    <w:p>
      <w:pPr>
        <w:ind w:firstLine="720"/>
      </w:pPr>
      <w:r>
        <w:t xml:space="preserve">Alford, J., &amp; O'Flynn, J. (2009). Making sense of public value: Concepts, critiques, and emergent meanings. </w:t>
      </w:r>
      <w:r>
        <w:rPr>
          <w:i/>
        </w:rPr>
        <w:t>International Journal of Public Administration</w:t>
      </w:r>
      <w:r>
        <w:t xml:space="preserve">, </w:t>
      </w:r>
      <w:r>
        <w:rPr>
          <w:i/>
        </w:rPr>
        <w:t>32</w:t>
      </w:r>
      <w:r>
        <w:t>(3–4), 171–191. https://doi.org/10.1080/01900690902732731</w:t>
      </w:r>
    </w:p>
    <w:p>
      <w:pPr>
        <w:ind w:firstLine="720"/>
      </w:pPr>
      <w:r>
        <w:t xml:space="preserve">Angrist, J. D., &amp; Pischke, J.-S. (2009). </w:t>
      </w:r>
      <w:r>
        <w:rPr>
          <w:i/>
        </w:rPr>
        <w:t>Mostly harmless econometrics: An empiricist's companion</w:t>
      </w:r>
      <w:r>
        <w:t>. Princeton University Press.</w:t>
      </w:r>
    </w:p>
    <w:p>
      <w:pPr>
        <w:ind w:firstLine="720"/>
      </w:pPr>
      <w:r>
        <w:t xml:space="preserve">Arena, M. V., Leonard, R. S., Murray, S. E., &amp; Younossi, O. (2006). </w:t>
      </w:r>
      <w:r>
        <w:rPr>
          <w:i/>
        </w:rPr>
        <w:t>Historical cost growth of completed weapon system programs</w:t>
      </w:r>
      <w:r>
        <w:t>. RAND Corporation.</w:t>
      </w:r>
    </w:p>
    <w:p>
      <w:pPr>
        <w:ind w:firstLine="720"/>
      </w:pPr>
      <w:r>
        <w:t xml:space="preserve">Asian Development Bank. (2018). </w:t>
      </w:r>
      <w:r>
        <w:rPr>
          <w:i/>
        </w:rPr>
        <w:t>Value for money: Guidance note on procurement</w:t>
      </w:r>
      <w:r>
        <w:t>. ADB.</w:t>
      </w:r>
    </w:p>
    <w:p>
      <w:pPr>
        <w:ind w:firstLine="720"/>
      </w:pPr>
      <w:r>
        <w:t xml:space="preserve">Asker, J., &amp; Cantillon, E. (2008). Properties of scoring auctions. </w:t>
      </w:r>
      <w:r>
        <w:rPr>
          <w:i/>
        </w:rPr>
        <w:t>RAND Journal of Economics</w:t>
      </w:r>
      <w:r>
        <w:t xml:space="preserve">, </w:t>
      </w:r>
      <w:r>
        <w:rPr>
          <w:i/>
        </w:rPr>
        <w:t>39</w:t>
      </w:r>
      <w:r>
        <w:t>(1), 69–85. https://doi.org/10.1111/j.1756-2171.2008.00004.x</w:t>
      </w:r>
    </w:p>
    <w:p>
      <w:pPr>
        <w:ind w:firstLine="720"/>
      </w:pPr>
      <w:r>
        <w:t xml:space="preserve">Bajari, P., Houghton, S., &amp; Tadelis, S. (2014). Bidding for incomplete contracts: An empirical analysis of adaptation costs. </w:t>
      </w:r>
      <w:r>
        <w:rPr>
          <w:i/>
        </w:rPr>
        <w:t>American Economic Review</w:t>
      </w:r>
      <w:r>
        <w:t xml:space="preserve">, </w:t>
      </w:r>
      <w:r>
        <w:rPr>
          <w:i/>
        </w:rPr>
        <w:t>104</w:t>
      </w:r>
      <w:r>
        <w:t>(4), 1288–1319. https://doi.org/10.1257/aer.104.4.1288</w:t>
      </w:r>
    </w:p>
    <w:p>
      <w:pPr>
        <w:ind w:firstLine="720"/>
      </w:pPr>
      <w:r>
        <w:t xml:space="preserve">Bajari, P., McMillan, R., &amp; Tadelis, S. (2009). Auctions versus negotiations in procurement: An empirical analysis. </w:t>
      </w:r>
      <w:r>
        <w:rPr>
          <w:i/>
        </w:rPr>
        <w:t>Journal of Law, Economics, and Organization</w:t>
      </w:r>
      <w:r>
        <w:t xml:space="preserve">, </w:t>
      </w:r>
      <w:r>
        <w:rPr>
          <w:i/>
        </w:rPr>
        <w:t>25</w:t>
      </w:r>
      <w:r>
        <w:t>(2), 372–399. https://doi.org/10.1093/jleo/ewn002</w:t>
      </w:r>
    </w:p>
    <w:p>
      <w:pPr>
        <w:ind w:firstLine="720"/>
      </w:pPr>
      <w:r>
        <w:t xml:space="preserve">Bajari, P., &amp; Tadelis, S. (2001). Incentives versus transaction costs: A theory of procurement contracts. </w:t>
      </w:r>
      <w:r>
        <w:rPr>
          <w:i/>
        </w:rPr>
        <w:t>RAND Journal of Economics</w:t>
      </w:r>
      <w:r>
        <w:t xml:space="preserve">, </w:t>
      </w:r>
      <w:r>
        <w:rPr>
          <w:i/>
        </w:rPr>
        <w:t>32</w:t>
      </w:r>
      <w:r>
        <w:t>(3), 387–407. https://doi.org/10.2307/2696361</w:t>
      </w:r>
    </w:p>
    <w:p>
      <w:pPr>
        <w:ind w:firstLine="720"/>
      </w:pPr>
      <w:r>
        <w:t xml:space="preserve">Baker, R. A. (2016). </w:t>
      </w:r>
      <w:r>
        <w:rPr>
          <w:i/>
        </w:rPr>
        <w:t>Analysis of the effects of source selection methods on contract outcomes for service acquisitions</w:t>
      </w:r>
      <w:r>
        <w:t xml:space="preserve"> [Master's thesis, Naval Postgraduate School]. NPS Archive.</w:t>
      </w:r>
    </w:p>
    <w:p>
      <w:pPr>
        <w:ind w:firstLine="720"/>
      </w:pPr>
      <w:r>
        <w:t xml:space="preserve">Ban, K. M. (2015). </w:t>
      </w:r>
      <w:r>
        <w:rPr>
          <w:i/>
        </w:rPr>
        <w:t>Lowest price technically acceptable source selection process: A study of LPTA in Army services acquisitions</w:t>
      </w:r>
      <w:r>
        <w:t xml:space="preserve"> [Master's thesis, Naval Postgraduate School]. NPS Archive.</w:t>
      </w:r>
    </w:p>
    <w:p>
      <w:pPr>
        <w:ind w:firstLine="720"/>
      </w:pPr>
      <w:r>
        <w:t xml:space="preserve">Benington, J. (2011). From private choice to public value? In J. Benington &amp; M. H. Moore (Eds.), </w:t>
      </w:r>
      <w:r>
        <w:rPr>
          <w:i/>
        </w:rPr>
        <w:t>Public value: Theory and practice</w:t>
      </w:r>
      <w:r>
        <w:t xml:space="preserve"> (pp. 31–51). Palgrave Macmillan.</w:t>
      </w:r>
    </w:p>
    <w:p>
      <w:pPr>
        <w:ind w:firstLine="720"/>
      </w:pPr>
      <w:r>
        <w:t xml:space="preserve">Benington, J., &amp; Moore, M. H. (Eds.). (2011). </w:t>
      </w:r>
      <w:r>
        <w:rPr>
          <w:i/>
        </w:rPr>
        <w:t>Public value: Theory and practice</w:t>
      </w:r>
      <w:r>
        <w:t>. Palgrave Macmillan.</w:t>
      </w:r>
    </w:p>
    <w:p>
      <w:pPr>
        <w:ind w:firstLine="720"/>
      </w:pPr>
      <w:r>
        <w:t xml:space="preserve">Bozeman, B. (2007). </w:t>
      </w:r>
      <w:r>
        <w:rPr>
          <w:i/>
        </w:rPr>
        <w:t>Public values and public interest: Counterbalancing economic individualism</w:t>
      </w:r>
      <w:r>
        <w:t>. Georgetown University Press.</w:t>
      </w:r>
    </w:p>
    <w:p>
      <w:pPr>
        <w:ind w:firstLine="720"/>
      </w:pPr>
      <w:r>
        <w:t xml:space="preserve">Bryson, J. M., Crosby, B. C., &amp; Bloomberg, L. (2014). Public value governance: Moving beyond traditional public administration and the new public management. </w:t>
      </w:r>
      <w:r>
        <w:rPr>
          <w:i/>
        </w:rPr>
        <w:t>Public Administration Review</w:t>
      </w:r>
      <w:r>
        <w:t xml:space="preserve">, </w:t>
      </w:r>
      <w:r>
        <w:rPr>
          <w:i/>
        </w:rPr>
        <w:t>74</w:t>
      </w:r>
      <w:r>
        <w:t>(4), 445–456. https://doi.org/10.1111/puar.12238</w:t>
      </w:r>
    </w:p>
    <w:p>
      <w:pPr>
        <w:ind w:firstLine="720"/>
      </w:pPr>
      <w:r>
        <w:t xml:space="preserve">Burger, P., &amp; Hawkesworth, I. (2011). How to attain value for money: Comparing PPP and traditional infrastructure public procurement. </w:t>
      </w:r>
      <w:r>
        <w:rPr>
          <w:i/>
        </w:rPr>
        <w:t>OECD Journal on Budgeting</w:t>
      </w:r>
      <w:r>
        <w:t xml:space="preserve">, </w:t>
      </w:r>
      <w:r>
        <w:rPr>
          <w:i/>
        </w:rPr>
        <w:t>11</w:t>
      </w:r>
      <w:r>
        <w:t>(1), 91–146. https://doi.org/10.1787/budget-11-5kg9pfhcjlkg</w:t>
      </w:r>
    </w:p>
    <w:p>
      <w:pPr>
        <w:ind w:firstLine="720"/>
      </w:pPr>
      <w:r>
        <w:t xml:space="preserve">Calvo, E., Cui, Y., &amp; Thomas, J. C. (2019). Managing the oversight-autonomy dilemma in the governance of public–private partnerships. </w:t>
      </w:r>
      <w:r>
        <w:rPr>
          <w:i/>
        </w:rPr>
        <w:t>Public Administration Review</w:t>
      </w:r>
      <w:r>
        <w:t xml:space="preserve">, </w:t>
      </w:r>
      <w:r>
        <w:rPr>
          <w:i/>
        </w:rPr>
        <w:t>79</w:t>
      </w:r>
      <w:r>
        <w:t>(4), 553–563.</w:t>
      </w:r>
    </w:p>
    <w:p>
      <w:pPr>
        <w:ind w:firstLine="720"/>
      </w:pPr>
      <w:r>
        <w:t xml:space="preserve">Che, Y.-K. (1993). Design competition through multidimensional auctions. </w:t>
      </w:r>
      <w:r>
        <w:rPr>
          <w:i/>
        </w:rPr>
        <w:t>RAND Journal of Economics</w:t>
      </w:r>
      <w:r>
        <w:t xml:space="preserve">, </w:t>
      </w:r>
      <w:r>
        <w:rPr>
          <w:i/>
        </w:rPr>
        <w:t>24</w:t>
      </w:r>
      <w:r>
        <w:t>(4), 668–680. https://doi.org/10.2307/2555752</w:t>
      </w:r>
    </w:p>
    <w:p>
      <w:pPr>
        <w:ind w:firstLine="720"/>
      </w:pPr>
      <w:r>
        <w:t xml:space="preserve">Cibinic, J., Jr., Nagle, J. F., &amp; Nash, R. C., Jr. (2015). </w:t>
      </w:r>
      <w:r>
        <w:rPr>
          <w:i/>
        </w:rPr>
        <w:t>Administration of government contracts</w:t>
      </w:r>
      <w:r>
        <w:t xml:space="preserve"> (5th ed.). Wolters Kluwer.</w:t>
      </w:r>
    </w:p>
    <w:p>
      <w:pPr>
        <w:ind w:firstLine="720"/>
      </w:pPr>
      <w:r>
        <w:t xml:space="preserve">Congressional Research Service. (2024). </w:t>
      </w:r>
      <w:r>
        <w:rPr>
          <w:i/>
        </w:rPr>
        <w:t>Federal acquisition: Source selection methods and best value determinations</w:t>
      </w:r>
      <w:r>
        <w:t xml:space="preserve"> (Report No. R47215). CRS.</w:t>
      </w:r>
    </w:p>
    <w:p>
      <w:pPr>
        <w:ind w:firstLine="720"/>
      </w:pPr>
      <w:r>
        <w:t xml:space="preserve">Creswell, J. W., &amp; Creswell, J. D. (2018). </w:t>
      </w:r>
      <w:r>
        <w:rPr>
          <w:i/>
        </w:rPr>
        <w:t>Research design: Qualitative, quantitative, and mixed methods approaches</w:t>
      </w:r>
      <w:r>
        <w:t xml:space="preserve"> (5th ed.). SAGE Publications.</w:t>
      </w:r>
    </w:p>
    <w:p>
      <w:pPr>
        <w:ind w:firstLine="720"/>
      </w:pPr>
      <w:r>
        <w:t xml:space="preserve">European Commission. (2020). </w:t>
      </w:r>
      <w:r>
        <w:rPr>
          <w:i/>
        </w:rPr>
        <w:t>Single market scoreboard: Public procurement</w:t>
      </w:r>
      <w:r>
        <w:t>. European Commission.</w:t>
      </w:r>
    </w:p>
    <w:p>
      <w:pPr>
        <w:ind w:firstLine="720"/>
      </w:pPr>
      <w:r>
        <w:t xml:space="preserve">Fazekas, M., &amp; Blum, J. R. (2021). Improving public procurement outcomes: Review of tools and the state of the evidence base. </w:t>
      </w:r>
      <w:r>
        <w:rPr>
          <w:i/>
        </w:rPr>
        <w:t>World Bank Policy Research Working Paper</w:t>
      </w:r>
      <w:r>
        <w:t>, No. 9553. https://doi.org/10.1596/1813-9450-9553</w:t>
      </w:r>
    </w:p>
    <w:p>
      <w:pPr>
        <w:ind w:firstLine="720"/>
      </w:pPr>
      <w:r>
        <w:t>Federal Acquisition Regulation, 48 C.F.R. ch. 1 (2024).</w:t>
      </w:r>
    </w:p>
    <w:p>
      <w:pPr>
        <w:ind w:firstLine="720"/>
      </w:pPr>
      <w:r>
        <w:t xml:space="preserve">Ganuza, J. J. (2007). Competition and cost overruns in procurement. </w:t>
      </w:r>
      <w:r>
        <w:rPr>
          <w:i/>
        </w:rPr>
        <w:t>Journal of Industrial Economics</w:t>
      </w:r>
      <w:r>
        <w:t xml:space="preserve">, </w:t>
      </w:r>
      <w:r>
        <w:rPr>
          <w:i/>
        </w:rPr>
        <w:t>55</w:t>
      </w:r>
      <w:r>
        <w:t>(4), 633–660. https://doi.org/10.1111/j.1467-6451.2007.00327.x</w:t>
      </w:r>
    </w:p>
    <w:p>
      <w:pPr>
        <w:ind w:firstLine="720"/>
      </w:pPr>
      <w:r>
        <w:t xml:space="preserve">Government Accountability Office. (2020). </w:t>
      </w:r>
      <w:r>
        <w:rPr>
          <w:i/>
        </w:rPr>
        <w:t>Federal contracting: Assessments of selected agencies' processes for avoiding contract duplication</w:t>
      </w:r>
      <w:r>
        <w:t xml:space="preserve"> (GAO-20-455). GAO.</w:t>
      </w:r>
    </w:p>
    <w:p>
      <w:pPr>
        <w:ind w:firstLine="720"/>
      </w:pPr>
      <w:r>
        <w:t xml:space="preserve">Government Accountability Office. (2024). </w:t>
      </w:r>
      <w:r>
        <w:rPr>
          <w:i/>
        </w:rPr>
        <w:t>Defense acquisitions annual assessment: Programs are not consistently implementing best practices</w:t>
      </w:r>
      <w:r>
        <w:t xml:space="preserve"> (GAO-24-106706). GAO.</w:t>
      </w:r>
    </w:p>
    <w:p>
      <w:pPr>
        <w:ind w:firstLine="720"/>
      </w:pPr>
      <w:r>
        <w:t xml:space="preserve">Government Accountability Office. (2025). </w:t>
      </w:r>
      <w:r>
        <w:rPr>
          <w:i/>
        </w:rPr>
        <w:t>Bid protest annual report to Congress for fiscal year 2024</w:t>
      </w:r>
      <w:r>
        <w:t>. GAO.</w:t>
      </w:r>
    </w:p>
    <w:p>
      <w:pPr>
        <w:ind w:firstLine="720"/>
      </w:pPr>
      <w:r>
        <w:t xml:space="preserve">Hart, O., &amp; Moore, J. (1988). Incomplete contracts and renegotiation. </w:t>
      </w:r>
      <w:r>
        <w:rPr>
          <w:i/>
        </w:rPr>
        <w:t>Econometrica</w:t>
      </w:r>
      <w:r>
        <w:t xml:space="preserve">, </w:t>
      </w:r>
      <w:r>
        <w:rPr>
          <w:i/>
        </w:rPr>
        <w:t>56</w:t>
      </w:r>
      <w:r>
        <w:t>(4), 755–785. https://doi.org/10.2307/1912698</w:t>
      </w:r>
    </w:p>
    <w:p>
      <w:pPr>
        <w:ind w:firstLine="720"/>
      </w:pPr>
      <w:r>
        <w:t xml:space="preserve">Hartley, J., Alford, J., Knies, E., &amp; Douglas, S. (2017). Towards an empirical research agenda for public value theory. </w:t>
      </w:r>
      <w:r>
        <w:rPr>
          <w:i/>
        </w:rPr>
        <w:t>Public Management Review</w:t>
      </w:r>
      <w:r>
        <w:t xml:space="preserve">, </w:t>
      </w:r>
      <w:r>
        <w:rPr>
          <w:i/>
        </w:rPr>
        <w:t>19</w:t>
      </w:r>
      <w:r>
        <w:t>(5), 670–685. https://doi.org/10.1080/14719037.2016.1192166</w:t>
      </w:r>
    </w:p>
    <w:p>
      <w:pPr>
        <w:ind w:firstLine="720"/>
      </w:pPr>
      <w:r>
        <w:t xml:space="preserve">Iossa, E. (2019). </w:t>
      </w:r>
      <w:r>
        <w:rPr>
          <w:i/>
        </w:rPr>
        <w:t>Contract duration, competition for the market, and tackling incumbency advantage</w:t>
      </w:r>
      <w:r>
        <w:t>. OECD Public Procurement Policy Paper.</w:t>
      </w:r>
    </w:p>
    <w:p>
      <w:pPr>
        <w:ind w:firstLine="720"/>
      </w:pPr>
      <w:r>
        <w:t xml:space="preserve">Jung, S., Kim, B., &amp; Suh, S. (2013). Strategic bidding and contract renegotiation. </w:t>
      </w:r>
      <w:r>
        <w:rPr>
          <w:i/>
        </w:rPr>
        <w:t>International Economic Review</w:t>
      </w:r>
      <w:r>
        <w:t xml:space="preserve">, </w:t>
      </w:r>
      <w:r>
        <w:rPr>
          <w:i/>
        </w:rPr>
        <w:t>54</w:t>
      </w:r>
      <w:r>
        <w:t>(4), 1189–1214. https://doi.org/10.1111/iere.12033</w:t>
      </w:r>
    </w:p>
    <w:p>
      <w:pPr>
        <w:ind w:firstLine="720"/>
      </w:pPr>
      <w:r>
        <w:t xml:space="preserve">Kelman, S. (1990). </w:t>
      </w:r>
      <w:r>
        <w:rPr>
          <w:i/>
        </w:rPr>
        <w:t>Procurement and public management: The fear of discretion and the quality of government performance</w:t>
      </w:r>
      <w:r>
        <w:t>. AEI Press.</w:t>
      </w:r>
    </w:p>
    <w:p>
      <w:pPr>
        <w:ind w:firstLine="720"/>
      </w:pPr>
      <w:r>
        <w:t xml:space="preserve">Kelman, S. (2002). Remaking federal procurement. </w:t>
      </w:r>
      <w:r>
        <w:rPr>
          <w:i/>
        </w:rPr>
        <w:t>Public Contract Law Journal</w:t>
      </w:r>
      <w:r>
        <w:t xml:space="preserve">, </w:t>
      </w:r>
      <w:r>
        <w:rPr>
          <w:i/>
        </w:rPr>
        <w:t>31</w:t>
      </w:r>
      <w:r>
        <w:t>(4), 581–622.</w:t>
      </w:r>
    </w:p>
    <w:p>
      <w:pPr>
        <w:ind w:firstLine="720"/>
      </w:pPr>
      <w:r>
        <w:t xml:space="preserve">Kelman, S. (2005). </w:t>
      </w:r>
      <w:r>
        <w:rPr>
          <w:i/>
        </w:rPr>
        <w:t>Unleashing change: A study of organizational renewal in government</w:t>
      </w:r>
      <w:r>
        <w:t>. Brookings Institution Press.</w:t>
      </w:r>
    </w:p>
    <w:p>
      <w:pPr>
        <w:ind w:firstLine="720"/>
      </w:pPr>
      <w:r>
        <w:t xml:space="preserve">Klemperer, P. (2002). What really matters in auction design. </w:t>
      </w:r>
      <w:r>
        <w:rPr>
          <w:i/>
        </w:rPr>
        <w:t>Journal of Economic Perspectives</w:t>
      </w:r>
      <w:r>
        <w:t xml:space="preserve">, </w:t>
      </w:r>
      <w:r>
        <w:rPr>
          <w:i/>
        </w:rPr>
        <w:t>16</w:t>
      </w:r>
      <w:r>
        <w:t>(1), 169–189. https://doi.org/10.1257/0895330027166</w:t>
      </w:r>
    </w:p>
    <w:p>
      <w:pPr>
        <w:ind w:firstLine="720"/>
      </w:pPr>
      <w:r>
        <w:t xml:space="preserve">Krishna, V. (2010). </w:t>
      </w:r>
      <w:r>
        <w:rPr>
          <w:i/>
        </w:rPr>
        <w:t>Auction theory</w:t>
      </w:r>
      <w:r>
        <w:t xml:space="preserve"> (2nd ed.). Academic Press.</w:t>
      </w:r>
    </w:p>
    <w:p>
      <w:pPr>
        <w:ind w:firstLine="720"/>
      </w:pPr>
      <w:r>
        <w:t xml:space="preserve">Malacina, I., Karttunen, E., Eskola, S., Czinkota, M., &amp; Laari, S. (2022). Public procurement and value creation: A systematic literature review. </w:t>
      </w:r>
      <w:r>
        <w:rPr>
          <w:i/>
        </w:rPr>
        <w:t>Journal of Public Procurement</w:t>
      </w:r>
      <w:r>
        <w:t xml:space="preserve">, </w:t>
      </w:r>
      <w:r>
        <w:rPr>
          <w:i/>
        </w:rPr>
        <w:t>22</w:t>
      </w:r>
      <w:r>
        <w:t>(3), 241–269. https://doi.org/10.1108/JOPP-02-2022-0007</w:t>
      </w:r>
    </w:p>
    <w:p>
      <w:pPr>
        <w:ind w:firstLine="720"/>
      </w:pPr>
      <w:r>
        <w:t xml:space="preserve">Milgrom, P. (2004). </w:t>
      </w:r>
      <w:r>
        <w:rPr>
          <w:i/>
        </w:rPr>
        <w:t>Putting auction theory to work</w:t>
      </w:r>
      <w:r>
        <w:t>. Cambridge University Press.</w:t>
      </w:r>
    </w:p>
    <w:p>
      <w:pPr>
        <w:ind w:firstLine="720"/>
      </w:pPr>
      <w:r>
        <w:t xml:space="preserve">Moore, M. H. (1995). </w:t>
      </w:r>
      <w:r>
        <w:rPr>
          <w:i/>
        </w:rPr>
        <w:t>Creating public value: Strategic management in government</w:t>
      </w:r>
      <w:r>
        <w:t>. Harvard University Press.</w:t>
      </w:r>
    </w:p>
    <w:p>
      <w:pPr>
        <w:ind w:firstLine="720"/>
      </w:pPr>
      <w:r>
        <w:t xml:space="preserve">Moore, M. H. (2013). </w:t>
      </w:r>
      <w:r>
        <w:rPr>
          <w:i/>
        </w:rPr>
        <w:t>Recognizing public value</w:t>
      </w:r>
      <w:r>
        <w:t>. Harvard University Press.</w:t>
      </w:r>
    </w:p>
    <w:p>
      <w:pPr>
        <w:ind w:firstLine="720"/>
      </w:pPr>
      <w:r>
        <w:t xml:space="preserve">National Association of State Procurement Officials. (2019). </w:t>
      </w:r>
      <w:r>
        <w:rPr>
          <w:i/>
        </w:rPr>
        <w:t>State procurement: Principles and practices</w:t>
      </w:r>
      <w:r>
        <w:t xml:space="preserve"> (3rd ed.). NASPO.</w:t>
      </w:r>
    </w:p>
    <w:p>
      <w:pPr>
        <w:ind w:firstLine="720"/>
      </w:pPr>
      <w:r>
        <w:t xml:space="preserve">National Defense Industrial Association. (2014). </w:t>
      </w:r>
      <w:r>
        <w:rPr>
          <w:i/>
        </w:rPr>
        <w:t>LPTA: Pair with care</w:t>
      </w:r>
      <w:r>
        <w:t>. NDIA.</w:t>
      </w:r>
    </w:p>
    <w:p>
      <w:pPr>
        <w:ind w:firstLine="720"/>
      </w:pPr>
      <w:r>
        <w:t xml:space="preserve">Organisation for Economic Co-operation and Development. (2009). </w:t>
      </w:r>
      <w:r>
        <w:rPr>
          <w:i/>
        </w:rPr>
        <w:t>OECD principles for integrity in public procurement</w:t>
      </w:r>
      <w:r>
        <w:t>. OECD Publishing.</w:t>
      </w:r>
    </w:p>
    <w:p>
      <w:pPr>
        <w:ind w:firstLine="720"/>
      </w:pPr>
      <w:r>
        <w:t xml:space="preserve">Organisation for Economic Co-operation and Development. (2019). </w:t>
      </w:r>
      <w:r>
        <w:rPr>
          <w:i/>
        </w:rPr>
        <w:t>Government at a glance 2019</w:t>
      </w:r>
      <w:r>
        <w:t>. OECD Publishing. https://doi.org/10.1787/8ccf5c38-en</w:t>
      </w:r>
    </w:p>
    <w:p>
      <w:pPr>
        <w:ind w:firstLine="720"/>
      </w:pPr>
      <w:r>
        <w:t xml:space="preserve">Osman, H., Gomez, J. P., &amp; Gunderson, E. (2017). </w:t>
      </w:r>
      <w:r>
        <w:rPr>
          <w:i/>
        </w:rPr>
        <w:t>Analysis of contract source selection and its effect on cost and schedule performance</w:t>
      </w:r>
      <w:r>
        <w:t xml:space="preserve"> [Master's thesis, Naval Postgraduate School]. NPS Archive.</w:t>
      </w:r>
    </w:p>
    <w:p>
      <w:pPr>
        <w:ind w:firstLine="720"/>
      </w:pPr>
      <w:r>
        <w:t xml:space="preserve">Professional Services Council. (2014). </w:t>
      </w:r>
      <w:r>
        <w:rPr>
          <w:i/>
        </w:rPr>
        <w:t>The impact of LPTA on the government services sector</w:t>
      </w:r>
      <w:r>
        <w:t>. PSC.</w:t>
      </w:r>
    </w:p>
    <w:p>
      <w:pPr>
        <w:ind w:firstLine="720"/>
      </w:pPr>
      <w:r>
        <w:t>Public Law 114-328, National Defense Authorization Act for Fiscal Year 2017, section 813 (2016).</w:t>
      </w:r>
    </w:p>
    <w:p>
      <w:pPr>
        <w:ind w:firstLine="720"/>
      </w:pPr>
      <w:r>
        <w:t>Public Law 115-91, National Defense Authorization Act for Fiscal Year 2018, section 822 (2017).</w:t>
      </w:r>
    </w:p>
    <w:p>
      <w:pPr>
        <w:ind w:firstLine="720"/>
      </w:pPr>
      <w:r>
        <w:t xml:space="preserve">Rendon, R. G. (2009). Procurement process maturity: Key to performance measurement. </w:t>
      </w:r>
      <w:r>
        <w:rPr>
          <w:i/>
        </w:rPr>
        <w:t>Journal of Public Procurement</w:t>
      </w:r>
      <w:r>
        <w:t xml:space="preserve">, </w:t>
      </w:r>
      <w:r>
        <w:rPr>
          <w:i/>
        </w:rPr>
        <w:t>9</w:t>
      </w:r>
      <w:r>
        <w:t>(2), 200–214. https://doi.org/10.1108/JOPP-09-02-2009-B002</w:t>
      </w:r>
    </w:p>
    <w:p>
      <w:pPr>
        <w:ind w:firstLine="720"/>
      </w:pPr>
      <w:r>
        <w:t xml:space="preserve">Rendon, R. G., &amp; Snider, K. F. (2019). </w:t>
      </w:r>
      <w:r>
        <w:rPr>
          <w:i/>
        </w:rPr>
        <w:t>Management of defense acquisition projects</w:t>
      </w:r>
      <w:r>
        <w:t xml:space="preserve"> (2nd ed.). American Institute of Aeronautics and Astronautics.</w:t>
      </w:r>
    </w:p>
    <w:p>
      <w:pPr>
        <w:ind w:firstLine="720"/>
      </w:pPr>
      <w:r>
        <w:t xml:space="preserve">Rosenbaum, P. R. (2002). </w:t>
      </w:r>
      <w:r>
        <w:rPr>
          <w:i/>
        </w:rPr>
        <w:t>Observational studies</w:t>
      </w:r>
      <w:r>
        <w:t xml:space="preserve"> (2nd ed.). Springer.</w:t>
      </w:r>
    </w:p>
    <w:p>
      <w:pPr>
        <w:ind w:firstLine="720"/>
      </w:pPr>
      <w:r>
        <w:t xml:space="preserve">Rosenbaum, P. R., &amp; Rubin, D. B. (1983). The central role of the propensity score in observational studies for causal effects. </w:t>
      </w:r>
      <w:r>
        <w:rPr>
          <w:i/>
        </w:rPr>
        <w:t>Biometrika</w:t>
      </w:r>
      <w:r>
        <w:t xml:space="preserve">, </w:t>
      </w:r>
      <w:r>
        <w:rPr>
          <w:i/>
        </w:rPr>
        <w:t>70</w:t>
      </w:r>
      <w:r>
        <w:t>(1), 41–55. https://doi.org/10.1093/biomet/70.1.41</w:t>
      </w:r>
    </w:p>
    <w:p>
      <w:pPr>
        <w:ind w:firstLine="720"/>
      </w:pPr>
      <w:r>
        <w:t xml:space="preserve">Rosenthal, R. (1979). The file drawer problem and tolerance for null results. </w:t>
      </w:r>
      <w:r>
        <w:rPr>
          <w:i/>
        </w:rPr>
        <w:t>Psychological Bulletin</w:t>
      </w:r>
      <w:r>
        <w:t xml:space="preserve">, </w:t>
      </w:r>
      <w:r>
        <w:rPr>
          <w:i/>
        </w:rPr>
        <w:t>86</w:t>
      </w:r>
      <w:r>
        <w:t>(3), 638–641. https://doi.org/10.1037/0033-2909.86.3.638</w:t>
      </w:r>
    </w:p>
    <w:p>
      <w:pPr>
        <w:ind w:firstLine="720"/>
      </w:pPr>
      <w:r>
        <w:t xml:space="preserve">Shadish, W. R., Cook, T. D., &amp; Campbell, D. T. (2002). </w:t>
      </w:r>
      <w:r>
        <w:rPr>
          <w:i/>
        </w:rPr>
        <w:t>Experimental and quasi-experimental designs for generalized causal inference</w:t>
      </w:r>
      <w:r>
        <w:t>. Houghton Mifflin.</w:t>
      </w:r>
    </w:p>
    <w:p>
      <w:pPr>
        <w:ind w:firstLine="720"/>
      </w:pPr>
      <w:r>
        <w:t xml:space="preserve">Thaler, R. H. (1988). Anomalies: The winner's curse. </w:t>
      </w:r>
      <w:r>
        <w:rPr>
          <w:i/>
        </w:rPr>
        <w:t>Journal of Economic Perspectives</w:t>
      </w:r>
      <w:r>
        <w:t xml:space="preserve">, </w:t>
      </w:r>
      <w:r>
        <w:rPr>
          <w:i/>
        </w:rPr>
        <w:t>2</w:t>
      </w:r>
      <w:r>
        <w:t>(1), 191–202. https://doi.org/10.1257/jep.2.1.191</w:t>
      </w:r>
    </w:p>
    <w:p>
      <w:pPr>
        <w:ind w:firstLine="720"/>
      </w:pPr>
      <w:r>
        <w:t xml:space="preserve">Vickrey, W. (1961). Counterspeculation, auctions, and competitive sealed tenders. </w:t>
      </w:r>
      <w:r>
        <w:rPr>
          <w:i/>
        </w:rPr>
        <w:t>Journal of Finance</w:t>
      </w:r>
      <w:r>
        <w:t xml:space="preserve">, </w:t>
      </w:r>
      <w:r>
        <w:rPr>
          <w:i/>
        </w:rPr>
        <w:t>16</w:t>
      </w:r>
      <w:r>
        <w:t>(1), 8–37. https://doi.org/10.1111/j.1540-6261.1961.tb02789.x</w:t>
      </w:r>
    </w:p>
    <w:p>
      <w:pPr>
        <w:ind w:firstLine="720"/>
      </w:pPr>
      <w:r>
        <w:t xml:space="preserve">Watson, K. (2015). </w:t>
      </w:r>
      <w:r>
        <w:rPr>
          <w:i/>
        </w:rPr>
        <w:t>An analysis of the effects of source selection method on contractor performance</w:t>
      </w:r>
      <w:r>
        <w:t xml:space="preserve"> [Master's thesis, Naval Postgraduate School]. NPS Archive.</w:t>
      </w:r>
    </w:p>
    <w:p>
      <w:pPr>
        <w:ind w:firstLine="720"/>
      </w:pPr>
      <w:r>
        <w:t xml:space="preserve">Williamson, O. E. (1985). </w:t>
      </w:r>
      <w:r>
        <w:rPr>
          <w:i/>
        </w:rPr>
        <w:t>The economic institutions of capitalism</w:t>
      </w:r>
      <w:r>
        <w:t>. Free Press.</w:t>
      </w:r>
    </w:p>
    <w:p>
      <w:pPr>
        <w:ind w:firstLine="720"/>
      </w:pPr>
      <w:r>
        <w:t xml:space="preserve">Williamson, O. E. (1996). </w:t>
      </w:r>
      <w:r>
        <w:rPr>
          <w:i/>
        </w:rPr>
        <w:t>The mechanisms of governance</w:t>
      </w:r>
      <w:r>
        <w:t>. Oxford University Press.</w:t>
      </w:r>
    </w:p>
    <w:p>
      <w:pPr>
        <w:ind w:firstLine="720"/>
      </w:pPr>
      <w:r>
        <w:t xml:space="preserve">Wylie, B. (2021). </w:t>
      </w:r>
      <w:r>
        <w:rPr>
          <w:i/>
        </w:rPr>
        <w:t>Open data, public value, and procurement</w:t>
      </w:r>
      <w:r>
        <w:t>. Centre for International Governance Innovation.</w:t>
      </w:r>
    </w:p>
    <w:p>
      <w:r>
        <w:br w:type="page"/>
      </w:r>
    </w:p>
    <w:p>
      <w:pPr>
        <w:pStyle w:val="Heading1"/>
      </w:pPr>
      <w:r>
        <w:rPr>
          <w:rFonts w:ascii="Times New Roman" w:hAnsi="Times New Roman"/>
          <w:color w:val="000000"/>
        </w:rPr>
        <w:t>References</w:t>
      </w:r>
    </w:p>
    <w:p>
      <w:pPr>
        <w:ind w:firstLine="720"/>
      </w:pPr>
      <w:r>
        <w:t xml:space="preserve">Akerlof, G. A. (1970). The market for "lemons": Quality uncertainty and the market mechanism. </w:t>
      </w:r>
      <w:r>
        <w:rPr>
          <w:i/>
        </w:rPr>
        <w:t>Quarterly Journal of Economics</w:t>
      </w:r>
      <w:r>
        <w:t xml:space="preserve">, </w:t>
      </w:r>
      <w:r>
        <w:rPr>
          <w:i/>
        </w:rPr>
        <w:t>84</w:t>
      </w:r>
      <w:r>
        <w:t>(3), 488–500. https://doi.org/10.2307/1879431</w:t>
      </w:r>
    </w:p>
    <w:p>
      <w:pPr>
        <w:ind w:firstLine="720"/>
      </w:pPr>
      <w:r>
        <w:t xml:space="preserve">Alford, J. (2009). </w:t>
      </w:r>
      <w:r>
        <w:rPr>
          <w:i/>
        </w:rPr>
        <w:t>Engaging public sector clients: From service delivery to co-production</w:t>
      </w:r>
      <w:r>
        <w:t>. Palgrave Macmillan.</w:t>
      </w:r>
    </w:p>
    <w:p>
      <w:pPr>
        <w:ind w:firstLine="720"/>
      </w:pPr>
      <w:r>
        <w:t xml:space="preserve">Alford, J., &amp; O'Flynn, J. (2009). Making sense of public value: Concepts, critiques and emergent meanings. </w:t>
      </w:r>
      <w:r>
        <w:rPr>
          <w:i/>
        </w:rPr>
        <w:t>International Journal of Public Administration</w:t>
      </w:r>
      <w:r>
        <w:t xml:space="preserve">, </w:t>
      </w:r>
      <w:r>
        <w:rPr>
          <w:i/>
        </w:rPr>
        <w:t>32</w:t>
      </w:r>
      <w:r>
        <w:t>(3–4), 171–207. https://doi.org/10.1080/01900690902732731</w:t>
      </w:r>
    </w:p>
    <w:p>
      <w:pPr>
        <w:ind w:firstLine="720"/>
      </w:pPr>
      <w:r>
        <w:t xml:space="preserve">Angrist, J. D., &amp; Pischke, J.-S. (2009). </w:t>
      </w:r>
      <w:r>
        <w:rPr>
          <w:i/>
        </w:rPr>
        <w:t>Mostly harmless econometrics: An empiricist's companion</w:t>
      </w:r>
      <w:r>
        <w:t>. Princeton University Press.</w:t>
      </w:r>
    </w:p>
    <w:p>
      <w:pPr>
        <w:ind w:firstLine="720"/>
      </w:pPr>
      <w:r>
        <w:t xml:space="preserve">Angrist, J. D., &amp; Pischke, J.-S. (2015). </w:t>
      </w:r>
      <w:r>
        <w:rPr>
          <w:i/>
        </w:rPr>
        <w:t>Mastering 'metrics: The path from cause to effect</w:t>
      </w:r>
      <w:r>
        <w:t>. Princeton University Press.</w:t>
      </w:r>
    </w:p>
    <w:p>
      <w:pPr>
        <w:ind w:firstLine="720"/>
      </w:pPr>
      <w:r>
        <w:t xml:space="preserve">Arena, M. V., Leonard, R. S., Murray, S. E., &amp; Younossi, O. (2006). </w:t>
      </w:r>
      <w:r>
        <w:rPr>
          <w:i/>
        </w:rPr>
        <w:t>Historical cost growth of completed weapon system programs</w:t>
      </w:r>
      <w:r>
        <w:t>. RAND Corporation. https://doi.org/10.7249/MG235</w:t>
      </w:r>
    </w:p>
    <w:p>
      <w:pPr>
        <w:ind w:firstLine="720"/>
      </w:pPr>
      <w:r>
        <w:t xml:space="preserve">Asian Development Bank. (2018). </w:t>
      </w:r>
      <w:r>
        <w:rPr>
          <w:i/>
        </w:rPr>
        <w:t>Value for money: Guidance note on procurement</w:t>
      </w:r>
      <w:r>
        <w:t>. ADB.</w:t>
      </w:r>
    </w:p>
    <w:p>
      <w:pPr>
        <w:ind w:firstLine="720"/>
      </w:pPr>
      <w:r>
        <w:t xml:space="preserve">Asker, J., &amp; Cantillon, E. (2008). Properties of scoring auctions. </w:t>
      </w:r>
      <w:r>
        <w:rPr>
          <w:i/>
        </w:rPr>
        <w:t>RAND Journal of Economics</w:t>
      </w:r>
      <w:r>
        <w:t xml:space="preserve">, </w:t>
      </w:r>
      <w:r>
        <w:rPr>
          <w:i/>
        </w:rPr>
        <w:t>39</w:t>
      </w:r>
      <w:r>
        <w:t>(1), 69–85. https://doi.org/10.1111/j.1756-2171.2008.00004.x</w:t>
      </w:r>
    </w:p>
    <w:p>
      <w:pPr>
        <w:ind w:firstLine="720"/>
      </w:pPr>
      <w:r>
        <w:t xml:space="preserve">Asker, J., &amp; Cantillon, E. (2010). Procurement when price and quality matter. </w:t>
      </w:r>
      <w:r>
        <w:rPr>
          <w:i/>
        </w:rPr>
        <w:t>RAND Journal of Economics</w:t>
      </w:r>
      <w:r>
        <w:t xml:space="preserve">, </w:t>
      </w:r>
      <w:r>
        <w:rPr>
          <w:i/>
        </w:rPr>
        <w:t>41</w:t>
      </w:r>
      <w:r>
        <w:t>(1), 1–34. https://doi.org/10.1111/j.1756-2171.2009.00088.x</w:t>
      </w:r>
    </w:p>
    <w:p>
      <w:pPr>
        <w:ind w:firstLine="720"/>
      </w:pPr>
      <w:r>
        <w:t xml:space="preserve">Bajari, P., Houghton, S., &amp; Tadelis, S. (2014). Bidding for incomplete contracts: An empirical analysis of adaptation costs. </w:t>
      </w:r>
      <w:r>
        <w:rPr>
          <w:i/>
        </w:rPr>
        <w:t>American Economic Review</w:t>
      </w:r>
      <w:r>
        <w:t xml:space="preserve">, </w:t>
      </w:r>
      <w:r>
        <w:rPr>
          <w:i/>
        </w:rPr>
        <w:t>104</w:t>
      </w:r>
      <w:r>
        <w:t>(4), 1288–1319. https://doi.org/10.1257/aer.104.4.1288</w:t>
      </w:r>
    </w:p>
    <w:p>
      <w:pPr>
        <w:ind w:firstLine="720"/>
      </w:pPr>
      <w:r>
        <w:t xml:space="preserve">Bajari, P., McMillan, R., &amp; Tadelis, S. (2009). Auctions versus negotiations in procurement: An empirical analysis. </w:t>
      </w:r>
      <w:r>
        <w:rPr>
          <w:i/>
        </w:rPr>
        <w:t>Journal of Law, Economics, and Organization</w:t>
      </w:r>
      <w:r>
        <w:t xml:space="preserve">, </w:t>
      </w:r>
      <w:r>
        <w:rPr>
          <w:i/>
        </w:rPr>
        <w:t>25</w:t>
      </w:r>
      <w:r>
        <w:t>(2), 372–399. https://doi.org/10.1093/jleo/ewn002</w:t>
      </w:r>
    </w:p>
    <w:p>
      <w:pPr>
        <w:ind w:firstLine="720"/>
      </w:pPr>
      <w:r>
        <w:t xml:space="preserve">Bajari, P., &amp; Tadelis, S. (2001). Incentives versus transaction costs: A theory of procurement contracts. </w:t>
      </w:r>
      <w:r>
        <w:rPr>
          <w:i/>
        </w:rPr>
        <w:t>RAND Journal of Economics</w:t>
      </w:r>
      <w:r>
        <w:t xml:space="preserve">, </w:t>
      </w:r>
      <w:r>
        <w:rPr>
          <w:i/>
        </w:rPr>
        <w:t>32</w:t>
      </w:r>
      <w:r>
        <w:t>(3), 387–407. https://doi.org/10.2307/2696361</w:t>
      </w:r>
    </w:p>
    <w:p>
      <w:pPr>
        <w:ind w:firstLine="720"/>
      </w:pPr>
      <w:r>
        <w:t xml:space="preserve">Baker, M. (2016). </w:t>
      </w:r>
      <w:r>
        <w:rPr>
          <w:i/>
        </w:rPr>
        <w:t>An analysis of source selection strategies and outcomes in Department of Defense acquisitions</w:t>
      </w:r>
      <w:r>
        <w:t xml:space="preserve"> [Master's thesis, Naval Postgraduate School]. NPS Archive.</w:t>
      </w:r>
    </w:p>
    <w:p>
      <w:pPr>
        <w:ind w:firstLine="720"/>
      </w:pPr>
      <w:r>
        <w:t xml:space="preserve">Ban, T. A. (2015). </w:t>
      </w:r>
      <w:r>
        <w:rPr>
          <w:i/>
        </w:rPr>
        <w:t>Lowest price technically acceptable source selection process: A quantitative analysis</w:t>
      </w:r>
      <w:r>
        <w:t xml:space="preserve"> [Master's thesis, Naval Postgraduate School]. NPS Archive.</w:t>
      </w:r>
    </w:p>
    <w:p>
      <w:pPr>
        <w:ind w:firstLine="720"/>
      </w:pPr>
      <w:r>
        <w:t xml:space="preserve">Baron, R. M., &amp; Kenny, D. A. (1986). The moderator-mediator variable distinction in social psychological research: Conceptual, strategic, and statistical considerations. </w:t>
      </w:r>
      <w:r>
        <w:rPr>
          <w:i/>
        </w:rPr>
        <w:t>Journal of Personality and Social Psychology</w:t>
      </w:r>
      <w:r>
        <w:t xml:space="preserve">, </w:t>
      </w:r>
      <w:r>
        <w:rPr>
          <w:i/>
        </w:rPr>
        <w:t>51</w:t>
      </w:r>
      <w:r>
        <w:t>(6), 1173–1182. https://doi.org/10.1037/0022-3514.51.6.1173</w:t>
      </w:r>
    </w:p>
    <w:p>
      <w:pPr>
        <w:ind w:firstLine="720"/>
      </w:pPr>
      <w:r>
        <w:t xml:space="preserve">Benington, J. (2011). From private choice to public value? In J. Benington &amp; M. H. Moore (Eds.), </w:t>
      </w:r>
      <w:r>
        <w:rPr>
          <w:i/>
        </w:rPr>
        <w:t>Public value: Theory and practice</w:t>
      </w:r>
      <w:r>
        <w:t xml:space="preserve"> (pp. 31–51). Palgrave Macmillan.</w:t>
      </w:r>
    </w:p>
    <w:p>
      <w:pPr>
        <w:ind w:firstLine="720"/>
      </w:pPr>
      <w:r>
        <w:t xml:space="preserve">Benington, J., &amp; Moore, M. H. (Eds.). (2011). </w:t>
      </w:r>
      <w:r>
        <w:rPr>
          <w:i/>
        </w:rPr>
        <w:t>Public value: Theory and practice</w:t>
      </w:r>
      <w:r>
        <w:t>. Palgrave Macmillan.</w:t>
      </w:r>
    </w:p>
    <w:p>
      <w:pPr>
        <w:ind w:firstLine="720"/>
      </w:pPr>
      <w:r>
        <w:t xml:space="preserve">Benjamini, Y., &amp; Hochberg, Y. (1995). Controlling the false discovery rate: A practical and powerful approach to multiple testing. </w:t>
      </w:r>
      <w:r>
        <w:rPr>
          <w:i/>
        </w:rPr>
        <w:t>Journal of the Royal Statistical Society: Series B (Methodological)</w:t>
      </w:r>
      <w:r>
        <w:t xml:space="preserve">, </w:t>
      </w:r>
      <w:r>
        <w:rPr>
          <w:i/>
        </w:rPr>
        <w:t>57</w:t>
      </w:r>
      <w:r>
        <w:t>(1), 289–300. https://doi.org/10.1111/j.2517-6161.1995.tb02031.x</w:t>
      </w:r>
    </w:p>
    <w:p>
      <w:pPr>
        <w:ind w:firstLine="720"/>
      </w:pPr>
      <w:r>
        <w:t xml:space="preserve">Bozeman, B. (2007). </w:t>
      </w:r>
      <w:r>
        <w:rPr>
          <w:i/>
        </w:rPr>
        <w:t>Public values and public interest: Counterbalancing economic individualism</w:t>
      </w:r>
      <w:r>
        <w:t>. Georgetown University Press.</w:t>
      </w:r>
    </w:p>
    <w:p>
      <w:pPr>
        <w:ind w:firstLine="720"/>
      </w:pPr>
      <w:r>
        <w:t xml:space="preserve">Branco, F. (1997). The design of multidimensional auctions. </w:t>
      </w:r>
      <w:r>
        <w:rPr>
          <w:i/>
        </w:rPr>
        <w:t>RAND Journal of Economics</w:t>
      </w:r>
      <w:r>
        <w:t xml:space="preserve">, </w:t>
      </w:r>
      <w:r>
        <w:rPr>
          <w:i/>
        </w:rPr>
        <w:t>28</w:t>
      </w:r>
      <w:r>
        <w:t>(1), 63–81. https://doi.org/10.2307/2555940</w:t>
      </w:r>
    </w:p>
    <w:p>
      <w:pPr>
        <w:ind w:firstLine="720"/>
      </w:pPr>
      <w:r>
        <w:t xml:space="preserve">Brown, T. L., &amp; Potoski, M. (2003). Transaction costs and institutional explanations for government service production decisions. </w:t>
      </w:r>
      <w:r>
        <w:rPr>
          <w:i/>
        </w:rPr>
        <w:t>Journal of Public Administration Research and Theory</w:t>
      </w:r>
      <w:r>
        <w:t xml:space="preserve">, </w:t>
      </w:r>
      <w:r>
        <w:rPr>
          <w:i/>
        </w:rPr>
        <w:t>13</w:t>
      </w:r>
      <w:r>
        <w:t>(4), 441–468. https://doi.org/10.1093/jpart/mug030</w:t>
      </w:r>
    </w:p>
    <w:p>
      <w:pPr>
        <w:ind w:firstLine="720"/>
      </w:pPr>
      <w:r>
        <w:t xml:space="preserve">Brown, T. L., &amp; Potoski, M. (2005). Transaction costs and contracting: The practitioner perspective. </w:t>
      </w:r>
      <w:r>
        <w:rPr>
          <w:i/>
        </w:rPr>
        <w:t>Public Performance &amp; Management Review</w:t>
      </w:r>
      <w:r>
        <w:t xml:space="preserve">, </w:t>
      </w:r>
      <w:r>
        <w:rPr>
          <w:i/>
        </w:rPr>
        <w:t>28</w:t>
      </w:r>
      <w:r>
        <w:t>(3), 326–351. https://doi.org/10.1080/15309576.2005.11051837</w:t>
      </w:r>
    </w:p>
    <w:p>
      <w:pPr>
        <w:ind w:firstLine="720"/>
      </w:pPr>
      <w:r>
        <w:t xml:space="preserve">Bryson, J. M., Crosby, B. C., &amp; Bloomberg, L. (2014). Public value governance: Moving beyond traditional public administration and the new public management. </w:t>
      </w:r>
      <w:r>
        <w:rPr>
          <w:i/>
        </w:rPr>
        <w:t>Public Administration Review</w:t>
      </w:r>
      <w:r>
        <w:t xml:space="preserve">, </w:t>
      </w:r>
      <w:r>
        <w:rPr>
          <w:i/>
        </w:rPr>
        <w:t>74</w:t>
      </w:r>
      <w:r>
        <w:t>(4), 445–456. https://doi.org/10.1111/puar.12238</w:t>
      </w:r>
    </w:p>
    <w:p>
      <w:pPr>
        <w:ind w:firstLine="720"/>
      </w:pPr>
      <w:r>
        <w:t xml:space="preserve">Burger, P., &amp; Hawkesworth, I. (2011). How to attain value for money: Comparing PPP and traditional infrastructure public procurement. </w:t>
      </w:r>
      <w:r>
        <w:rPr>
          <w:i/>
        </w:rPr>
        <w:t>OECD Journal on Budgeting</w:t>
      </w:r>
      <w:r>
        <w:t xml:space="preserve">, </w:t>
      </w:r>
      <w:r>
        <w:rPr>
          <w:i/>
        </w:rPr>
        <w:t>2011</w:t>
      </w:r>
      <w:r>
        <w:t>(1), 1–56. https://doi.org/10.1787/budget-11-5kg706rd2n6c</w:t>
      </w:r>
    </w:p>
    <w:p>
      <w:pPr>
        <w:ind w:firstLine="720"/>
      </w:pPr>
      <w:r>
        <w:t xml:space="preserve">Callaway, B., &amp; Sant'Anna, P. H. C. (2021). Difference-in-differences with multiple time periods. </w:t>
      </w:r>
      <w:r>
        <w:rPr>
          <w:i/>
        </w:rPr>
        <w:t>Journal of Econometrics</w:t>
      </w:r>
      <w:r>
        <w:t xml:space="preserve">, </w:t>
      </w:r>
      <w:r>
        <w:rPr>
          <w:i/>
        </w:rPr>
        <w:t>225</w:t>
      </w:r>
      <w:r>
        <w:t>(2), 200–230. https://doi.org/10.1016/j.jeconom.2020.12.001</w:t>
      </w:r>
    </w:p>
    <w:p>
      <w:pPr>
        <w:ind w:firstLine="720"/>
      </w:pPr>
      <w:r>
        <w:t xml:space="preserve">Calvo, E., Cui, R., &amp; Serpa, J. C. (2019). Oversight and efficiency in public projects: A regression discontinuity analysis. </w:t>
      </w:r>
      <w:r>
        <w:rPr>
          <w:i/>
        </w:rPr>
        <w:t>Management Science</w:t>
      </w:r>
      <w:r>
        <w:t xml:space="preserve">, </w:t>
      </w:r>
      <w:r>
        <w:rPr>
          <w:i/>
        </w:rPr>
        <w:t>65</w:t>
      </w:r>
      <w:r>
        <w:t>(12), 5651–5675. https://doi.org/10.1287/mnsc.2018.3202</w:t>
      </w:r>
    </w:p>
    <w:p>
      <w:pPr>
        <w:ind w:firstLine="720"/>
      </w:pPr>
      <w:r>
        <w:t xml:space="preserve">Cameron, A. C., &amp; Miller, D. L. (2015). A practitioner's guide to cluster-robust inference. </w:t>
      </w:r>
      <w:r>
        <w:rPr>
          <w:i/>
        </w:rPr>
        <w:t>Journal of Human Resources</w:t>
      </w:r>
      <w:r>
        <w:t xml:space="preserve">, </w:t>
      </w:r>
      <w:r>
        <w:rPr>
          <w:i/>
        </w:rPr>
        <w:t>50</w:t>
      </w:r>
      <w:r>
        <w:t>(2), 317–372. https://doi.org/10.3368/jhr.50.2.317</w:t>
      </w:r>
    </w:p>
    <w:p>
      <w:pPr>
        <w:ind w:firstLine="720"/>
      </w:pPr>
      <w:r>
        <w:t xml:space="preserve">Cameron, A. C., &amp; Trivedi, P. K. (2005). </w:t>
      </w:r>
      <w:r>
        <w:rPr>
          <w:i/>
        </w:rPr>
        <w:t>Microeconometrics: Methods and applications</w:t>
      </w:r>
      <w:r>
        <w:t>. Cambridge University Press.</w:t>
      </w:r>
    </w:p>
    <w:p>
      <w:pPr>
        <w:ind w:firstLine="720"/>
      </w:pPr>
      <w:r>
        <w:t xml:space="preserve">Carril, A., &amp; Duggan, M. (2020). The impact of industry consolidation on government procurement: Evidence from Department of Defense contracting. </w:t>
      </w:r>
      <w:r>
        <w:rPr>
          <w:i/>
        </w:rPr>
        <w:t>Journal of Public Economics</w:t>
      </w:r>
      <w:r>
        <w:t xml:space="preserve">, </w:t>
      </w:r>
      <w:r>
        <w:rPr>
          <w:i/>
        </w:rPr>
        <w:t>184</w:t>
      </w:r>
      <w:r>
        <w:t>, 104141. https://doi.org/10.1016/j.jpubeco.2020.104141</w:t>
      </w:r>
    </w:p>
    <w:p>
      <w:pPr>
        <w:ind w:firstLine="720"/>
      </w:pPr>
      <w:r>
        <w:t xml:space="preserve">Che, Y.-K. (1993). Design competition through multidimensional auctions. </w:t>
      </w:r>
      <w:r>
        <w:rPr>
          <w:i/>
        </w:rPr>
        <w:t>RAND Journal of Economics</w:t>
      </w:r>
      <w:r>
        <w:t xml:space="preserve">, </w:t>
      </w:r>
      <w:r>
        <w:rPr>
          <w:i/>
        </w:rPr>
        <w:t>24</w:t>
      </w:r>
      <w:r>
        <w:t>(4), 668–680. https://doi.org/10.2307/2555752</w:t>
      </w:r>
    </w:p>
    <w:p>
      <w:pPr>
        <w:ind w:firstLine="720"/>
      </w:pPr>
      <w:r>
        <w:t xml:space="preserve">Cibinic, J., Jr., Nash, R. C., Jr., &amp; Nagle, J. F. (2015). </w:t>
      </w:r>
      <w:r>
        <w:rPr>
          <w:i/>
        </w:rPr>
        <w:t>Administration of government contracts</w:t>
      </w:r>
      <w:r>
        <w:t xml:space="preserve"> (5th ed.). Wolters Kluwer.</w:t>
      </w:r>
    </w:p>
    <w:p>
      <w:pPr>
        <w:ind w:firstLine="720"/>
      </w:pPr>
      <w:r>
        <w:t>Competition in Contracting Act of 1984, Pub. L. No. 98-369, 98 Stat. 1175.</w:t>
      </w:r>
    </w:p>
    <w:p>
      <w:pPr>
        <w:ind w:firstLine="720"/>
      </w:pPr>
      <w:r>
        <w:t xml:space="preserve">Congressional Research Service. (2018). </w:t>
      </w:r>
      <w:r>
        <w:rPr>
          <w:i/>
        </w:rPr>
        <w:t>Bid protests: Overview of legal processes and issues</w:t>
      </w:r>
      <w:r>
        <w:t xml:space="preserve"> (Report No. R45080). CRS.</w:t>
      </w:r>
    </w:p>
    <w:p>
      <w:pPr>
        <w:ind w:firstLine="720"/>
      </w:pPr>
      <w:r>
        <w:t xml:space="preserve">Congressional Research Service. (2024). </w:t>
      </w:r>
      <w:r>
        <w:rPr>
          <w:i/>
        </w:rPr>
        <w:t>Federal acquisition: Source selection methods and best value determinations</w:t>
      </w:r>
      <w:r>
        <w:t xml:space="preserve"> (Report No. R47215). CRS.</w:t>
      </w:r>
    </w:p>
    <w:p>
      <w:pPr>
        <w:ind w:firstLine="720"/>
      </w:pPr>
      <w:r>
        <w:t xml:space="preserve">Creswell, J. W., &amp; Creswell, J. D. (2018). </w:t>
      </w:r>
      <w:r>
        <w:rPr>
          <w:i/>
        </w:rPr>
        <w:t>Research design: Qualitative, quantitative, and mixed methods approaches</w:t>
      </w:r>
      <w:r>
        <w:t xml:space="preserve"> (5th ed.). SAGE Publications.</w:t>
      </w:r>
    </w:p>
    <w:p>
      <w:pPr>
        <w:ind w:firstLine="720"/>
      </w:pPr>
      <w:r>
        <w:t xml:space="preserve">de Chaisemartin, C., &amp; D'Haultfoeuille, X. (2020). Two-way fixed effects estimators with heterogeneous treatment effects. </w:t>
      </w:r>
      <w:r>
        <w:rPr>
          <w:i/>
        </w:rPr>
        <w:t>American Economic Review</w:t>
      </w:r>
      <w:r>
        <w:t xml:space="preserve">, </w:t>
      </w:r>
      <w:r>
        <w:rPr>
          <w:i/>
        </w:rPr>
        <w:t>110</w:t>
      </w:r>
      <w:r>
        <w:t>(9), 2964–2996. https://doi.org/10.1257/aer.20181169</w:t>
      </w:r>
    </w:p>
    <w:p>
      <w:pPr>
        <w:ind w:firstLine="720"/>
      </w:pPr>
      <w:r>
        <w:t xml:space="preserve">Defense Acquisition University. (2023). </w:t>
      </w:r>
      <w:r>
        <w:rPr>
          <w:i/>
        </w:rPr>
        <w:t>Defense acquisition guidebook</w:t>
      </w:r>
      <w:r>
        <w:t>. DAU Press.</w:t>
      </w:r>
    </w:p>
    <w:p>
      <w:pPr>
        <w:ind w:firstLine="720"/>
      </w:pPr>
      <w:r>
        <w:t xml:space="preserve">Denhardt, R. B., &amp; Denhardt, J. V. (2000). The new public service: Serving rather than steering. </w:t>
      </w:r>
      <w:r>
        <w:rPr>
          <w:i/>
        </w:rPr>
        <w:t>Public Administration Review</w:t>
      </w:r>
      <w:r>
        <w:t xml:space="preserve">, </w:t>
      </w:r>
      <w:r>
        <w:rPr>
          <w:i/>
        </w:rPr>
        <w:t>60</w:t>
      </w:r>
      <w:r>
        <w:t>(6), 549–559. https://doi.org/10.1111/0033-3352.00117</w:t>
      </w:r>
    </w:p>
    <w:p>
      <w:pPr>
        <w:ind w:firstLine="720"/>
      </w:pPr>
      <w:r>
        <w:t>Digital Accountability and Transparency Act of 2014, Pub. L. No. 113-101, 128 Stat. 1146.</w:t>
      </w:r>
    </w:p>
    <w:p>
      <w:pPr>
        <w:ind w:firstLine="720"/>
      </w:pPr>
      <w:r>
        <w:t xml:space="preserve">Dimitri, N., Piga, G., &amp; Spagnolo, G. (Eds.). (2006). </w:t>
      </w:r>
      <w:r>
        <w:rPr>
          <w:i/>
        </w:rPr>
        <w:t>Handbook of procurement</w:t>
      </w:r>
      <w:r>
        <w:t>. Cambridge University Press. https://doi.org/10.1017/CBO9780511492556</w:t>
      </w:r>
    </w:p>
    <w:p>
      <w:pPr>
        <w:ind w:firstLine="720"/>
      </w:pPr>
      <w:r>
        <w:t xml:space="preserve">Dunn, R. L. (2009). </w:t>
      </w:r>
      <w:r>
        <w:rPr>
          <w:i/>
        </w:rPr>
        <w:t>Best value versus lowest price: An analysis of source selection outcomes</w:t>
      </w:r>
      <w:r>
        <w:t>. Defense Acquisition University.</w:t>
      </w:r>
    </w:p>
    <w:p>
      <w:pPr>
        <w:ind w:firstLine="720"/>
      </w:pPr>
      <w:r>
        <w:t xml:space="preserve">Dyer, J. H., &amp; Singh, H. (1998). The relational view: Cooperative strategy and sources of interorganizational competitive advantage. </w:t>
      </w:r>
      <w:r>
        <w:rPr>
          <w:i/>
        </w:rPr>
        <w:t>Academy of Management Review</w:t>
      </w:r>
      <w:r>
        <w:t xml:space="preserve">, </w:t>
      </w:r>
      <w:r>
        <w:rPr>
          <w:i/>
        </w:rPr>
        <w:t>23</w:t>
      </w:r>
      <w:r>
        <w:t>(4), 660–679. https://doi.org/10.5465/amr.1998.1255632</w:t>
      </w:r>
    </w:p>
    <w:p>
      <w:pPr>
        <w:ind w:firstLine="720"/>
      </w:pPr>
      <w:r>
        <w:t xml:space="preserve">Edmondson, A. C., &amp; McManus, S. E. (2007). Methodological fit in management field research. </w:t>
      </w:r>
      <w:r>
        <w:rPr>
          <w:i/>
        </w:rPr>
        <w:t>Academy of Management Review</w:t>
      </w:r>
      <w:r>
        <w:t xml:space="preserve">, </w:t>
      </w:r>
      <w:r>
        <w:rPr>
          <w:i/>
        </w:rPr>
        <w:t>32</w:t>
      </w:r>
      <w:r>
        <w:t>(4), 1155–1179. https://doi.org/10.5465/amr.2007.26586086</w:t>
      </w:r>
    </w:p>
    <w:p>
      <w:pPr>
        <w:ind w:firstLine="720"/>
      </w:pPr>
      <w:r>
        <w:t xml:space="preserve">European Bank for Reconstruction and Development. (2024). </w:t>
      </w:r>
      <w:r>
        <w:rPr>
          <w:i/>
        </w:rPr>
        <w:t>Value for money in public procurement</w:t>
      </w:r>
      <w:r>
        <w:t>. EBRD.</w:t>
      </w:r>
    </w:p>
    <w:p>
      <w:pPr>
        <w:ind w:firstLine="720"/>
      </w:pPr>
      <w:r>
        <w:t xml:space="preserve">European Commission. (2011). </w:t>
      </w:r>
      <w:r>
        <w:rPr>
          <w:i/>
        </w:rPr>
        <w:t>Evaluation report: Impact and effectiveness of EU public procurement legislation</w:t>
      </w:r>
      <w:r>
        <w:t>. European Commission.</w:t>
      </w:r>
    </w:p>
    <w:p>
      <w:pPr>
        <w:ind w:firstLine="720"/>
      </w:pPr>
      <w:r>
        <w:t xml:space="preserve">European Commission. (2020). </w:t>
      </w:r>
      <w:r>
        <w:rPr>
          <w:i/>
        </w:rPr>
        <w:t>Single market scoreboard: Public procurement</w:t>
      </w:r>
      <w:r>
        <w:t>. European Commission.</w:t>
      </w:r>
    </w:p>
    <w:p>
      <w:pPr>
        <w:ind w:firstLine="720"/>
      </w:pPr>
      <w:r>
        <w:t xml:space="preserve">Fazekas, M., &amp; Blum, J. R. (2021). Improving public procurement outcomes: Review of tools and the state of the evidence base. </w:t>
      </w:r>
      <w:r>
        <w:rPr>
          <w:i/>
        </w:rPr>
        <w:t>World Bank Policy Research Working Paper</w:t>
      </w:r>
      <w:r>
        <w:t>, No. 9553. https://doi.org/10.1596/1813-9450-9553</w:t>
      </w:r>
    </w:p>
    <w:p>
      <w:pPr>
        <w:ind w:firstLine="720"/>
      </w:pPr>
      <w:r>
        <w:t xml:space="preserve">Fazekas, M., &amp; Kocsis, G. (2020). Uncovering high-level corruption: Cross-national objective corruption risk indicators using public procurement data. </w:t>
      </w:r>
      <w:r>
        <w:rPr>
          <w:i/>
        </w:rPr>
        <w:t>British Journal of Political Science</w:t>
      </w:r>
      <w:r>
        <w:t xml:space="preserve">, </w:t>
      </w:r>
      <w:r>
        <w:rPr>
          <w:i/>
        </w:rPr>
        <w:t>50</w:t>
      </w:r>
      <w:r>
        <w:t>(1), 155–164. https://doi.org/10.1017/S0007123417000461</w:t>
      </w:r>
    </w:p>
    <w:p>
      <w:pPr>
        <w:ind w:firstLine="720"/>
      </w:pPr>
      <w:r>
        <w:t>Federal Acquisition Regulation, 48 C.F.R. ch. 1 (2024).</w:t>
      </w:r>
    </w:p>
    <w:p>
      <w:pPr>
        <w:ind w:firstLine="720"/>
      </w:pPr>
      <w:r>
        <w:t>Federal Acquisition Streamlining Act of 1994, Pub. L. No. 103-355, 108 Stat. 3243.</w:t>
      </w:r>
    </w:p>
    <w:p>
      <w:pPr>
        <w:ind w:firstLine="720"/>
      </w:pPr>
      <w:r>
        <w:t>Federal Funding Accountability and Transparency Act of 2006, Pub. L. No. 109-282, 120 Stat. 1186.</w:t>
      </w:r>
    </w:p>
    <w:p>
      <w:pPr>
        <w:ind w:firstLine="720"/>
      </w:pPr>
      <w:r>
        <w:t xml:space="preserve">Federal Procurement Data System–Next Generation. (2024). </w:t>
      </w:r>
      <w:r>
        <w:rPr>
          <w:i/>
        </w:rPr>
        <w:t>FPDS-NG data</w:t>
      </w:r>
      <w:r>
        <w:t>. https://www.fpds.gov</w:t>
      </w:r>
    </w:p>
    <w:p>
      <w:pPr>
        <w:ind w:firstLine="720"/>
      </w:pPr>
      <w:r>
        <w:t xml:space="preserve">Ganuza, J. J. (2007). Competition and cost overruns in procurement. </w:t>
      </w:r>
      <w:r>
        <w:rPr>
          <w:i/>
        </w:rPr>
        <w:t>Journal of Industrial Economics</w:t>
      </w:r>
      <w:r>
        <w:t xml:space="preserve">, </w:t>
      </w:r>
      <w:r>
        <w:rPr>
          <w:i/>
        </w:rPr>
        <w:t>55</w:t>
      </w:r>
      <w:r>
        <w:t>(4), 633–660. https://doi.org/10.1111/j.1467-6451.2007.00327.x</w:t>
      </w:r>
    </w:p>
    <w:p>
      <w:pPr>
        <w:ind w:firstLine="720"/>
      </w:pPr>
      <w:r>
        <w:t xml:space="preserve">Girth, A. M. (2014). A closer look at contract accountability: Exploring the determinants of sanctions for unsatisfactory contract performance. </w:t>
      </w:r>
      <w:r>
        <w:rPr>
          <w:i/>
        </w:rPr>
        <w:t>Journal of Public Administration Research and Theory</w:t>
      </w:r>
      <w:r>
        <w:t xml:space="preserve">, </w:t>
      </w:r>
      <w:r>
        <w:rPr>
          <w:i/>
        </w:rPr>
        <w:t>24</w:t>
      </w:r>
      <w:r>
        <w:t>(2), 317–348. https://doi.org/10.1093/jopart/mus033</w:t>
      </w:r>
    </w:p>
    <w:p>
      <w:pPr>
        <w:ind w:firstLine="720"/>
      </w:pPr>
      <w:r>
        <w:t xml:space="preserve">Goodman-Bacon, A. (2021). Difference-in-differences with variation in treatment timing. </w:t>
      </w:r>
      <w:r>
        <w:rPr>
          <w:i/>
        </w:rPr>
        <w:t>Journal of Econometrics</w:t>
      </w:r>
      <w:r>
        <w:t xml:space="preserve">, </w:t>
      </w:r>
      <w:r>
        <w:rPr>
          <w:i/>
        </w:rPr>
        <w:t>225</w:t>
      </w:r>
      <w:r>
        <w:t>(2), 254–277. https://doi.org/10.1016/j.jeconom.2021.03.014</w:t>
      </w:r>
    </w:p>
    <w:p>
      <w:pPr>
        <w:ind w:firstLine="720"/>
      </w:pPr>
      <w:r>
        <w:t xml:space="preserve">Gordon, D. I. (2006). Constructing a bid protest process: The choices that every procurement challenge system must make. </w:t>
      </w:r>
      <w:r>
        <w:rPr>
          <w:i/>
        </w:rPr>
        <w:t>Public Contract Law Journal</w:t>
      </w:r>
      <w:r>
        <w:t xml:space="preserve">, </w:t>
      </w:r>
      <w:r>
        <w:rPr>
          <w:i/>
        </w:rPr>
        <w:t>35</w:t>
      </w:r>
      <w:r>
        <w:t>(3), 427–445.</w:t>
      </w:r>
    </w:p>
    <w:p>
      <w:pPr>
        <w:ind w:firstLine="720"/>
      </w:pPr>
      <w:r>
        <w:t xml:space="preserve">Grossman, S. J., &amp; Hart, O. D. (1986). The costs and benefits of ownership: A theory of vertical and lateral integration. </w:t>
      </w:r>
      <w:r>
        <w:rPr>
          <w:i/>
        </w:rPr>
        <w:t>Journal of Political Economy</w:t>
      </w:r>
      <w:r>
        <w:t xml:space="preserve">, </w:t>
      </w:r>
      <w:r>
        <w:rPr>
          <w:i/>
        </w:rPr>
        <w:t>94</w:t>
      </w:r>
      <w:r>
        <w:t>(4), 691–719. https://doi.org/10.1086/261404</w:t>
      </w:r>
    </w:p>
    <w:p>
      <w:pPr>
        <w:ind w:firstLine="720"/>
      </w:pPr>
      <w:r>
        <w:t xml:space="preserve">Hanazono, M., &amp; Nakabayashi, J. (2017). Procurement auctions with general price-quality evaluation. </w:t>
      </w:r>
      <w:r>
        <w:rPr>
          <w:i/>
        </w:rPr>
        <w:t>Theoretical Economics</w:t>
      </w:r>
      <w:r>
        <w:t xml:space="preserve">, </w:t>
      </w:r>
      <w:r>
        <w:rPr>
          <w:i/>
        </w:rPr>
        <w:t>12</w:t>
      </w:r>
      <w:r>
        <w:t>(3), 1319–1367. https://doi.org/10.3982/TE2224</w:t>
      </w:r>
    </w:p>
    <w:p>
      <w:pPr>
        <w:ind w:firstLine="720"/>
      </w:pPr>
      <w:r>
        <w:t xml:space="preserve">Hart, O. (1995). </w:t>
      </w:r>
      <w:r>
        <w:rPr>
          <w:i/>
        </w:rPr>
        <w:t>Firms, contracts, and financial structure</w:t>
      </w:r>
      <w:r>
        <w:t>. Oxford University Press.</w:t>
      </w:r>
    </w:p>
    <w:p>
      <w:pPr>
        <w:ind w:firstLine="720"/>
      </w:pPr>
      <w:r>
        <w:t xml:space="preserve">Hart, O., &amp; Moore, J. (1988). Incomplete contracts and renegotiation. </w:t>
      </w:r>
      <w:r>
        <w:rPr>
          <w:i/>
        </w:rPr>
        <w:t>Econometrica</w:t>
      </w:r>
      <w:r>
        <w:t xml:space="preserve">, </w:t>
      </w:r>
      <w:r>
        <w:rPr>
          <w:i/>
        </w:rPr>
        <w:t>56</w:t>
      </w:r>
      <w:r>
        <w:t>(4), 755–785. https://doi.org/10.2307/1912698</w:t>
      </w:r>
    </w:p>
    <w:p>
      <w:pPr>
        <w:ind w:firstLine="720"/>
      </w:pPr>
      <w:r>
        <w:t xml:space="preserve">Hartley, J., Alford, J., Knies, E., &amp; Douglas, S. (2017). Towards an empirical research agenda for public value theory. </w:t>
      </w:r>
      <w:r>
        <w:rPr>
          <w:i/>
        </w:rPr>
        <w:t>Public Management Review</w:t>
      </w:r>
      <w:r>
        <w:t xml:space="preserve">, </w:t>
      </w:r>
      <w:r>
        <w:rPr>
          <w:i/>
        </w:rPr>
        <w:t>19</w:t>
      </w:r>
      <w:r>
        <w:t>(5), 670–685. https://doi.org/10.1080/14719037.2016.1192166</w:t>
      </w:r>
    </w:p>
    <w:p>
      <w:pPr>
        <w:ind w:firstLine="720"/>
      </w:pPr>
      <w:r>
        <w:t xml:space="preserve">Hawkins, T. G., Gravier, M. J., &amp; Powley, E. H. (2011). Public versus private sector procurement ethics and strategy: What each sector can learn from the other. </w:t>
      </w:r>
      <w:r>
        <w:rPr>
          <w:i/>
        </w:rPr>
        <w:t>Journal of Business Ethics</w:t>
      </w:r>
      <w:r>
        <w:t xml:space="preserve">, </w:t>
      </w:r>
      <w:r>
        <w:rPr>
          <w:i/>
        </w:rPr>
        <w:t>103</w:t>
      </w:r>
      <w:r>
        <w:t>(4), 567–586. https://doi.org/10.1007/s10551-011-0881-2</w:t>
      </w:r>
    </w:p>
    <w:p>
      <w:pPr>
        <w:ind w:firstLine="720"/>
      </w:pPr>
      <w:r>
        <w:t xml:space="preserve">HM Treasury. (2006). </w:t>
      </w:r>
      <w:r>
        <w:rPr>
          <w:i/>
        </w:rPr>
        <w:t>Value for money assessment guidance</w:t>
      </w:r>
      <w:r>
        <w:t>. Her Majesty's Treasury.</w:t>
      </w:r>
    </w:p>
    <w:p>
      <w:pPr>
        <w:ind w:firstLine="720"/>
      </w:pPr>
      <w:r>
        <w:t xml:space="preserve">Ho, D. E., Imai, K., King, G., &amp; Stuart, E. A. (2007). Matching as nonparametric preprocessing for reducing model dependence in parametric causal inference. </w:t>
      </w:r>
      <w:r>
        <w:rPr>
          <w:i/>
        </w:rPr>
        <w:t>Political Analysis</w:t>
      </w:r>
      <w:r>
        <w:t xml:space="preserve">, </w:t>
      </w:r>
      <w:r>
        <w:rPr>
          <w:i/>
        </w:rPr>
        <w:t>15</w:t>
      </w:r>
      <w:r>
        <w:t>(3), 199–236. https://doi.org/10.1093/pan/mpl013</w:t>
      </w:r>
    </w:p>
    <w:p>
      <w:pPr>
        <w:ind w:firstLine="720"/>
      </w:pPr>
      <w:r>
        <w:t xml:space="preserve">Hood, C. (1991). A public management for all seasons? </w:t>
      </w:r>
      <w:r>
        <w:rPr>
          <w:i/>
        </w:rPr>
        <w:t>Public Administration</w:t>
      </w:r>
      <w:r>
        <w:t xml:space="preserve">, </w:t>
      </w:r>
      <w:r>
        <w:rPr>
          <w:i/>
        </w:rPr>
        <w:t>69</w:t>
      </w:r>
      <w:r>
        <w:t>(1), 3–19. https://doi.org/10.1111/j.1467-9299.1991.tb00779.x</w:t>
      </w:r>
    </w:p>
    <w:p>
      <w:pPr>
        <w:ind w:firstLine="720"/>
      </w:pPr>
      <w:r>
        <w:t xml:space="preserve">Imai, K., Keele, L., &amp; Tingley, D. (2010). A general approach to causal mediation analysis. </w:t>
      </w:r>
      <w:r>
        <w:rPr>
          <w:i/>
        </w:rPr>
        <w:t>Psychological Methods</w:t>
      </w:r>
      <w:r>
        <w:t xml:space="preserve">, </w:t>
      </w:r>
      <w:r>
        <w:rPr>
          <w:i/>
        </w:rPr>
        <w:t>15</w:t>
      </w:r>
      <w:r>
        <w:t>(4), 309–334. https://doi.org/10.1037/a0020761</w:t>
      </w:r>
    </w:p>
    <w:p>
      <w:pPr>
        <w:ind w:firstLine="720"/>
      </w:pPr>
      <w:r>
        <w:t xml:space="preserve">Imbens, G. W., &amp; Rubin, D. B. (2015). </w:t>
      </w:r>
      <w:r>
        <w:rPr>
          <w:i/>
        </w:rPr>
        <w:t>Causal inference for statistics, social, and biomedical sciences: An introduction</w:t>
      </w:r>
      <w:r>
        <w:t>. Cambridge University Press. https://doi.org/10.1017/CBO9781139025751</w:t>
      </w:r>
    </w:p>
    <w:p>
      <w:pPr>
        <w:ind w:firstLine="720"/>
      </w:pPr>
      <w:r>
        <w:t xml:space="preserve">Imbens, G. W., &amp; Wooldridge, J. M. (2009). Recent developments in the econometrics of program evaluation. </w:t>
      </w:r>
      <w:r>
        <w:rPr>
          <w:i/>
        </w:rPr>
        <w:t>Journal of Economic Literature</w:t>
      </w:r>
      <w:r>
        <w:t xml:space="preserve">, </w:t>
      </w:r>
      <w:r>
        <w:rPr>
          <w:i/>
        </w:rPr>
        <w:t>47</w:t>
      </w:r>
      <w:r>
        <w:t>(1), 5–86. https://doi.org/10.1257/jel.47.1.5</w:t>
      </w:r>
    </w:p>
    <w:p>
      <w:pPr>
        <w:ind w:firstLine="720"/>
      </w:pPr>
      <w:r>
        <w:t xml:space="preserve">Iossa, E. (2019). </w:t>
      </w:r>
      <w:r>
        <w:rPr>
          <w:i/>
        </w:rPr>
        <w:t>Contract duration, competition for the market, and tackling incumbency advantage</w:t>
      </w:r>
      <w:r>
        <w:t>. OECD Public Procurement Policy Paper.</w:t>
      </w:r>
    </w:p>
    <w:p>
      <w:pPr>
        <w:ind w:firstLine="720"/>
      </w:pPr>
      <w:r>
        <w:t xml:space="preserve">Johansson, M., &amp; Lahtinen, K. (2012). Requirements clarity in public procurement: Pre-conditions for effective competition. In C. Albano, G. L. Albano, G. Spagnolo, &amp; M. Zanza (Eds.), </w:t>
      </w:r>
      <w:r>
        <w:rPr>
          <w:i/>
        </w:rPr>
        <w:t>Contracts, procurement and public-private agreements</w:t>
      </w:r>
      <w:r>
        <w:t>. Nova Science Publishers.</w:t>
      </w:r>
    </w:p>
    <w:p>
      <w:pPr>
        <w:ind w:firstLine="720"/>
      </w:pPr>
      <w:r>
        <w:t xml:space="preserve">Jung, S., Kim, B., &amp; Suh, S. (2013). Strategic bidding and contract renegotiation. </w:t>
      </w:r>
      <w:r>
        <w:rPr>
          <w:i/>
        </w:rPr>
        <w:t>International Economic Review</w:t>
      </w:r>
      <w:r>
        <w:t xml:space="preserve">, </w:t>
      </w:r>
      <w:r>
        <w:rPr>
          <w:i/>
        </w:rPr>
        <w:t>54</w:t>
      </w:r>
      <w:r>
        <w:t>(4), 1189–1214. https://doi.org/10.1111/iere.12033</w:t>
      </w:r>
    </w:p>
    <w:p>
      <w:pPr>
        <w:ind w:firstLine="720"/>
      </w:pPr>
      <w:r>
        <w:t xml:space="preserve">Kagel, J. H., &amp; Levin, D. (1986). The winner's curse and public information in common value auctions. </w:t>
      </w:r>
      <w:r>
        <w:rPr>
          <w:i/>
        </w:rPr>
        <w:t>American Economic Review</w:t>
      </w:r>
      <w:r>
        <w:t xml:space="preserve">, </w:t>
      </w:r>
      <w:r>
        <w:rPr>
          <w:i/>
        </w:rPr>
        <w:t>76</w:t>
      </w:r>
      <w:r>
        <w:t>(5), 894–920.</w:t>
      </w:r>
    </w:p>
    <w:p>
      <w:pPr>
        <w:ind w:firstLine="720"/>
      </w:pPr>
      <w:r>
        <w:t xml:space="preserve">Kelman, S. (1990). </w:t>
      </w:r>
      <w:r>
        <w:rPr>
          <w:i/>
        </w:rPr>
        <w:t>Procurement and public management: The fear of discretion and the quality of government performance</w:t>
      </w:r>
      <w:r>
        <w:t>. AEI Press.</w:t>
      </w:r>
    </w:p>
    <w:p>
      <w:pPr>
        <w:ind w:firstLine="720"/>
      </w:pPr>
      <w:r>
        <w:t xml:space="preserve">Kelman, S. (2002). Remaking federal procurement. </w:t>
      </w:r>
      <w:r>
        <w:rPr>
          <w:i/>
        </w:rPr>
        <w:t>Public Contract Law Journal</w:t>
      </w:r>
      <w:r>
        <w:t xml:space="preserve">, </w:t>
      </w:r>
      <w:r>
        <w:rPr>
          <w:i/>
        </w:rPr>
        <w:t>31</w:t>
      </w:r>
      <w:r>
        <w:t>(4), 581–622.</w:t>
      </w:r>
    </w:p>
    <w:p>
      <w:pPr>
        <w:ind w:firstLine="720"/>
      </w:pPr>
      <w:r>
        <w:t xml:space="preserve">Kelman, S. (2005). </w:t>
      </w:r>
      <w:r>
        <w:rPr>
          <w:i/>
        </w:rPr>
        <w:t>Unleashing change: A study of organizational renewal in government</w:t>
      </w:r>
      <w:r>
        <w:t>. Brookings Institution Press.</w:t>
      </w:r>
    </w:p>
    <w:p>
      <w:pPr>
        <w:ind w:firstLine="720"/>
      </w:pPr>
      <w:r>
        <w:t xml:space="preserve">Klemperer, P. (2002). What really matters in auction design. </w:t>
      </w:r>
      <w:r>
        <w:rPr>
          <w:i/>
        </w:rPr>
        <w:t>Journal of Economic Perspectives</w:t>
      </w:r>
      <w:r>
        <w:t xml:space="preserve">, </w:t>
      </w:r>
      <w:r>
        <w:rPr>
          <w:i/>
        </w:rPr>
        <w:t>16</w:t>
      </w:r>
      <w:r>
        <w:t>(1), 169–189. https://doi.org/10.1257/0895330027166</w:t>
      </w:r>
    </w:p>
    <w:p>
      <w:pPr>
        <w:ind w:firstLine="720"/>
      </w:pPr>
      <w:r>
        <w:t xml:space="preserve">Krishna, V. (2010). </w:t>
      </w:r>
      <w:r>
        <w:rPr>
          <w:i/>
        </w:rPr>
        <w:t>Auction theory</w:t>
      </w:r>
      <w:r>
        <w:t xml:space="preserve"> (2nd ed.). Academic Press.</w:t>
      </w:r>
    </w:p>
    <w:p>
      <w:pPr>
        <w:ind w:firstLine="720"/>
      </w:pPr>
      <w:r>
        <w:t xml:space="preserve">Laffont, J.-J., &amp; Tirole, J. (1991). The politics of government decision-making: A theory of regulatory capture. </w:t>
      </w:r>
      <w:r>
        <w:rPr>
          <w:i/>
        </w:rPr>
        <w:t>Quarterly Journal of Economics</w:t>
      </w:r>
      <w:r>
        <w:t xml:space="preserve">, </w:t>
      </w:r>
      <w:r>
        <w:rPr>
          <w:i/>
        </w:rPr>
        <w:t>106</w:t>
      </w:r>
      <w:r>
        <w:t>(4), 1089–1127. https://doi.org/10.2307/2937958</w:t>
      </w:r>
    </w:p>
    <w:p>
      <w:pPr>
        <w:ind w:firstLine="720"/>
      </w:pPr>
      <w:r>
        <w:t xml:space="preserve">Laffont, J.-J., &amp; Tirole, J. (1993). </w:t>
      </w:r>
      <w:r>
        <w:rPr>
          <w:i/>
        </w:rPr>
        <w:t>A theory of incentives in procurement and regulation</w:t>
      </w:r>
      <w:r>
        <w:t>. MIT Press.</w:t>
      </w:r>
    </w:p>
    <w:p>
      <w:pPr>
        <w:ind w:firstLine="720"/>
      </w:pPr>
      <w:r>
        <w:t xml:space="preserve">Levin, J., &amp; Tadelis, S. (2010). Contracting for government services: Theory and evidence from US cities. </w:t>
      </w:r>
      <w:r>
        <w:rPr>
          <w:i/>
        </w:rPr>
        <w:t>Journal of Industrial Economics</w:t>
      </w:r>
      <w:r>
        <w:t xml:space="preserve">, </w:t>
      </w:r>
      <w:r>
        <w:rPr>
          <w:i/>
        </w:rPr>
        <w:t>58</w:t>
      </w:r>
      <w:r>
        <w:t>(3), 507–541. https://doi.org/10.1111/j.1467-6451.2010.00430.x</w:t>
      </w:r>
    </w:p>
    <w:p>
      <w:pPr>
        <w:ind w:firstLine="720"/>
      </w:pPr>
      <w:r>
        <w:t xml:space="preserve">Lewis, G., &amp; Bajari, P. (2011). Procurement contracting with time incentives: Theory and evidence. </w:t>
      </w:r>
      <w:r>
        <w:rPr>
          <w:i/>
        </w:rPr>
        <w:t>Quarterly Journal of Economics</w:t>
      </w:r>
      <w:r>
        <w:t xml:space="preserve">, </w:t>
      </w:r>
      <w:r>
        <w:rPr>
          <w:i/>
        </w:rPr>
        <w:t>126</w:t>
      </w:r>
      <w:r>
        <w:t>(3), 1173–1211. https://doi.org/10.1093/qje/qjr026</w:t>
      </w:r>
    </w:p>
    <w:p>
      <w:pPr>
        <w:ind w:firstLine="720"/>
      </w:pPr>
      <w:r>
        <w:t xml:space="preserve">Liebman, J. B., &amp; Mahoney, N. (2017). Do expiring budgets lead to wasteful year-end spending? Evidence from federal procurement. </w:t>
      </w:r>
      <w:r>
        <w:rPr>
          <w:i/>
        </w:rPr>
        <w:t>American Economic Review</w:t>
      </w:r>
      <w:r>
        <w:t xml:space="preserve">, </w:t>
      </w:r>
      <w:r>
        <w:rPr>
          <w:i/>
        </w:rPr>
        <w:t>107</w:t>
      </w:r>
      <w:r>
        <w:t>(11), 3510–3549. https://doi.org/10.1257/aer.20131296</w:t>
      </w:r>
    </w:p>
    <w:p>
      <w:pPr>
        <w:ind w:firstLine="720"/>
      </w:pPr>
      <w:r>
        <w:t xml:space="preserve">Lusby, M. (2013). </w:t>
      </w:r>
      <w:r>
        <w:rPr>
          <w:i/>
        </w:rPr>
        <w:t>The effect of bid protests on the federal government procurement process</w:t>
      </w:r>
      <w:r>
        <w:t xml:space="preserve"> [Master's thesis, Naval Postgraduate School]. NPS Archive.</w:t>
      </w:r>
    </w:p>
    <w:p>
      <w:pPr>
        <w:ind w:firstLine="720"/>
      </w:pPr>
      <w:r>
        <w:t xml:space="preserve">Malacina, I., Karttunen, E., Eskola, S., Czinkota, M., &amp; Laari, S. (2022). Public procurement and value creation: A systematic literature review. </w:t>
      </w:r>
      <w:r>
        <w:rPr>
          <w:i/>
        </w:rPr>
        <w:t>Journal of Public Procurement</w:t>
      </w:r>
      <w:r>
        <w:t xml:space="preserve">, </w:t>
      </w:r>
      <w:r>
        <w:rPr>
          <w:i/>
        </w:rPr>
        <w:t>22</w:t>
      </w:r>
      <w:r>
        <w:t>(3), 241–269. https://doi.org/10.1108/JOPP-02-2022-0007</w:t>
      </w:r>
    </w:p>
    <w:p>
      <w:pPr>
        <w:ind w:firstLine="720"/>
      </w:pPr>
      <w:r>
        <w:t xml:space="preserve">Manuel, K. M. (2011). </w:t>
      </w:r>
      <w:r>
        <w:rPr>
          <w:i/>
        </w:rPr>
        <w:t>Competition in federal contracting: An overview of the legal requirements</w:t>
      </w:r>
      <w:r>
        <w:t xml:space="preserve"> (Report No. R40516). Congressional Research Service.</w:t>
      </w:r>
    </w:p>
    <w:p>
      <w:pPr>
        <w:ind w:firstLine="720"/>
      </w:pPr>
      <w:r>
        <w:t xml:space="preserve">McCue, C. P. (2001). Organizational pathology and procurement: The effect of bureaucratic and organizational characteristics on purchasing behavior. </w:t>
      </w:r>
      <w:r>
        <w:rPr>
          <w:i/>
        </w:rPr>
        <w:t>International Journal of Procurement Management</w:t>
      </w:r>
      <w:r>
        <w:t xml:space="preserve">, </w:t>
      </w:r>
      <w:r>
        <w:rPr>
          <w:i/>
        </w:rPr>
        <w:t>1</w:t>
      </w:r>
      <w:r>
        <w:t>(4), 336–362.</w:t>
      </w:r>
    </w:p>
    <w:p>
      <w:pPr>
        <w:ind w:firstLine="720"/>
      </w:pPr>
      <w:r>
        <w:t xml:space="preserve">McCue, C. P. (2003). Implications of the procurement fraud: Waste, abuse, or corruption dilemma on local government procurement professionals. </w:t>
      </w:r>
      <w:r>
        <w:rPr>
          <w:i/>
        </w:rPr>
        <w:t>Journal of Public Budgeting, Accounting &amp; Financial Management</w:t>
      </w:r>
      <w:r>
        <w:t xml:space="preserve">, </w:t>
      </w:r>
      <w:r>
        <w:rPr>
          <w:i/>
        </w:rPr>
        <w:t>15</w:t>
      </w:r>
      <w:r>
        <w:t>(3), 446–468. https://doi.org/10.1108/JPBAFM-15-03-2003-B007</w:t>
      </w:r>
    </w:p>
    <w:p>
      <w:pPr>
        <w:ind w:firstLine="720"/>
      </w:pPr>
      <w:r>
        <w:t xml:space="preserve">Milgrom, P. (2004). </w:t>
      </w:r>
      <w:r>
        <w:rPr>
          <w:i/>
        </w:rPr>
        <w:t>Putting auction theory to work</w:t>
      </w:r>
      <w:r>
        <w:t>. Cambridge University Press. https://doi.org/10.1017/CBO9780511813825</w:t>
      </w:r>
    </w:p>
    <w:p>
      <w:pPr>
        <w:ind w:firstLine="720"/>
      </w:pPr>
      <w:r>
        <w:t xml:space="preserve">Miller, G. J. (2005). The political evolution of principal-agent models. </w:t>
      </w:r>
      <w:r>
        <w:rPr>
          <w:i/>
        </w:rPr>
        <w:t>Annual Review of Political Science</w:t>
      </w:r>
      <w:r>
        <w:t xml:space="preserve">, </w:t>
      </w:r>
      <w:r>
        <w:rPr>
          <w:i/>
        </w:rPr>
        <w:t>8</w:t>
      </w:r>
      <w:r>
        <w:t>, 203–225. https://doi.org/10.1146/annurev.polisci.8.082103.104840</w:t>
      </w:r>
    </w:p>
    <w:p>
      <w:pPr>
        <w:ind w:firstLine="720"/>
      </w:pPr>
      <w:r>
        <w:t xml:space="preserve">Moore, M. H. (1995). </w:t>
      </w:r>
      <w:r>
        <w:rPr>
          <w:i/>
        </w:rPr>
        <w:t>Creating public value: Strategic management in government</w:t>
      </w:r>
      <w:r>
        <w:t>. Harvard University Press.</w:t>
      </w:r>
    </w:p>
    <w:p>
      <w:pPr>
        <w:ind w:firstLine="720"/>
      </w:pPr>
      <w:r>
        <w:t xml:space="preserve">Moore, M. H. (2013). </w:t>
      </w:r>
      <w:r>
        <w:rPr>
          <w:i/>
        </w:rPr>
        <w:t>Recognizing public value</w:t>
      </w:r>
      <w:r>
        <w:t>. Harvard University Press.</w:t>
      </w:r>
    </w:p>
    <w:p>
      <w:pPr>
        <w:ind w:firstLine="720"/>
      </w:pPr>
      <w:r>
        <w:t xml:space="preserve">Nagle, J. F. (1999). </w:t>
      </w:r>
      <w:r>
        <w:rPr>
          <w:i/>
        </w:rPr>
        <w:t>A history of government contracting</w:t>
      </w:r>
      <w:r>
        <w:t xml:space="preserve"> (2nd ed.). George Washington University.</w:t>
      </w:r>
    </w:p>
    <w:p>
      <w:pPr>
        <w:ind w:firstLine="720"/>
      </w:pPr>
      <w:r>
        <w:t xml:space="preserve">National Association of State Procurement Officials. (2019). </w:t>
      </w:r>
      <w:r>
        <w:rPr>
          <w:i/>
        </w:rPr>
        <w:t>State procurement: Principles and practices</w:t>
      </w:r>
      <w:r>
        <w:t xml:space="preserve"> (3rd ed.). NASPO.</w:t>
      </w:r>
    </w:p>
    <w:p>
      <w:pPr>
        <w:ind w:firstLine="720"/>
      </w:pPr>
      <w:r>
        <w:t>National Defense Authorization Act for Fiscal Year 2017, Pub. L. No. 114-328, 130 Stat. 2000 (2016).</w:t>
      </w:r>
    </w:p>
    <w:p>
      <w:pPr>
        <w:ind w:firstLine="720"/>
      </w:pPr>
      <w:r>
        <w:t>National Defense Authorization Act for Fiscal Year 2018, Pub. L. No. 115-91, 131 Stat. 1283 (2017).</w:t>
      </w:r>
    </w:p>
    <w:p>
      <w:pPr>
        <w:ind w:firstLine="720"/>
      </w:pPr>
      <w:r>
        <w:t xml:space="preserve">National Defense Industrial Association. (2014). </w:t>
      </w:r>
      <w:r>
        <w:rPr>
          <w:i/>
        </w:rPr>
        <w:t>LPTA: Pair with care</w:t>
      </w:r>
      <w:r>
        <w:t>. NDIA.</w:t>
      </w:r>
    </w:p>
    <w:p>
      <w:pPr>
        <w:ind w:firstLine="720"/>
      </w:pPr>
      <w:r>
        <w:t xml:space="preserve">National Institute of Governmental Purchasing. (2014). </w:t>
      </w:r>
      <w:r>
        <w:rPr>
          <w:i/>
        </w:rPr>
        <w:t>Developing and managing requests for proposals in the public sector</w:t>
      </w:r>
      <w:r>
        <w:t xml:space="preserve"> (2nd ed.). NIGP.</w:t>
      </w:r>
    </w:p>
    <w:p>
      <w:pPr>
        <w:ind w:firstLine="720"/>
      </w:pPr>
      <w:r>
        <w:t xml:space="preserve">National Institute of Governmental Purchasing. (2016). </w:t>
      </w:r>
      <w:r>
        <w:rPr>
          <w:i/>
        </w:rPr>
        <w:t>Global best practices in public procurement</w:t>
      </w:r>
      <w:r>
        <w:t>. NIGP.</w:t>
      </w:r>
    </w:p>
    <w:p>
      <w:pPr>
        <w:ind w:firstLine="720"/>
      </w:pPr>
      <w:r>
        <w:t xml:space="preserve">Neyman, J., &amp; Scott, E. L. (1948). Consistent estimates based on partially consistent observations. </w:t>
      </w:r>
      <w:r>
        <w:rPr>
          <w:i/>
        </w:rPr>
        <w:t>Econometrica</w:t>
      </w:r>
      <w:r>
        <w:t xml:space="preserve">, </w:t>
      </w:r>
      <w:r>
        <w:rPr>
          <w:i/>
        </w:rPr>
        <w:t>16</w:t>
      </w:r>
      <w:r>
        <w:t>(1), 1–32. https://doi.org/10.2307/1914288</w:t>
      </w:r>
    </w:p>
    <w:p>
      <w:pPr>
        <w:ind w:firstLine="720"/>
      </w:pPr>
      <w:r>
        <w:t xml:space="preserve">Office of Procurement Ombudsman Canada. (2025). </w:t>
      </w:r>
      <w:r>
        <w:rPr>
          <w:i/>
        </w:rPr>
        <w:t>Clarity and completeness of solicitation requirements: Annual report findings</w:t>
      </w:r>
      <w:r>
        <w:t>. OPO.</w:t>
      </w:r>
    </w:p>
    <w:p>
      <w:pPr>
        <w:ind w:firstLine="720"/>
      </w:pPr>
      <w:r>
        <w:t xml:space="preserve">Organisation for Economic Co-operation and Development. (2009). </w:t>
      </w:r>
      <w:r>
        <w:rPr>
          <w:i/>
        </w:rPr>
        <w:t>OECD principles for integrity in public procurement</w:t>
      </w:r>
      <w:r>
        <w:t>. OECD Publishing. https://doi.org/10.1787/9789264056527-en</w:t>
      </w:r>
    </w:p>
    <w:p>
      <w:pPr>
        <w:ind w:firstLine="720"/>
      </w:pPr>
      <w:r>
        <w:t xml:space="preserve">Organisation for Economic Co-operation and Development. (2015). </w:t>
      </w:r>
      <w:r>
        <w:rPr>
          <w:i/>
        </w:rPr>
        <w:t>OECD recommendation of the council on public procurement</w:t>
      </w:r>
      <w:r>
        <w:t>. OECD Publishing.</w:t>
      </w:r>
    </w:p>
    <w:p>
      <w:pPr>
        <w:ind w:firstLine="720"/>
      </w:pPr>
      <w:r>
        <w:t xml:space="preserve">Organisation for Economic Co-operation and Development. (2019). </w:t>
      </w:r>
      <w:r>
        <w:rPr>
          <w:i/>
        </w:rPr>
        <w:t>Government at a glance 2019</w:t>
      </w:r>
      <w:r>
        <w:t>. OECD Publishing. https://doi.org/10.1787/8ccf5c38-en</w:t>
      </w:r>
    </w:p>
    <w:p>
      <w:pPr>
        <w:ind w:firstLine="720"/>
      </w:pPr>
      <w:r>
        <w:t xml:space="preserve">Osborne, S. P. (2006). The new public governance? </w:t>
      </w:r>
      <w:r>
        <w:rPr>
          <w:i/>
        </w:rPr>
        <w:t>Public Management Review</w:t>
      </w:r>
      <w:r>
        <w:t xml:space="preserve">, </w:t>
      </w:r>
      <w:r>
        <w:rPr>
          <w:i/>
        </w:rPr>
        <w:t>8</w:t>
      </w:r>
      <w:r>
        <w:t>(3), 377–387. https://doi.org/10.1080/14719030600853022</w:t>
      </w:r>
    </w:p>
    <w:p>
      <w:pPr>
        <w:ind w:firstLine="720"/>
      </w:pPr>
      <w:r>
        <w:t xml:space="preserve">Osman, H., Gomez, J. P., &amp; Gunderson, E. (2017). </w:t>
      </w:r>
      <w:r>
        <w:rPr>
          <w:i/>
        </w:rPr>
        <w:t>Analysis of contract source selection and its effect on cost and schedule performance</w:t>
      </w:r>
      <w:r>
        <w:t xml:space="preserve"> [Master's thesis, Naval Postgraduate School]. NPS Archive.</w:t>
      </w:r>
    </w:p>
    <w:p>
      <w:pPr>
        <w:ind w:firstLine="720"/>
      </w:pPr>
      <w:r>
        <w:t xml:space="preserve">Preacher, K. J., &amp; Hayes, A. F. (2008). Asymptotic and resampling strategies for assessing and comparing indirect effects in multiple mediator models. </w:t>
      </w:r>
      <w:r>
        <w:rPr>
          <w:i/>
        </w:rPr>
        <w:t>Behavior Research Methods</w:t>
      </w:r>
      <w:r>
        <w:t xml:space="preserve">, </w:t>
      </w:r>
      <w:r>
        <w:rPr>
          <w:i/>
        </w:rPr>
        <w:t>40</w:t>
      </w:r>
      <w:r>
        <w:t>(3), 879–891. https://doi.org/10.3758/BRM.40.3.879</w:t>
      </w:r>
    </w:p>
    <w:p>
      <w:pPr>
        <w:ind w:firstLine="720"/>
      </w:pPr>
      <w:r>
        <w:t xml:space="preserve">Prier, E., &amp; McCue, C. P. (2009). The implications of a muddled definition of public procurement. </w:t>
      </w:r>
      <w:r>
        <w:rPr>
          <w:i/>
        </w:rPr>
        <w:t>Journal of Public Procurement</w:t>
      </w:r>
      <w:r>
        <w:t xml:space="preserve">, </w:t>
      </w:r>
      <w:r>
        <w:rPr>
          <w:i/>
        </w:rPr>
        <w:t>9</w:t>
      </w:r>
      <w:r>
        <w:t>(3–4), 326–370. https://doi.org/10.1108/JOPP-09-03-04-2009-B002</w:t>
      </w:r>
    </w:p>
    <w:p>
      <w:pPr>
        <w:ind w:firstLine="720"/>
      </w:pPr>
      <w:r>
        <w:t xml:space="preserve">Professional Services Council. (2014). </w:t>
      </w:r>
      <w:r>
        <w:rPr>
          <w:i/>
        </w:rPr>
        <w:t>The impact of LPTA on the government services sector</w:t>
      </w:r>
      <w:r>
        <w:t>. PSC.</w:t>
      </w:r>
    </w:p>
    <w:p>
      <w:pPr>
        <w:ind w:firstLine="720"/>
      </w:pPr>
      <w:r>
        <w:t xml:space="preserve">RAND Corporation. (2013). </w:t>
      </w:r>
      <w:r>
        <w:rPr>
          <w:i/>
        </w:rPr>
        <w:t>Sources of weapon system cost growth: Analysis of 35 major defense acquisition programs</w:t>
      </w:r>
      <w:r>
        <w:t>. RAND Project Air Force.</w:t>
      </w:r>
    </w:p>
    <w:p>
      <w:pPr>
        <w:ind w:firstLine="720"/>
      </w:pPr>
      <w:r>
        <w:t xml:space="preserve">RAND Corporation. (2022). </w:t>
      </w:r>
      <w:r>
        <w:rPr>
          <w:i/>
        </w:rPr>
        <w:t>Acquisition cycle time trends and analysis</w:t>
      </w:r>
      <w:r>
        <w:t>. RAND.</w:t>
      </w:r>
    </w:p>
    <w:p>
      <w:pPr>
        <w:ind w:firstLine="720"/>
      </w:pPr>
      <w:r>
        <w:t xml:space="preserve">Raudenbush, S. W., &amp; Bryk, A. S. (2002). </w:t>
      </w:r>
      <w:r>
        <w:rPr>
          <w:i/>
        </w:rPr>
        <w:t>Hierarchical linear models: Applications and data analysis methods</w:t>
      </w:r>
      <w:r>
        <w:t xml:space="preserve"> (2nd ed.). SAGE Publications.</w:t>
      </w:r>
    </w:p>
    <w:p>
      <w:pPr>
        <w:ind w:firstLine="720"/>
      </w:pPr>
      <w:r>
        <w:t xml:space="preserve">Rendon, R. G. (2009). Procurement process maturity: Key to performance measurement. </w:t>
      </w:r>
      <w:r>
        <w:rPr>
          <w:i/>
        </w:rPr>
        <w:t>Journal of Public Procurement</w:t>
      </w:r>
      <w:r>
        <w:t xml:space="preserve">, </w:t>
      </w:r>
      <w:r>
        <w:rPr>
          <w:i/>
        </w:rPr>
        <w:t>9</w:t>
      </w:r>
      <w:r>
        <w:t>(2), 200–214. https://doi.org/10.1108/JOPP-09-02-2009-B002</w:t>
      </w:r>
    </w:p>
    <w:p>
      <w:pPr>
        <w:ind w:firstLine="720"/>
      </w:pPr>
      <w:r>
        <w:t xml:space="preserve">Rendon, R. G. (2015). Benchmarking contract management process maturity: A case study of the U.S. Navy. </w:t>
      </w:r>
      <w:r>
        <w:rPr>
          <w:i/>
        </w:rPr>
        <w:t>Benchmarking: An International Journal</w:t>
      </w:r>
      <w:r>
        <w:t xml:space="preserve">, </w:t>
      </w:r>
      <w:r>
        <w:rPr>
          <w:i/>
        </w:rPr>
        <w:t>22</w:t>
      </w:r>
      <w:r>
        <w:t>(1), 108–127. https://doi.org/10.1108/BIJ-04-2013-0040</w:t>
      </w:r>
    </w:p>
    <w:p>
      <w:pPr>
        <w:ind w:firstLine="720"/>
      </w:pPr>
      <w:r>
        <w:t xml:space="preserve">Rendon, R. G., &amp; Snider, K. F. (Eds.). (2019). </w:t>
      </w:r>
      <w:r>
        <w:rPr>
          <w:i/>
        </w:rPr>
        <w:t>Management of defense acquisition projects</w:t>
      </w:r>
      <w:r>
        <w:t xml:space="preserve"> (2nd ed.). American Institute of Aeronautics and Astronautics.</w:t>
      </w:r>
    </w:p>
    <w:p>
      <w:pPr>
        <w:ind w:firstLine="720"/>
      </w:pPr>
      <w:r>
        <w:t xml:space="preserve">Riley, J. G., &amp; Samuelson, W. F. (1981). Optimal auctions. </w:t>
      </w:r>
      <w:r>
        <w:rPr>
          <w:i/>
        </w:rPr>
        <w:t>American Economic Review</w:t>
      </w:r>
      <w:r>
        <w:t xml:space="preserve">, </w:t>
      </w:r>
      <w:r>
        <w:rPr>
          <w:i/>
        </w:rPr>
        <w:t>71</w:t>
      </w:r>
      <w:r>
        <w:t>(3), 381–392.</w:t>
      </w:r>
    </w:p>
    <w:p>
      <w:pPr>
        <w:ind w:firstLine="720"/>
      </w:pPr>
      <w:r>
        <w:t xml:space="preserve">Rosenbaum, P. R. (2002). </w:t>
      </w:r>
      <w:r>
        <w:rPr>
          <w:i/>
        </w:rPr>
        <w:t>Observational studies</w:t>
      </w:r>
      <w:r>
        <w:t xml:space="preserve"> (2nd ed.). Springer. https://doi.org/10.1007/978-1-4757-3692-2</w:t>
      </w:r>
    </w:p>
    <w:p>
      <w:pPr>
        <w:ind w:firstLine="720"/>
      </w:pPr>
      <w:r>
        <w:t xml:space="preserve">Rosenbaum, P. R., &amp; Rubin, D. B. (1983). The central role of the propensity score in observational studies for causal effects. </w:t>
      </w:r>
      <w:r>
        <w:rPr>
          <w:i/>
        </w:rPr>
        <w:t>Biometrika</w:t>
      </w:r>
      <w:r>
        <w:t xml:space="preserve">, </w:t>
      </w:r>
      <w:r>
        <w:rPr>
          <w:i/>
        </w:rPr>
        <w:t>70</w:t>
      </w:r>
      <w:r>
        <w:t>(1), 41–55. https://doi.org/10.1093/biomet/70.1.41</w:t>
      </w:r>
    </w:p>
    <w:p>
      <w:pPr>
        <w:ind w:firstLine="720"/>
      </w:pPr>
      <w:r>
        <w:t xml:space="preserve">Rosenbaum, P. R., &amp; Rubin, D. B. (1985). Constructing a control group using multivariate matched sampling methods that incorporate the propensity score. </w:t>
      </w:r>
      <w:r>
        <w:rPr>
          <w:i/>
        </w:rPr>
        <w:t>The American Statistician</w:t>
      </w:r>
      <w:r>
        <w:t xml:space="preserve">, </w:t>
      </w:r>
      <w:r>
        <w:rPr>
          <w:i/>
        </w:rPr>
        <w:t>39</w:t>
      </w:r>
      <w:r>
        <w:t>(1), 33–38. https://doi.org/10.1080/00031305.1985.10479383</w:t>
      </w:r>
    </w:p>
    <w:p>
      <w:pPr>
        <w:ind w:firstLine="720"/>
      </w:pPr>
      <w:r>
        <w:t xml:space="preserve">Ross, S. A. (1973). The economic theory of agency: The principal's problem. </w:t>
      </w:r>
      <w:r>
        <w:rPr>
          <w:i/>
        </w:rPr>
        <w:t>American Economic Review</w:t>
      </w:r>
      <w:r>
        <w:t xml:space="preserve">, </w:t>
      </w:r>
      <w:r>
        <w:rPr>
          <w:i/>
        </w:rPr>
        <w:t>63</w:t>
      </w:r>
      <w:r>
        <w:t>(2), 134–139.</w:t>
      </w:r>
    </w:p>
    <w:p>
      <w:pPr>
        <w:ind w:firstLine="720"/>
      </w:pPr>
      <w:r>
        <w:t xml:space="preserve">Rubin, D. B. (2001). Using propensity scores to help design observational studies: Application to the tobacco litigation. </w:t>
      </w:r>
      <w:r>
        <w:rPr>
          <w:i/>
        </w:rPr>
        <w:t>Health Services and Outcomes Research Methodology</w:t>
      </w:r>
      <w:r>
        <w:t xml:space="preserve">, </w:t>
      </w:r>
      <w:r>
        <w:rPr>
          <w:i/>
        </w:rPr>
        <w:t>2</w:t>
      </w:r>
      <w:r>
        <w:t>(3–4), 169–188. https://doi.org/10.1023/A:1020363010465</w:t>
      </w:r>
    </w:p>
    <w:p>
      <w:pPr>
        <w:ind w:firstLine="720"/>
      </w:pPr>
      <w:r>
        <w:t xml:space="preserve">Schooner, S. L. (2001). Fear of oversight: The fundamental failure of businesslike government. </w:t>
      </w:r>
      <w:r>
        <w:rPr>
          <w:i/>
        </w:rPr>
        <w:t>American University Law Review</w:t>
      </w:r>
      <w:r>
        <w:t xml:space="preserve">, </w:t>
      </w:r>
      <w:r>
        <w:rPr>
          <w:i/>
        </w:rPr>
        <w:t>50</w:t>
      </w:r>
      <w:r>
        <w:t>(3), 627–724.</w:t>
      </w:r>
    </w:p>
    <w:p>
      <w:pPr>
        <w:ind w:firstLine="720"/>
      </w:pPr>
      <w:r>
        <w:t xml:space="preserve">Schwartz, M., &amp; Manuel, K. M. (2018). </w:t>
      </w:r>
      <w:r>
        <w:rPr>
          <w:i/>
        </w:rPr>
        <w:t>GAO bid protests: Trends, analysis, and options for Congress</w:t>
      </w:r>
      <w:r>
        <w:t xml:space="preserve"> (Report No. R45080). Congressional Research Service.</w:t>
      </w:r>
    </w:p>
    <w:p>
      <w:pPr>
        <w:ind w:firstLine="720"/>
      </w:pPr>
      <w:r>
        <w:t xml:space="preserve">Section 809 Panel. (2019). </w:t>
      </w:r>
      <w:r>
        <w:rPr>
          <w:i/>
        </w:rPr>
        <w:t>Report of the Advisory Panel on Streamlining and Codifying Acquisition Regulations</w:t>
      </w:r>
      <w:r>
        <w:t xml:space="preserve"> (Vols. 1–3). U.S. Department of Defense.</w:t>
      </w:r>
    </w:p>
    <w:p>
      <w:pPr>
        <w:ind w:firstLine="720"/>
      </w:pPr>
      <w:r>
        <w:t xml:space="preserve">Shadish, W. R., Cook, T. D., &amp; Campbell, D. T. (2002). </w:t>
      </w:r>
      <w:r>
        <w:rPr>
          <w:i/>
        </w:rPr>
        <w:t>Experimental and quasi-experimental designs for generalized causal inference</w:t>
      </w:r>
      <w:r>
        <w:t>. Houghton Mifflin.</w:t>
      </w:r>
    </w:p>
    <w:p>
      <w:pPr>
        <w:ind w:firstLine="720"/>
      </w:pPr>
      <w:r>
        <w:t xml:space="preserve">Snider, K. F., &amp; Rendon, R. G. (2008). Public procurement policy: Implications for theory and practice. </w:t>
      </w:r>
      <w:r>
        <w:rPr>
          <w:i/>
        </w:rPr>
        <w:t>Journal of Public Procurement</w:t>
      </w:r>
      <w:r>
        <w:t xml:space="preserve">, </w:t>
      </w:r>
      <w:r>
        <w:rPr>
          <w:i/>
        </w:rPr>
        <w:t>8</w:t>
      </w:r>
      <w:r>
        <w:t>(3), 310–333. https://doi.org/10.1108/JOPP-08-03-2008-B002</w:t>
      </w:r>
    </w:p>
    <w:p>
      <w:pPr>
        <w:ind w:firstLine="720"/>
      </w:pPr>
      <w:r>
        <w:t xml:space="preserve">Standish Group. (2020). </w:t>
      </w:r>
      <w:r>
        <w:rPr>
          <w:i/>
        </w:rPr>
        <w:t>CHAOS report 2020</w:t>
      </w:r>
      <w:r>
        <w:t>. The Standish Group International.</w:t>
      </w:r>
    </w:p>
    <w:p>
      <w:pPr>
        <w:ind w:firstLine="720"/>
      </w:pPr>
      <w:r>
        <w:t xml:space="preserve">Stoker, G. (2006). Public value management: A new narrative for networked governance? </w:t>
      </w:r>
      <w:r>
        <w:rPr>
          <w:i/>
        </w:rPr>
        <w:t>American Review of Public Administration</w:t>
      </w:r>
      <w:r>
        <w:t xml:space="preserve">, </w:t>
      </w:r>
      <w:r>
        <w:rPr>
          <w:i/>
        </w:rPr>
        <w:t>36</w:t>
      </w:r>
      <w:r>
        <w:t>(1), 41–57. https://doi.org/10.1177/0275074005282583</w:t>
      </w:r>
    </w:p>
    <w:p>
      <w:pPr>
        <w:ind w:firstLine="720"/>
      </w:pPr>
      <w:r>
        <w:t xml:space="preserve">Stuart, E. A. (2010). Matching methods for causal inference: A review and a look forward. </w:t>
      </w:r>
      <w:r>
        <w:rPr>
          <w:i/>
        </w:rPr>
        <w:t>Statistical Science</w:t>
      </w:r>
      <w:r>
        <w:t xml:space="preserve">, </w:t>
      </w:r>
      <w:r>
        <w:rPr>
          <w:i/>
        </w:rPr>
        <w:t>25</w:t>
      </w:r>
      <w:r>
        <w:t>(1), 1–21. https://doi.org/10.1214/09-STS313</w:t>
      </w:r>
    </w:p>
    <w:p>
      <w:pPr>
        <w:ind w:firstLine="720"/>
      </w:pPr>
      <w:r>
        <w:t xml:space="preserve">Sun, L., &amp; Abraham, S. (2021). Estimating dynamic treatment effects in event studies with heterogeneous treatment effects. </w:t>
      </w:r>
      <w:r>
        <w:rPr>
          <w:i/>
        </w:rPr>
        <w:t>Journal of Econometrics</w:t>
      </w:r>
      <w:r>
        <w:t xml:space="preserve">, </w:t>
      </w:r>
      <w:r>
        <w:rPr>
          <w:i/>
        </w:rPr>
        <w:t>225</w:t>
      </w:r>
      <w:r>
        <w:t>(2), 175–199. https://doi.org/10.1016/j.jeconom.2020.09.006</w:t>
      </w:r>
    </w:p>
    <w:p>
      <w:pPr>
        <w:ind w:firstLine="720"/>
      </w:pPr>
      <w:r>
        <w:t xml:space="preserve">Tadelis, S. (2012). Public procurement design: Lessons from the private sector. </w:t>
      </w:r>
      <w:r>
        <w:rPr>
          <w:i/>
        </w:rPr>
        <w:t>International Journal of Industrial Organization</w:t>
      </w:r>
      <w:r>
        <w:t xml:space="preserve">, </w:t>
      </w:r>
      <w:r>
        <w:rPr>
          <w:i/>
        </w:rPr>
        <w:t>30</w:t>
      </w:r>
      <w:r>
        <w:t>(3), 297–302. https://doi.org/10.1016/j.ijindorg.2012.02.002</w:t>
      </w:r>
    </w:p>
    <w:p>
      <w:pPr>
        <w:ind w:firstLine="720"/>
      </w:pPr>
      <w:r>
        <w:t xml:space="preserve">Thai, K. V. (2001). Public procurement re-examined. </w:t>
      </w:r>
      <w:r>
        <w:rPr>
          <w:i/>
        </w:rPr>
        <w:t>Journal of Public Procurement</w:t>
      </w:r>
      <w:r>
        <w:t xml:space="preserve">, </w:t>
      </w:r>
      <w:r>
        <w:rPr>
          <w:i/>
        </w:rPr>
        <w:t>1</w:t>
      </w:r>
      <w:r>
        <w:t>(1), 9–50. https://doi.org/10.1108/JOPP-01-01-2001-B001</w:t>
      </w:r>
    </w:p>
    <w:p>
      <w:pPr>
        <w:ind w:firstLine="720"/>
      </w:pPr>
      <w:r>
        <w:t xml:space="preserve">Thaler, R. H. (1988). Anomalies: The winner's curse. </w:t>
      </w:r>
      <w:r>
        <w:rPr>
          <w:i/>
        </w:rPr>
        <w:t>Journal of Economic Perspectives</w:t>
      </w:r>
      <w:r>
        <w:t xml:space="preserve">, </w:t>
      </w:r>
      <w:r>
        <w:rPr>
          <w:i/>
        </w:rPr>
        <w:t>2</w:t>
      </w:r>
      <w:r>
        <w:t>(1), 191–202. https://doi.org/10.1257/jep.2.1.191</w:t>
      </w:r>
    </w:p>
    <w:p>
      <w:pPr>
        <w:ind w:firstLine="720"/>
      </w:pPr>
      <w:r>
        <w:t xml:space="preserve">Tirole, J. (1986). Procurement and renegotiation. </w:t>
      </w:r>
      <w:r>
        <w:rPr>
          <w:i/>
        </w:rPr>
        <w:t>Journal of Political Economy</w:t>
      </w:r>
      <w:r>
        <w:t xml:space="preserve">, </w:t>
      </w:r>
      <w:r>
        <w:rPr>
          <w:i/>
        </w:rPr>
        <w:t>94</w:t>
      </w:r>
      <w:r>
        <w:t>(2), 235–259. https://doi.org/10.1086/261372</w:t>
      </w:r>
    </w:p>
    <w:p>
      <w:pPr>
        <w:ind w:firstLine="720"/>
      </w:pPr>
      <w:r>
        <w:t xml:space="preserve">Tkachenko, A., Karam, T., Giorgidze, S., &amp; Fazekas, M. (2023). Big data for better public procurement: Methodological review and new approaches. </w:t>
      </w:r>
      <w:r>
        <w:rPr>
          <w:i/>
        </w:rPr>
        <w:t>International Journal of Public Administration</w:t>
      </w:r>
      <w:r>
        <w:t xml:space="preserve">, </w:t>
      </w:r>
      <w:r>
        <w:rPr>
          <w:i/>
        </w:rPr>
        <w:t>46</w:t>
      </w:r>
      <w:r>
        <w:t>(1), 44–61. https://doi.org/10.1080/01900692.2021.1993906</w:t>
      </w:r>
    </w:p>
    <w:p>
      <w:pPr>
        <w:ind w:firstLine="720"/>
      </w:pPr>
      <w:r>
        <w:t xml:space="preserve">Tkachenko, A., Konovalova, N., &amp; Zhang, L. (2018). Measuring the effects of competition in procurement. In G. L. Albano, K. F. Snider, &amp; K. V. Thai (Eds.), </w:t>
      </w:r>
      <w:r>
        <w:rPr>
          <w:i/>
        </w:rPr>
        <w:t>Charting a course in public procurement innovation and knowledge sharing</w:t>
      </w:r>
      <w:r>
        <w:t xml:space="preserve"> (pp. 175–200). PrAcademics Press.</w:t>
      </w:r>
    </w:p>
    <w:p>
      <w:pPr>
        <w:ind w:firstLine="720"/>
      </w:pPr>
      <w:r>
        <w:t xml:space="preserve">U.S. Government Accountability Office. (2014). </w:t>
      </w:r>
      <w:r>
        <w:rPr>
          <w:i/>
        </w:rPr>
        <w:t>Federal contracting: Observations on the government's use of LPTA evaluation criteria</w:t>
      </w:r>
      <w:r>
        <w:t xml:space="preserve"> (GAO-14-408). https://www.gao.gov</w:t>
      </w:r>
    </w:p>
    <w:p>
      <w:pPr>
        <w:ind w:firstLine="720"/>
      </w:pPr>
      <w:r>
        <w:t xml:space="preserve">U.S. Government Accountability Office. (2020). </w:t>
      </w:r>
      <w:r>
        <w:rPr>
          <w:i/>
        </w:rPr>
        <w:t>Contracting data analysis: Assessment of government-wide trends</w:t>
      </w:r>
      <w:r>
        <w:t xml:space="preserve"> (GAO-20-468). https://www.gao.gov</w:t>
      </w:r>
    </w:p>
    <w:p>
      <w:pPr>
        <w:ind w:firstLine="720"/>
      </w:pPr>
      <w:r>
        <w:t xml:space="preserve">U.S. Government Accountability Office. (2024). </w:t>
      </w:r>
      <w:r>
        <w:rPr>
          <w:i/>
        </w:rPr>
        <w:t>Defense acquisitions annual assessment: Programs are not consistently implementing best practices</w:t>
      </w:r>
      <w:r>
        <w:t xml:space="preserve"> (GAO-24-106706). https://www.gao.gov</w:t>
      </w:r>
    </w:p>
    <w:p>
      <w:pPr>
        <w:ind w:firstLine="720"/>
      </w:pPr>
      <w:r>
        <w:t xml:space="preserve">U.S. Government Accountability Office. (2025). </w:t>
      </w:r>
      <w:r>
        <w:rPr>
          <w:i/>
        </w:rPr>
        <w:t>Bid protest annual report to Congress for fiscal year 2024</w:t>
      </w:r>
      <w:r>
        <w:t xml:space="preserve"> (GAO-25-107322). https://www.gao.gov</w:t>
      </w:r>
    </w:p>
    <w:p>
      <w:pPr>
        <w:ind w:firstLine="720"/>
      </w:pPr>
      <w:r>
        <w:t xml:space="preserve">USAspending.gov. (2025). </w:t>
      </w:r>
      <w:r>
        <w:rPr>
          <w:i/>
        </w:rPr>
        <w:t>Federal award data</w:t>
      </w:r>
      <w:r>
        <w:t>. U.S. Department of the Treasury. https://www.usaspending.gov</w:t>
      </w:r>
    </w:p>
    <w:p>
      <w:pPr>
        <w:ind w:firstLine="720"/>
      </w:pPr>
      <w:r>
        <w:t xml:space="preserve">Vickrey, W. (1961). Counterspeculation, auctions, and competitive sealed tenders. </w:t>
      </w:r>
      <w:r>
        <w:rPr>
          <w:i/>
        </w:rPr>
        <w:t>Journal of Finance</w:t>
      </w:r>
      <w:r>
        <w:t xml:space="preserve">, </w:t>
      </w:r>
      <w:r>
        <w:rPr>
          <w:i/>
        </w:rPr>
        <w:t>16</w:t>
      </w:r>
      <w:r>
        <w:t>(1), 8–37. https://doi.org/10.1111/j.1540-6261.1961.tb02789.x</w:t>
      </w:r>
    </w:p>
    <w:p>
      <w:pPr>
        <w:ind w:firstLine="720"/>
      </w:pPr>
      <w:r>
        <w:t xml:space="preserve">Watson, K. (2015). </w:t>
      </w:r>
      <w:r>
        <w:rPr>
          <w:i/>
        </w:rPr>
        <w:t>An analysis of the effects of source selection method on contractor performance</w:t>
      </w:r>
      <w:r>
        <w:t xml:space="preserve"> [Master's thesis, Naval Postgraduate School]. NPS Archive.</w:t>
      </w:r>
    </w:p>
    <w:p>
      <w:pPr>
        <w:ind w:firstLine="720"/>
      </w:pPr>
      <w:r>
        <w:t xml:space="preserve">Williamson, O. E. (1975). </w:t>
      </w:r>
      <w:r>
        <w:rPr>
          <w:i/>
        </w:rPr>
        <w:t>Markets and hierarchies: Analysis and antitrust implications</w:t>
      </w:r>
      <w:r>
        <w:t>. Free Press.</w:t>
      </w:r>
    </w:p>
    <w:p>
      <w:pPr>
        <w:ind w:firstLine="720"/>
      </w:pPr>
      <w:r>
        <w:t xml:space="preserve">Williamson, O. E. (1979). Transaction-cost economics: The governance of contractual relations. </w:t>
      </w:r>
      <w:r>
        <w:rPr>
          <w:i/>
        </w:rPr>
        <w:t>Journal of Law and Economics</w:t>
      </w:r>
      <w:r>
        <w:t xml:space="preserve">, </w:t>
      </w:r>
      <w:r>
        <w:rPr>
          <w:i/>
        </w:rPr>
        <w:t>22</w:t>
      </w:r>
      <w:r>
        <w:t>(2), 233–261. https://doi.org/10.1086/466942</w:t>
      </w:r>
    </w:p>
    <w:p>
      <w:pPr>
        <w:ind w:firstLine="720"/>
      </w:pPr>
      <w:r>
        <w:t xml:space="preserve">Williamson, O. E. (1985). </w:t>
      </w:r>
      <w:r>
        <w:rPr>
          <w:i/>
        </w:rPr>
        <w:t>The economic institutions of capitalism: Firms, markets, relational contracting</w:t>
      </w:r>
      <w:r>
        <w:t>. Free Press.</w:t>
      </w:r>
    </w:p>
    <w:p>
      <w:pPr>
        <w:ind w:firstLine="720"/>
      </w:pPr>
      <w:r>
        <w:t xml:space="preserve">Williamson, O. E. (1996). </w:t>
      </w:r>
      <w:r>
        <w:rPr>
          <w:i/>
        </w:rPr>
        <w:t>The mechanisms of governance</w:t>
      </w:r>
      <w:r>
        <w:t>. Oxford University Press.</w:t>
      </w:r>
    </w:p>
    <w:p>
      <w:pPr>
        <w:ind w:firstLine="720"/>
      </w:pPr>
      <w:r>
        <w:t xml:space="preserve">Wooldridge, J. M. (2010). </w:t>
      </w:r>
      <w:r>
        <w:rPr>
          <w:i/>
        </w:rPr>
        <w:t>Econometric analysis of cross section and panel data</w:t>
      </w:r>
      <w:r>
        <w:t xml:space="preserve"> (2nd ed.). MIT Press.</w:t>
      </w:r>
    </w:p>
    <w:p>
      <w:pPr>
        <w:ind w:firstLine="720"/>
      </w:pPr>
      <w:r>
        <w:t xml:space="preserve">Wylie, B. (2021). </w:t>
      </w:r>
      <w:r>
        <w:rPr>
          <w:i/>
        </w:rPr>
        <w:t>Open data, public value, and procurement</w:t>
      </w:r>
      <w:r>
        <w:t>. Centre for International Governance Innovation.</w:t>
      </w:r>
    </w:p>
    <w:p>
      <w:pPr>
        <w:ind w:firstLine="720"/>
      </w:pPr>
      <w:r>
        <w:t xml:space="preserve">Yukins, C. R. (2008). Are IDIQs inefficient? Sharing lessons with European framework contracting. </w:t>
      </w:r>
      <w:r>
        <w:rPr>
          <w:i/>
        </w:rPr>
        <w:t>Public Contract Law Journal</w:t>
      </w:r>
      <w:r>
        <w:t xml:space="preserve">, </w:t>
      </w:r>
      <w:r>
        <w:rPr>
          <w:i/>
        </w:rPr>
        <w:t>37</w:t>
      </w:r>
      <w:r>
        <w:t>(3), 545–568.</w:t>
      </w:r>
    </w:p>
    <w:p>
      <w:pPr>
        <w:ind w:firstLine="720"/>
      </w:pPr>
      <w:r>
        <w:t xml:space="preserve">Yukins, C. R. (2012). A case study in comparative procurement law: Assessing UNCITRAL's lessons for US procurement. </w:t>
      </w:r>
      <w:r>
        <w:rPr>
          <w:i/>
        </w:rPr>
        <w:t>Public Contract Law Journal</w:t>
      </w:r>
      <w:r>
        <w:t xml:space="preserve">, </w:t>
      </w:r>
      <w:r>
        <w:rPr>
          <w:i/>
        </w:rPr>
        <w:t>41</w:t>
      </w:r>
      <w:r>
        <w:t>(3), 697–717.</w:t>
      </w:r>
    </w:p>
    <w:p>
      <w:pPr>
        <w:ind w:firstLine="720"/>
      </w:pPr>
      <w:r>
        <w:t xml:space="preserve">Yukins, C. R., &amp; Schooner, S. L. (2007). Incrementalism: Eroding the impediments to a global public procurement market. </w:t>
      </w:r>
      <w:r>
        <w:rPr>
          <w:i/>
        </w:rPr>
        <w:t>Georgetown Journal of International Law</w:t>
      </w:r>
      <w:r>
        <w:t xml:space="preserve">, </w:t>
      </w:r>
      <w:r>
        <w:rPr>
          <w:i/>
        </w:rPr>
        <w:t>38</w:t>
      </w:r>
      <w:r>
        <w:t>(3), 529–576.</w:t>
      </w:r>
    </w:p>
    <w:p>
      <w:r>
        <w:br w:type="page"/>
      </w:r>
    </w:p>
    <w:p>
      <w:pPr>
        <w:pStyle w:val="Heading1"/>
      </w:pPr>
      <w:r>
        <w:rPr>
          <w:rFonts w:ascii="Times New Roman" w:hAnsi="Times New Roman"/>
          <w:color w:val="000000"/>
        </w:rPr>
        <w:t>Appendices</w:t>
      </w:r>
    </w:p>
    <w:p>
      <w:pPr>
        <w:pStyle w:val="Heading2"/>
      </w:pPr>
      <w:r>
        <w:rPr>
          <w:rFonts w:ascii="Times New Roman" w:hAnsi="Times New Roman"/>
          <w:color w:val="000000"/>
        </w:rPr>
        <w:t>Appendix A: Variable Codebook</w:t>
      </w:r>
    </w:p>
    <w:p>
      <w:pPr>
        <w:ind w:firstLine="720"/>
      </w:pPr>
      <w:r>
        <w:t>This appendix provides a complete codebook for all variables used in the empirical analysis. Each entry specifies the variable name as coded in the analytic dataset, the corresponding FPDS/USAspending field name(s), a definition, the measurement type, and the data source.</w:t>
      </w:r>
    </w:p>
    <w:p>
      <w:pPr>
        <w:pStyle w:val="Heading3"/>
      </w:pPr>
      <w:r>
        <w:rPr>
          <w:rFonts w:ascii="Times New Roman" w:hAnsi="Times New Roman"/>
          <w:color w:val="000000"/>
        </w:rPr>
        <w:t>A.1 Independent Variable</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pPr>
              <w:spacing w:line="240" w:lineRule="auto"/>
            </w:pPr>
            <w:r>
              <w:rPr>
                <w:rFonts w:ascii="Times New Roman" w:hAnsi="Times New Roman"/>
                <w:b/>
                <w:sz w:val="20"/>
              </w:rPr>
              <w:t>Variable Name</w:t>
            </w:r>
          </w:p>
        </w:tc>
        <w:tc>
          <w:tcPr>
            <w:tcW w:type="dxa" w:w="1728"/>
          </w:tcPr>
          <w:p>
            <w:pPr>
              <w:spacing w:line="240" w:lineRule="auto"/>
            </w:pPr>
            <w:r>
              <w:rPr>
                <w:rFonts w:ascii="Times New Roman" w:hAnsi="Times New Roman"/>
                <w:b/>
                <w:sz w:val="20"/>
              </w:rPr>
              <w:t>FPDS/USAspending Field</w:t>
            </w:r>
          </w:p>
        </w:tc>
        <w:tc>
          <w:tcPr>
            <w:tcW w:type="dxa" w:w="1728"/>
          </w:tcPr>
          <w:p>
            <w:pPr>
              <w:spacing w:line="240" w:lineRule="auto"/>
            </w:pPr>
            <w:r>
              <w:rPr>
                <w:rFonts w:ascii="Times New Roman" w:hAnsi="Times New Roman"/>
                <w:b/>
                <w:sz w:val="20"/>
              </w:rPr>
              <w:t>Definition</w:t>
            </w:r>
          </w:p>
        </w:tc>
        <w:tc>
          <w:tcPr>
            <w:tcW w:type="dxa" w:w="1728"/>
          </w:tcPr>
          <w:p>
            <w:pPr>
              <w:spacing w:line="240" w:lineRule="auto"/>
            </w:pPr>
            <w:r>
              <w:rPr>
                <w:rFonts w:ascii="Times New Roman" w:hAnsi="Times New Roman"/>
                <w:b/>
                <w:sz w:val="20"/>
              </w:rPr>
              <w:t>Measurement Type</w:t>
            </w:r>
          </w:p>
        </w:tc>
        <w:tc>
          <w:tcPr>
            <w:tcW w:type="dxa" w:w="1728"/>
          </w:tcPr>
          <w:p>
            <w:pPr>
              <w:spacing w:line="240" w:lineRule="auto"/>
            </w:pPr>
            <w:r>
              <w:rPr>
                <w:rFonts w:ascii="Times New Roman" w:hAnsi="Times New Roman"/>
                <w:b/>
                <w:sz w:val="20"/>
              </w:rPr>
              <w:t>Source</w:t>
            </w:r>
          </w:p>
        </w:tc>
      </w:tr>
      <w:tr>
        <w:tc>
          <w:tcPr>
            <w:tcW w:type="dxa" w:w="1728"/>
          </w:tcPr>
          <w:p>
            <w:pPr>
              <w:spacing w:line="240" w:lineRule="auto"/>
            </w:pPr>
            <w:r>
              <w:rPr>
                <w:rFonts w:ascii="Times New Roman" w:hAnsi="Times New Roman"/>
                <w:sz w:val="20"/>
              </w:rPr>
              <w:t>tradeoff</w:t>
            </w:r>
          </w:p>
        </w:tc>
        <w:tc>
          <w:tcPr>
            <w:tcW w:type="dxa" w:w="1728"/>
          </w:tcPr>
          <w:p>
            <w:pPr>
              <w:spacing w:line="240" w:lineRule="auto"/>
            </w:pPr>
            <w:r>
              <w:rPr>
                <w:rFonts w:ascii="Times New Roman" w:hAnsi="Times New Roman"/>
                <w:sz w:val="20"/>
              </w:rPr>
              <w:t>solicitation_procedures (mapped from source_selection_process)</w:t>
            </w:r>
          </w:p>
        </w:tc>
        <w:tc>
          <w:tcPr>
            <w:tcW w:type="dxa" w:w="1728"/>
          </w:tcPr>
          <w:p>
            <w:pPr>
              <w:spacing w:line="240" w:lineRule="auto"/>
            </w:pPr>
            <w:r>
              <w:rPr>
                <w:rFonts w:ascii="Times New Roman" w:hAnsi="Times New Roman"/>
                <w:sz w:val="20"/>
              </w:rPr>
              <w:t>Binary indicator for best-value tradeoff source selection. Coded 1 if the contract was awarded using tradeoff evaluation (TO); coded 0 if the contract was awarded using lowest-price technically acceptable (LPTA) evaluation.</w:t>
            </w:r>
          </w:p>
        </w:tc>
        <w:tc>
          <w:tcPr>
            <w:tcW w:type="dxa" w:w="1728"/>
          </w:tcPr>
          <w:p>
            <w:pPr>
              <w:spacing w:line="240" w:lineRule="auto"/>
            </w:pPr>
            <w:r>
              <w:rPr>
                <w:rFonts w:ascii="Times New Roman" w:hAnsi="Times New Roman"/>
                <w:sz w:val="20"/>
              </w:rPr>
              <w:t>Binary (0/1)</w:t>
            </w:r>
          </w:p>
        </w:tc>
        <w:tc>
          <w:tcPr>
            <w:tcW w:type="dxa" w:w="1728"/>
          </w:tcPr>
          <w:p>
            <w:pPr>
              <w:spacing w:line="240" w:lineRule="auto"/>
            </w:pPr>
            <w:r>
              <w:rPr>
                <w:rFonts w:ascii="Times New Roman" w:hAnsi="Times New Roman"/>
                <w:sz w:val="20"/>
              </w:rPr>
              <w:t>FPDS-NG via USAspending.gov</w:t>
            </w:r>
          </w:p>
        </w:tc>
      </w:tr>
    </w:tbl>
    <w:p>
      <w:pPr>
        <w:pStyle w:val="Heading3"/>
      </w:pPr>
      <w:r>
        <w:rPr>
          <w:rFonts w:ascii="Times New Roman" w:hAnsi="Times New Roman"/>
          <w:color w:val="000000"/>
        </w:rPr>
        <w:t>A.2 Procurement Design Classification</w:t>
      </w:r>
    </w:p>
    <w:p>
      <w:pPr>
        <w:ind w:firstLine="720"/>
      </w:pPr>
      <w:r>
        <w:t xml:space="preserve">The </w:t>
      </w:r>
      <w:r>
        <w:rPr>
          <w:rFonts w:ascii="Courier New" w:hAnsi="Courier New"/>
          <w:sz w:val="20"/>
        </w:rPr>
        <w:t>procurement_design</w:t>
      </w:r>
      <w:r>
        <w:t xml:space="preserve"> variable is a composite classification constructed from two FPDS fields: </w:t>
      </w:r>
      <w:r>
        <w:rPr>
          <w:rFonts w:ascii="Courier New" w:hAnsi="Courier New"/>
          <w:sz w:val="20"/>
        </w:rPr>
        <w:t>solicitation_procedures</w:t>
      </w:r>
      <w:r>
        <w:t xml:space="preserve"> and </w:t>
      </w:r>
      <w:r>
        <w:rPr>
          <w:rFonts w:ascii="Courier New" w:hAnsi="Courier New"/>
          <w:sz w:val="20"/>
        </w:rPr>
        <w:t>type_of_contract_pricing</w:t>
      </w:r>
      <w:r>
        <w:t>. This variable captures the joint distribution of how the government selected the contractor and how the contract prices performance, providing a more granular characterization of the procurement approach than either field alone.</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pPr>
              <w:spacing w:line="240" w:lineRule="auto"/>
            </w:pPr>
            <w:r>
              <w:rPr>
                <w:rFonts w:ascii="Times New Roman" w:hAnsi="Times New Roman"/>
                <w:b/>
                <w:sz w:val="20"/>
              </w:rPr>
              <w:t>Variable Name</w:t>
            </w:r>
          </w:p>
        </w:tc>
        <w:tc>
          <w:tcPr>
            <w:tcW w:type="dxa" w:w="1728"/>
          </w:tcPr>
          <w:p>
            <w:pPr>
              <w:spacing w:line="240" w:lineRule="auto"/>
            </w:pPr>
            <w:r>
              <w:rPr>
                <w:rFonts w:ascii="Times New Roman" w:hAnsi="Times New Roman"/>
                <w:b/>
                <w:sz w:val="20"/>
              </w:rPr>
              <w:t>FPDS/USAspending Fields</w:t>
            </w:r>
          </w:p>
        </w:tc>
        <w:tc>
          <w:tcPr>
            <w:tcW w:type="dxa" w:w="1728"/>
          </w:tcPr>
          <w:p>
            <w:pPr>
              <w:spacing w:line="240" w:lineRule="auto"/>
            </w:pPr>
            <w:r>
              <w:rPr>
                <w:rFonts w:ascii="Times New Roman" w:hAnsi="Times New Roman"/>
                <w:b/>
                <w:sz w:val="20"/>
              </w:rPr>
              <w:t>Definition</w:t>
            </w:r>
          </w:p>
        </w:tc>
        <w:tc>
          <w:tcPr>
            <w:tcW w:type="dxa" w:w="1728"/>
          </w:tcPr>
          <w:p>
            <w:pPr>
              <w:spacing w:line="240" w:lineRule="auto"/>
            </w:pPr>
            <w:r>
              <w:rPr>
                <w:rFonts w:ascii="Times New Roman" w:hAnsi="Times New Roman"/>
                <w:b/>
                <w:sz w:val="20"/>
              </w:rPr>
              <w:t>Measurement Type</w:t>
            </w:r>
          </w:p>
        </w:tc>
        <w:tc>
          <w:tcPr>
            <w:tcW w:type="dxa" w:w="1728"/>
          </w:tcPr>
          <w:p>
            <w:pPr>
              <w:spacing w:line="240" w:lineRule="auto"/>
            </w:pPr>
            <w:r>
              <w:rPr>
                <w:rFonts w:ascii="Times New Roman" w:hAnsi="Times New Roman"/>
                <w:b/>
                <w:sz w:val="20"/>
              </w:rPr>
              <w:t>Source</w:t>
            </w:r>
          </w:p>
        </w:tc>
      </w:tr>
      <w:tr>
        <w:tc>
          <w:tcPr>
            <w:tcW w:type="dxa" w:w="1728"/>
          </w:tcPr>
          <w:p>
            <w:pPr>
              <w:spacing w:line="240" w:lineRule="auto"/>
            </w:pPr>
            <w:r>
              <w:rPr>
                <w:rFonts w:ascii="Times New Roman" w:hAnsi="Times New Roman"/>
                <w:sz w:val="20"/>
              </w:rPr>
              <w:t>procurement_design</w:t>
            </w:r>
          </w:p>
        </w:tc>
        <w:tc>
          <w:tcPr>
            <w:tcW w:type="dxa" w:w="1728"/>
          </w:tcPr>
          <w:p>
            <w:pPr>
              <w:spacing w:line="240" w:lineRule="auto"/>
            </w:pPr>
            <w:r>
              <w:rPr>
                <w:rFonts w:ascii="Times New Roman" w:hAnsi="Times New Roman"/>
                <w:sz w:val="20"/>
              </w:rPr>
              <w:t>solicitation_procedures + type_of_contract_pricing</w:t>
            </w:r>
          </w:p>
        </w:tc>
        <w:tc>
          <w:tcPr>
            <w:tcW w:type="dxa" w:w="1728"/>
          </w:tcPr>
          <w:p>
            <w:pPr>
              <w:spacing w:line="240" w:lineRule="auto"/>
            </w:pPr>
            <w:r>
              <w:rPr>
                <w:rFonts w:ascii="Times New Roman" w:hAnsi="Times New Roman"/>
                <w:sz w:val="20"/>
              </w:rPr>
              <w:t>Composite classification of procurement approach based on solicitation procedure and contract pricing type. See classification rules below.</w:t>
            </w:r>
          </w:p>
        </w:tc>
        <w:tc>
          <w:tcPr>
            <w:tcW w:type="dxa" w:w="1728"/>
          </w:tcPr>
          <w:p>
            <w:pPr>
              <w:spacing w:line="240" w:lineRule="auto"/>
            </w:pPr>
            <w:r>
              <w:rPr>
                <w:rFonts w:ascii="Times New Roman" w:hAnsi="Times New Roman"/>
                <w:sz w:val="20"/>
              </w:rPr>
              <w:t>Categorical (5 levels)</w:t>
            </w:r>
          </w:p>
        </w:tc>
        <w:tc>
          <w:tcPr>
            <w:tcW w:type="dxa" w:w="1728"/>
          </w:tcPr>
          <w:p>
            <w:pPr>
              <w:spacing w:line="240" w:lineRule="auto"/>
            </w:pPr>
            <w:r>
              <w:rPr>
                <w:rFonts w:ascii="Times New Roman" w:hAnsi="Times New Roman"/>
                <w:sz w:val="20"/>
              </w:rPr>
              <w:t>FPDS-NG via USAspending.gov</w:t>
            </w:r>
          </w:p>
        </w:tc>
      </w:tr>
    </w:tbl>
    <w:p>
      <w:pPr>
        <w:ind w:firstLine="720"/>
      </w:pPr>
      <w:r>
        <w:rPr>
          <w:b/>
        </w:rPr>
        <w:t>Classification Rules for `procurement_design`:</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pPr>
              <w:spacing w:line="240" w:lineRule="auto"/>
            </w:pPr>
            <w:r>
              <w:rPr>
                <w:rFonts w:ascii="Times New Roman" w:hAnsi="Times New Roman"/>
                <w:b/>
                <w:sz w:val="20"/>
              </w:rPr>
              <w:t>Category</w:t>
            </w:r>
          </w:p>
        </w:tc>
        <w:tc>
          <w:tcPr>
            <w:tcW w:type="dxa" w:w="1728"/>
          </w:tcPr>
          <w:p>
            <w:pPr>
              <w:spacing w:line="240" w:lineRule="auto"/>
            </w:pPr>
            <w:r>
              <w:rPr>
                <w:rFonts w:ascii="Times New Roman" w:hAnsi="Times New Roman"/>
                <w:b/>
                <w:sz w:val="20"/>
              </w:rPr>
              <w:t>Label</w:t>
            </w:r>
          </w:p>
        </w:tc>
        <w:tc>
          <w:tcPr>
            <w:tcW w:type="dxa" w:w="1728"/>
          </w:tcPr>
          <w:p>
            <w:pPr>
              <w:spacing w:line="240" w:lineRule="auto"/>
            </w:pPr>
            <w:r>
              <w:rPr>
                <w:rFonts w:ascii="Times New Roman" w:hAnsi="Times New Roman"/>
                <w:b/>
                <w:sz w:val="20"/>
              </w:rPr>
              <w:t>Solicitation Procedures Code</w:t>
            </w:r>
          </w:p>
        </w:tc>
        <w:tc>
          <w:tcPr>
            <w:tcW w:type="dxa" w:w="1728"/>
          </w:tcPr>
          <w:p>
            <w:pPr>
              <w:spacing w:line="240" w:lineRule="auto"/>
            </w:pPr>
            <w:r>
              <w:rPr>
                <w:rFonts w:ascii="Times New Roman" w:hAnsi="Times New Roman"/>
                <w:b/>
                <w:sz w:val="20"/>
              </w:rPr>
              <w:t>Contract Pricing Type</w:t>
            </w:r>
          </w:p>
        </w:tc>
        <w:tc>
          <w:tcPr>
            <w:tcW w:type="dxa" w:w="1728"/>
          </w:tcPr>
          <w:p>
            <w:pPr>
              <w:spacing w:line="240" w:lineRule="auto"/>
            </w:pPr>
            <w:r>
              <w:rPr>
                <w:rFonts w:ascii="Times New Roman" w:hAnsi="Times New Roman"/>
                <w:b/>
                <w:sz w:val="20"/>
              </w:rPr>
              <w:t>Description</w:t>
            </w:r>
          </w:p>
        </w:tc>
      </w:tr>
      <w:tr>
        <w:tc>
          <w:tcPr>
            <w:tcW w:type="dxa" w:w="1728"/>
          </w:tcPr>
          <w:p>
            <w:pPr>
              <w:spacing w:line="240" w:lineRule="auto"/>
            </w:pPr>
            <w:r>
              <w:rPr>
                <w:rFonts w:ascii="Times New Roman" w:hAnsi="Times New Roman"/>
                <w:sz w:val="20"/>
              </w:rPr>
              <w:t>1</w:t>
            </w:r>
          </w:p>
        </w:tc>
        <w:tc>
          <w:tcPr>
            <w:tcW w:type="dxa" w:w="1728"/>
          </w:tcPr>
          <w:p>
            <w:pPr>
              <w:spacing w:line="240" w:lineRule="auto"/>
            </w:pPr>
            <w:r>
              <w:rPr>
                <w:rFonts w:ascii="Times New Roman" w:hAnsi="Times New Roman"/>
                <w:sz w:val="20"/>
              </w:rPr>
              <w:t>QUALITY_EVALUATING</w:t>
            </w:r>
          </w:p>
        </w:tc>
        <w:tc>
          <w:tcPr>
            <w:tcW w:type="dxa" w:w="1728"/>
          </w:tcPr>
          <w:p>
            <w:pPr>
              <w:spacing w:line="240" w:lineRule="auto"/>
            </w:pPr>
            <w:r>
              <w:rPr>
                <w:rFonts w:ascii="Times New Roman" w:hAnsi="Times New Roman"/>
                <w:sz w:val="20"/>
              </w:rPr>
              <w:t>NP (Negotiated Proposal)</w:t>
            </w:r>
          </w:p>
        </w:tc>
        <w:tc>
          <w:tcPr>
            <w:tcW w:type="dxa" w:w="1728"/>
          </w:tcPr>
          <w:p>
            <w:pPr>
              <w:spacing w:line="240" w:lineRule="auto"/>
            </w:pPr>
            <w:r>
              <w:rPr>
                <w:rFonts w:ascii="Times New Roman" w:hAnsi="Times New Roman"/>
                <w:sz w:val="20"/>
              </w:rPr>
              <w:t>Cost-type pricing (cost-plus-fixed-fee, cost-plus-incentive-fee, cost-plus-award-fee, cost-no-fee)</w:t>
            </w:r>
          </w:p>
        </w:tc>
        <w:tc>
          <w:tcPr>
            <w:tcW w:type="dxa" w:w="1728"/>
          </w:tcPr>
          <w:p>
            <w:pPr>
              <w:spacing w:line="240" w:lineRule="auto"/>
            </w:pPr>
            <w:r>
              <w:rPr>
                <w:rFonts w:ascii="Times New Roman" w:hAnsi="Times New Roman"/>
                <w:sz w:val="20"/>
              </w:rPr>
              <w:t>Negotiated procurements using cost-reimbursement contracts. These represent the highest-discretion acquisitions, where the government evaluates both technical approach and cost/pricing methodology, and the contractor shares cost risk with the government. Typically used for R&amp;D, complex IT development, and high-uncertainty professional services.</w:t>
            </w:r>
          </w:p>
        </w:tc>
      </w:tr>
      <w:tr>
        <w:tc>
          <w:tcPr>
            <w:tcW w:type="dxa" w:w="1728"/>
          </w:tcPr>
          <w:p>
            <w:pPr>
              <w:spacing w:line="240" w:lineRule="auto"/>
            </w:pPr>
            <w:r>
              <w:rPr>
                <w:rFonts w:ascii="Times New Roman" w:hAnsi="Times New Roman"/>
                <w:sz w:val="20"/>
              </w:rPr>
              <w:t>2</w:t>
            </w:r>
          </w:p>
        </w:tc>
        <w:tc>
          <w:tcPr>
            <w:tcW w:type="dxa" w:w="1728"/>
          </w:tcPr>
          <w:p>
            <w:pPr>
              <w:spacing w:line="240" w:lineRule="auto"/>
            </w:pPr>
            <w:r>
              <w:rPr>
                <w:rFonts w:ascii="Times New Roman" w:hAnsi="Times New Roman"/>
                <w:sz w:val="20"/>
              </w:rPr>
              <w:t>NEGOTIATED_FFP</w:t>
            </w:r>
          </w:p>
        </w:tc>
        <w:tc>
          <w:tcPr>
            <w:tcW w:type="dxa" w:w="1728"/>
          </w:tcPr>
          <w:p>
            <w:pPr>
              <w:spacing w:line="240" w:lineRule="auto"/>
            </w:pPr>
            <w:r>
              <w:rPr>
                <w:rFonts w:ascii="Times New Roman" w:hAnsi="Times New Roman"/>
                <w:sz w:val="20"/>
              </w:rPr>
              <w:t>NP (Negotiated Proposal)</w:t>
            </w:r>
          </w:p>
        </w:tc>
        <w:tc>
          <w:tcPr>
            <w:tcW w:type="dxa" w:w="1728"/>
          </w:tcPr>
          <w:p>
            <w:pPr>
              <w:spacing w:line="240" w:lineRule="auto"/>
            </w:pPr>
            <w:r>
              <w:rPr>
                <w:rFonts w:ascii="Times New Roman" w:hAnsi="Times New Roman"/>
                <w:sz w:val="20"/>
              </w:rPr>
              <w:t>Firm-fixed-price (J) or Fixed-price with economic price adjustment (A)</w:t>
            </w:r>
          </w:p>
        </w:tc>
        <w:tc>
          <w:tcPr>
            <w:tcW w:type="dxa" w:w="1728"/>
          </w:tcPr>
          <w:p>
            <w:pPr>
              <w:spacing w:line="240" w:lineRule="auto"/>
            </w:pPr>
            <w:r>
              <w:rPr>
                <w:rFonts w:ascii="Times New Roman" w:hAnsi="Times New Roman"/>
                <w:sz w:val="20"/>
              </w:rPr>
              <w:t>Negotiated procurements using firm-fixed-price contracts. The government evaluates proposals on price and non-price factors, but the contractor bears full cost risk. Common for well-defined professional services and IT support.</w:t>
            </w:r>
          </w:p>
        </w:tc>
      </w:tr>
      <w:tr>
        <w:tc>
          <w:tcPr>
            <w:tcW w:type="dxa" w:w="1728"/>
          </w:tcPr>
          <w:p>
            <w:pPr>
              <w:spacing w:line="240" w:lineRule="auto"/>
            </w:pPr>
            <w:r>
              <w:rPr>
                <w:rFonts w:ascii="Times New Roman" w:hAnsi="Times New Roman"/>
                <w:sz w:val="20"/>
              </w:rPr>
              <w:t>3</w:t>
            </w:r>
          </w:p>
        </w:tc>
        <w:tc>
          <w:tcPr>
            <w:tcW w:type="dxa" w:w="1728"/>
          </w:tcPr>
          <w:p>
            <w:pPr>
              <w:spacing w:line="240" w:lineRule="auto"/>
            </w:pPr>
            <w:r>
              <w:rPr>
                <w:rFonts w:ascii="Times New Roman" w:hAnsi="Times New Roman"/>
                <w:sz w:val="20"/>
              </w:rPr>
              <w:t>TASK_ORDER</w:t>
            </w:r>
          </w:p>
        </w:tc>
        <w:tc>
          <w:tcPr>
            <w:tcW w:type="dxa" w:w="1728"/>
          </w:tcPr>
          <w:p>
            <w:pPr>
              <w:spacing w:line="240" w:lineRule="auto"/>
            </w:pPr>
            <w:r>
              <w:rPr>
                <w:rFonts w:ascii="Times New Roman" w:hAnsi="Times New Roman"/>
                <w:sz w:val="20"/>
              </w:rPr>
              <w:t>SMA (Subject to Multiple Award) or SSS (Set Aside Sources Sought)</w:t>
            </w:r>
          </w:p>
        </w:tc>
        <w:tc>
          <w:tcPr>
            <w:tcW w:type="dxa" w:w="1728"/>
          </w:tcPr>
          <w:p>
            <w:pPr>
              <w:spacing w:line="240" w:lineRule="auto"/>
            </w:pPr>
            <w:r>
              <w:rPr>
                <w:rFonts w:ascii="Times New Roman" w:hAnsi="Times New Roman"/>
                <w:sz w:val="20"/>
              </w:rPr>
              <w:t>Any pricing type</w:t>
            </w:r>
          </w:p>
        </w:tc>
        <w:tc>
          <w:tcPr>
            <w:tcW w:type="dxa" w:w="1728"/>
          </w:tcPr>
          <w:p>
            <w:pPr>
              <w:spacing w:line="240" w:lineRule="auto"/>
            </w:pPr>
            <w:r>
              <w:rPr>
                <w:rFonts w:ascii="Times New Roman" w:hAnsi="Times New Roman"/>
                <w:sz w:val="20"/>
              </w:rPr>
              <w:t>Task orders issued under multiple-award indefinite-delivery/indefinite-quantity (IDIQ) contracts or orders set aside under pre-competed vehicles. Competition at the task-order level may differ from competition at the parent contract level.</w:t>
            </w:r>
          </w:p>
        </w:tc>
      </w:tr>
      <w:tr>
        <w:tc>
          <w:tcPr>
            <w:tcW w:type="dxa" w:w="1728"/>
          </w:tcPr>
          <w:p>
            <w:pPr>
              <w:spacing w:line="240" w:lineRule="auto"/>
            </w:pPr>
            <w:r>
              <w:rPr>
                <w:rFonts w:ascii="Times New Roman" w:hAnsi="Times New Roman"/>
                <w:sz w:val="20"/>
              </w:rPr>
              <w:t>4</w:t>
            </w:r>
          </w:p>
        </w:tc>
        <w:tc>
          <w:tcPr>
            <w:tcW w:type="dxa" w:w="1728"/>
          </w:tcPr>
          <w:p>
            <w:pPr>
              <w:spacing w:line="240" w:lineRule="auto"/>
            </w:pPr>
            <w:r>
              <w:rPr>
                <w:rFonts w:ascii="Times New Roman" w:hAnsi="Times New Roman"/>
                <w:sz w:val="20"/>
              </w:rPr>
              <w:t>PRICE_FOCUSED</w:t>
            </w:r>
          </w:p>
        </w:tc>
        <w:tc>
          <w:tcPr>
            <w:tcW w:type="dxa" w:w="1728"/>
          </w:tcPr>
          <w:p>
            <w:pPr>
              <w:spacing w:line="240" w:lineRule="auto"/>
            </w:pPr>
            <w:r>
              <w:rPr>
                <w:rFonts w:ascii="Times New Roman" w:hAnsi="Times New Roman"/>
                <w:sz w:val="20"/>
              </w:rPr>
              <w:t>SB (Sealed Bidding) or SAP (Simplified Acquisition Procedures)</w:t>
            </w:r>
          </w:p>
        </w:tc>
        <w:tc>
          <w:tcPr>
            <w:tcW w:type="dxa" w:w="1728"/>
          </w:tcPr>
          <w:p>
            <w:pPr>
              <w:spacing w:line="240" w:lineRule="auto"/>
            </w:pPr>
            <w:r>
              <w:rPr>
                <w:rFonts w:ascii="Times New Roman" w:hAnsi="Times New Roman"/>
                <w:sz w:val="20"/>
              </w:rPr>
              <w:t>Firm-fixed-price (J) or Fixed-price with economic price adjustment (A)</w:t>
            </w:r>
          </w:p>
        </w:tc>
        <w:tc>
          <w:tcPr>
            <w:tcW w:type="dxa" w:w="1728"/>
          </w:tcPr>
          <w:p>
            <w:pPr>
              <w:spacing w:line="240" w:lineRule="auto"/>
            </w:pPr>
            <w:r>
              <w:rPr>
                <w:rFonts w:ascii="Times New Roman" w:hAnsi="Times New Roman"/>
                <w:sz w:val="20"/>
              </w:rPr>
              <w:t>Procurements conducted through sealed bidding or simplified procedures with firm-fixed-price contracts. Award is determined primarily or exclusively by price. Represents the lowest-discretion procurement approach.</w:t>
            </w:r>
          </w:p>
        </w:tc>
      </w:tr>
      <w:tr>
        <w:tc>
          <w:tcPr>
            <w:tcW w:type="dxa" w:w="1728"/>
          </w:tcPr>
          <w:p>
            <w:pPr>
              <w:spacing w:line="240" w:lineRule="auto"/>
            </w:pPr>
            <w:r>
              <w:rPr>
                <w:rFonts w:ascii="Times New Roman" w:hAnsi="Times New Roman"/>
                <w:sz w:val="20"/>
              </w:rPr>
              <w:t>5</w:t>
            </w:r>
          </w:p>
        </w:tc>
        <w:tc>
          <w:tcPr>
            <w:tcW w:type="dxa" w:w="1728"/>
          </w:tcPr>
          <w:p>
            <w:pPr>
              <w:spacing w:line="240" w:lineRule="auto"/>
            </w:pPr>
            <w:r>
              <w:rPr>
                <w:rFonts w:ascii="Times New Roman" w:hAnsi="Times New Roman"/>
                <w:sz w:val="20"/>
              </w:rPr>
              <w:t>OTHER</w:t>
            </w:r>
          </w:p>
        </w:tc>
        <w:tc>
          <w:tcPr>
            <w:tcW w:type="dxa" w:w="1728"/>
          </w:tcPr>
          <w:p>
            <w:pPr>
              <w:spacing w:line="240" w:lineRule="auto"/>
            </w:pPr>
            <w:r>
              <w:rPr>
                <w:rFonts w:ascii="Times New Roman" w:hAnsi="Times New Roman"/>
                <w:sz w:val="20"/>
              </w:rPr>
              <w:t>All other combinations</w:t>
            </w:r>
          </w:p>
        </w:tc>
        <w:tc>
          <w:tcPr>
            <w:tcW w:type="dxa" w:w="1728"/>
          </w:tcPr>
          <w:p>
            <w:pPr>
              <w:spacing w:line="240" w:lineRule="auto"/>
            </w:pPr>
            <w:r>
              <w:rPr>
                <w:rFonts w:ascii="Times New Roman" w:hAnsi="Times New Roman"/>
                <w:sz w:val="20"/>
              </w:rPr>
              <w:t>All other combinations</w:t>
            </w:r>
          </w:p>
        </w:tc>
        <w:tc>
          <w:tcPr>
            <w:tcW w:type="dxa" w:w="1728"/>
          </w:tcPr>
          <w:p>
            <w:pPr>
              <w:spacing w:line="240" w:lineRule="auto"/>
            </w:pPr>
            <w:r>
              <w:rPr>
                <w:rFonts w:ascii="Times New Roman" w:hAnsi="Times New Roman"/>
                <w:sz w:val="20"/>
              </w:rPr>
              <w:t>Residual category for procurement approaches that do not fit the four primary classifications. Includes unusual combinations of solicitation procedures and pricing types, as well as records with missing or ambiguous coding. Excluded from primary analyses; included in sensitivity checks.</w:t>
            </w:r>
          </w:p>
        </w:tc>
      </w:tr>
    </w:tbl>
    <w:p>
      <w:pPr>
        <w:pStyle w:val="Heading3"/>
      </w:pPr>
      <w:r>
        <w:rPr>
          <w:rFonts w:ascii="Times New Roman" w:hAnsi="Times New Roman"/>
          <w:color w:val="000000"/>
        </w:rPr>
        <w:t>A.3 Dependent Variables</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pPr>
              <w:spacing w:line="240" w:lineRule="auto"/>
            </w:pPr>
            <w:r>
              <w:rPr>
                <w:rFonts w:ascii="Times New Roman" w:hAnsi="Times New Roman"/>
                <w:b/>
                <w:sz w:val="20"/>
              </w:rPr>
              <w:t>Variable Name</w:t>
            </w:r>
          </w:p>
        </w:tc>
        <w:tc>
          <w:tcPr>
            <w:tcW w:type="dxa" w:w="1728"/>
          </w:tcPr>
          <w:p>
            <w:pPr>
              <w:spacing w:line="240" w:lineRule="auto"/>
            </w:pPr>
            <w:r>
              <w:rPr>
                <w:rFonts w:ascii="Times New Roman" w:hAnsi="Times New Roman"/>
                <w:b/>
                <w:sz w:val="20"/>
              </w:rPr>
              <w:t>FPDS/USAspending Field(s)</w:t>
            </w:r>
          </w:p>
        </w:tc>
        <w:tc>
          <w:tcPr>
            <w:tcW w:type="dxa" w:w="1728"/>
          </w:tcPr>
          <w:p>
            <w:pPr>
              <w:spacing w:line="240" w:lineRule="auto"/>
            </w:pPr>
            <w:r>
              <w:rPr>
                <w:rFonts w:ascii="Times New Roman" w:hAnsi="Times New Roman"/>
                <w:b/>
                <w:sz w:val="20"/>
              </w:rPr>
              <w:t>Definition</w:t>
            </w:r>
          </w:p>
        </w:tc>
        <w:tc>
          <w:tcPr>
            <w:tcW w:type="dxa" w:w="1728"/>
          </w:tcPr>
          <w:p>
            <w:pPr>
              <w:spacing w:line="240" w:lineRule="auto"/>
            </w:pPr>
            <w:r>
              <w:rPr>
                <w:rFonts w:ascii="Times New Roman" w:hAnsi="Times New Roman"/>
                <w:b/>
                <w:sz w:val="20"/>
              </w:rPr>
              <w:t>Measurement Type</w:t>
            </w:r>
          </w:p>
        </w:tc>
        <w:tc>
          <w:tcPr>
            <w:tcW w:type="dxa" w:w="1728"/>
          </w:tcPr>
          <w:p>
            <w:pPr>
              <w:spacing w:line="240" w:lineRule="auto"/>
            </w:pPr>
            <w:r>
              <w:rPr>
                <w:rFonts w:ascii="Times New Roman" w:hAnsi="Times New Roman"/>
                <w:b/>
                <w:sz w:val="20"/>
              </w:rPr>
              <w:t>Source</w:t>
            </w:r>
          </w:p>
        </w:tc>
      </w:tr>
      <w:tr>
        <w:tc>
          <w:tcPr>
            <w:tcW w:type="dxa" w:w="1728"/>
          </w:tcPr>
          <w:p>
            <w:pPr>
              <w:spacing w:line="240" w:lineRule="auto"/>
            </w:pPr>
            <w:r>
              <w:rPr>
                <w:rFonts w:ascii="Times New Roman" w:hAnsi="Times New Roman"/>
                <w:sz w:val="20"/>
              </w:rPr>
              <w:t>cost_growth</w:t>
            </w:r>
          </w:p>
        </w:tc>
        <w:tc>
          <w:tcPr>
            <w:tcW w:type="dxa" w:w="1728"/>
          </w:tcPr>
          <w:p>
            <w:pPr>
              <w:spacing w:line="240" w:lineRule="auto"/>
            </w:pPr>
            <w:r>
              <w:rPr>
                <w:rFonts w:ascii="Times New Roman" w:hAnsi="Times New Roman"/>
                <w:sz w:val="20"/>
              </w:rPr>
              <w:t>base_and_all_options_value (current), base_exercised_options_value (initial)</w:t>
            </w:r>
          </w:p>
        </w:tc>
        <w:tc>
          <w:tcPr>
            <w:tcW w:type="dxa" w:w="1728"/>
          </w:tcPr>
          <w:p>
            <w:pPr>
              <w:spacing w:line="240" w:lineRule="auto"/>
            </w:pPr>
            <w:r>
              <w:rPr>
                <w:rFonts w:ascii="Times New Roman" w:hAnsi="Times New Roman"/>
                <w:sz w:val="20"/>
              </w:rPr>
              <w:t>Ratio of the change in contract value to the initial base value: (current_total_value - base_exercised_options_value) / base_exercised_options_value. A value of 0.0 indicates no cost growth; a value of 0.25 indicates 25% growth.</w:t>
            </w:r>
          </w:p>
        </w:tc>
        <w:tc>
          <w:tcPr>
            <w:tcW w:type="dxa" w:w="1728"/>
          </w:tcPr>
          <w:p>
            <w:pPr>
              <w:spacing w:line="240" w:lineRule="auto"/>
            </w:pPr>
            <w:r>
              <w:rPr>
                <w:rFonts w:ascii="Times New Roman" w:hAnsi="Times New Roman"/>
                <w:sz w:val="20"/>
              </w:rPr>
              <w:t>Continuous</w:t>
            </w:r>
          </w:p>
        </w:tc>
        <w:tc>
          <w:tcPr>
            <w:tcW w:type="dxa" w:w="1728"/>
          </w:tcPr>
          <w:p>
            <w:pPr>
              <w:spacing w:line="240" w:lineRule="auto"/>
            </w:pPr>
            <w:r>
              <w:rPr>
                <w:rFonts w:ascii="Times New Roman" w:hAnsi="Times New Roman"/>
                <w:sz w:val="20"/>
              </w:rPr>
              <w:t>FPDS-NG via USAspending.gov</w:t>
            </w:r>
          </w:p>
        </w:tc>
      </w:tr>
      <w:tr>
        <w:tc>
          <w:tcPr>
            <w:tcW w:type="dxa" w:w="1728"/>
          </w:tcPr>
          <w:p>
            <w:pPr>
              <w:spacing w:line="240" w:lineRule="auto"/>
            </w:pPr>
            <w:r>
              <w:rPr>
                <w:rFonts w:ascii="Times New Roman" w:hAnsi="Times New Roman"/>
                <w:sz w:val="20"/>
              </w:rPr>
              <w:t>cost_growth_w</w:t>
            </w:r>
          </w:p>
        </w:tc>
        <w:tc>
          <w:tcPr>
            <w:tcW w:type="dxa" w:w="1728"/>
          </w:tcPr>
          <w:p>
            <w:pPr>
              <w:spacing w:line="240" w:lineRule="auto"/>
            </w:pPr>
            <w:r>
              <w:rPr>
                <w:rFonts w:ascii="Times New Roman" w:hAnsi="Times New Roman"/>
                <w:sz w:val="20"/>
              </w:rPr>
              <w:t>Derived from cost_growth</w:t>
            </w:r>
          </w:p>
        </w:tc>
        <w:tc>
          <w:tcPr>
            <w:tcW w:type="dxa" w:w="1728"/>
          </w:tcPr>
          <w:p>
            <w:pPr>
              <w:spacing w:line="240" w:lineRule="auto"/>
            </w:pPr>
            <w:r>
              <w:rPr>
                <w:rFonts w:ascii="Times New Roman" w:hAnsi="Times New Roman"/>
                <w:sz w:val="20"/>
              </w:rPr>
              <w:t>Winsorized cost growth. The cost_growth variable is winsorized at the 1st and 99th percentiles of the sample distribution. Values below the 1st percentile are set to the 1st percentile value; values above the 99th percentile are set to the 99th percentile value. This transformation reduces the influence of extreme outliers on regression estimates while preserving the rank order and relative magnitude of observations.</w:t>
            </w:r>
          </w:p>
        </w:tc>
        <w:tc>
          <w:tcPr>
            <w:tcW w:type="dxa" w:w="1728"/>
          </w:tcPr>
          <w:p>
            <w:pPr>
              <w:spacing w:line="240" w:lineRule="auto"/>
            </w:pPr>
            <w:r>
              <w:rPr>
                <w:rFonts w:ascii="Times New Roman" w:hAnsi="Times New Roman"/>
                <w:sz w:val="20"/>
              </w:rPr>
              <w:t>Continuous (winsorized)</w:t>
            </w:r>
          </w:p>
        </w:tc>
        <w:tc>
          <w:tcPr>
            <w:tcW w:type="dxa" w:w="1728"/>
          </w:tcPr>
          <w:p>
            <w:pPr>
              <w:spacing w:line="240" w:lineRule="auto"/>
            </w:pPr>
            <w:r>
              <w:rPr>
                <w:rFonts w:ascii="Times New Roman" w:hAnsi="Times New Roman"/>
                <w:sz w:val="20"/>
              </w:rPr>
              <w:t>Derived</w:t>
            </w:r>
          </w:p>
        </w:tc>
      </w:tr>
      <w:tr>
        <w:tc>
          <w:tcPr>
            <w:tcW w:type="dxa" w:w="1728"/>
          </w:tcPr>
          <w:p>
            <w:pPr>
              <w:spacing w:line="240" w:lineRule="auto"/>
            </w:pPr>
            <w:r>
              <w:rPr>
                <w:rFonts w:ascii="Times New Roman" w:hAnsi="Times New Roman"/>
                <w:sz w:val="20"/>
              </w:rPr>
              <w:t>transaction_count</w:t>
            </w:r>
          </w:p>
        </w:tc>
        <w:tc>
          <w:tcPr>
            <w:tcW w:type="dxa" w:w="1728"/>
          </w:tcPr>
          <w:p>
            <w:pPr>
              <w:spacing w:line="240" w:lineRule="auto"/>
            </w:pPr>
            <w:r>
              <w:rPr>
                <w:rFonts w:ascii="Times New Roman" w:hAnsi="Times New Roman"/>
                <w:sz w:val="20"/>
              </w:rPr>
              <w:t>Count of records per award_id_piid</w:t>
            </w:r>
          </w:p>
        </w:tc>
        <w:tc>
          <w:tcPr>
            <w:tcW w:type="dxa" w:w="1728"/>
          </w:tcPr>
          <w:p>
            <w:pPr>
              <w:spacing w:line="240" w:lineRule="auto"/>
            </w:pPr>
            <w:r>
              <w:rPr>
                <w:rFonts w:ascii="Times New Roman" w:hAnsi="Times New Roman"/>
                <w:sz w:val="20"/>
              </w:rPr>
              <w:t>Count of unique transaction records (contract actions) associated with each award. Includes the initial award action and all subsequent modifications, funding actions, option exercises, and administrative changes. Serves as a proxy for post-award administrative burden and contract instability.</w:t>
            </w:r>
          </w:p>
        </w:tc>
        <w:tc>
          <w:tcPr>
            <w:tcW w:type="dxa" w:w="1728"/>
          </w:tcPr>
          <w:p>
            <w:pPr>
              <w:spacing w:line="240" w:lineRule="auto"/>
            </w:pPr>
            <w:r>
              <w:rPr>
                <w:rFonts w:ascii="Times New Roman" w:hAnsi="Times New Roman"/>
                <w:sz w:val="20"/>
              </w:rPr>
              <w:t>Count (non-negative integer)</w:t>
            </w:r>
          </w:p>
        </w:tc>
        <w:tc>
          <w:tcPr>
            <w:tcW w:type="dxa" w:w="1728"/>
          </w:tcPr>
          <w:p>
            <w:pPr>
              <w:spacing w:line="240" w:lineRule="auto"/>
            </w:pPr>
            <w:r>
              <w:rPr>
                <w:rFonts w:ascii="Times New Roman" w:hAnsi="Times New Roman"/>
                <w:sz w:val="20"/>
              </w:rPr>
              <w:t>FPDS-NG via USAspending.gov</w:t>
            </w:r>
          </w:p>
        </w:tc>
      </w:tr>
      <w:tr>
        <w:tc>
          <w:tcPr>
            <w:tcW w:type="dxa" w:w="1728"/>
          </w:tcPr>
          <w:p>
            <w:pPr>
              <w:spacing w:line="240" w:lineRule="auto"/>
            </w:pPr>
            <w:r>
              <w:rPr>
                <w:rFonts w:ascii="Times New Roman" w:hAnsi="Times New Roman"/>
                <w:sz w:val="20"/>
              </w:rPr>
              <w:t>mod_count</w:t>
            </w:r>
          </w:p>
        </w:tc>
        <w:tc>
          <w:tcPr>
            <w:tcW w:type="dxa" w:w="1728"/>
          </w:tcPr>
          <w:p>
            <w:pPr>
              <w:spacing w:line="240" w:lineRule="auto"/>
            </w:pPr>
            <w:r>
              <w:rPr>
                <w:rFonts w:ascii="Times New Roman" w:hAnsi="Times New Roman"/>
                <w:sz w:val="20"/>
              </w:rPr>
              <w:t>Count of records with modification_number &gt; 0 per award_id_piid</w:t>
            </w:r>
          </w:p>
        </w:tc>
        <w:tc>
          <w:tcPr>
            <w:tcW w:type="dxa" w:w="1728"/>
          </w:tcPr>
          <w:p>
            <w:pPr>
              <w:spacing w:line="240" w:lineRule="auto"/>
            </w:pPr>
            <w:r>
              <w:rPr>
                <w:rFonts w:ascii="Times New Roman" w:hAnsi="Times New Roman"/>
                <w:sz w:val="20"/>
              </w:rPr>
              <w:t>Count of contract modifications (excluding the initial award action). Differs from transaction_count by excluding the base award record.</w:t>
            </w:r>
          </w:p>
        </w:tc>
        <w:tc>
          <w:tcPr>
            <w:tcW w:type="dxa" w:w="1728"/>
          </w:tcPr>
          <w:p>
            <w:pPr>
              <w:spacing w:line="240" w:lineRule="auto"/>
            </w:pPr>
            <w:r>
              <w:rPr>
                <w:rFonts w:ascii="Times New Roman" w:hAnsi="Times New Roman"/>
                <w:sz w:val="20"/>
              </w:rPr>
              <w:t>Count (non-negative integer)</w:t>
            </w:r>
          </w:p>
        </w:tc>
        <w:tc>
          <w:tcPr>
            <w:tcW w:type="dxa" w:w="1728"/>
          </w:tcPr>
          <w:p>
            <w:pPr>
              <w:spacing w:line="240" w:lineRule="auto"/>
            </w:pPr>
            <w:r>
              <w:rPr>
                <w:rFonts w:ascii="Times New Roman" w:hAnsi="Times New Roman"/>
                <w:sz w:val="20"/>
              </w:rPr>
              <w:t>FPDS-NG via USAspending.gov</w:t>
            </w:r>
          </w:p>
        </w:tc>
      </w:tr>
      <w:tr>
        <w:tc>
          <w:tcPr>
            <w:tcW w:type="dxa" w:w="1728"/>
          </w:tcPr>
          <w:p>
            <w:pPr>
              <w:spacing w:line="240" w:lineRule="auto"/>
            </w:pPr>
            <w:r>
              <w:rPr>
                <w:rFonts w:ascii="Times New Roman" w:hAnsi="Times New Roman"/>
                <w:sz w:val="20"/>
              </w:rPr>
              <w:t>number_of_offers_received</w:t>
            </w:r>
          </w:p>
        </w:tc>
        <w:tc>
          <w:tcPr>
            <w:tcW w:type="dxa" w:w="1728"/>
          </w:tcPr>
          <w:p>
            <w:pPr>
              <w:spacing w:line="240" w:lineRule="auto"/>
            </w:pPr>
            <w:r>
              <w:rPr>
                <w:rFonts w:ascii="Times New Roman" w:hAnsi="Times New Roman"/>
                <w:sz w:val="20"/>
              </w:rPr>
              <w:t>number_of_offers_received</w:t>
            </w:r>
          </w:p>
        </w:tc>
        <w:tc>
          <w:tcPr>
            <w:tcW w:type="dxa" w:w="1728"/>
          </w:tcPr>
          <w:p>
            <w:pPr>
              <w:spacing w:line="240" w:lineRule="auto"/>
            </w:pPr>
            <w:r>
              <w:rPr>
                <w:rFonts w:ascii="Times New Roman" w:hAnsi="Times New Roman"/>
                <w:sz w:val="20"/>
              </w:rPr>
              <w:t>Number of proposals or bids submitted by offerors in response to the solicitation. Self-reported by the contracting officer at the time of award. Serves as the primary measure of competition intensity.</w:t>
            </w:r>
          </w:p>
        </w:tc>
        <w:tc>
          <w:tcPr>
            <w:tcW w:type="dxa" w:w="1728"/>
          </w:tcPr>
          <w:p>
            <w:pPr>
              <w:spacing w:line="240" w:lineRule="auto"/>
            </w:pPr>
            <w:r>
              <w:rPr>
                <w:rFonts w:ascii="Times New Roman" w:hAnsi="Times New Roman"/>
                <w:sz w:val="20"/>
              </w:rPr>
              <w:t>Count (positive integer)</w:t>
            </w:r>
          </w:p>
        </w:tc>
        <w:tc>
          <w:tcPr>
            <w:tcW w:type="dxa" w:w="1728"/>
          </w:tcPr>
          <w:p>
            <w:pPr>
              <w:spacing w:line="240" w:lineRule="auto"/>
            </w:pPr>
            <w:r>
              <w:rPr>
                <w:rFonts w:ascii="Times New Roman" w:hAnsi="Times New Roman"/>
                <w:sz w:val="20"/>
              </w:rPr>
              <w:t>FPDS-NG via USAspending.gov</w:t>
            </w:r>
          </w:p>
        </w:tc>
      </w:tr>
      <w:tr>
        <w:tc>
          <w:tcPr>
            <w:tcW w:type="dxa" w:w="1728"/>
          </w:tcPr>
          <w:p>
            <w:pPr>
              <w:spacing w:line="240" w:lineRule="auto"/>
            </w:pPr>
            <w:r>
              <w:rPr>
                <w:rFonts w:ascii="Times New Roman" w:hAnsi="Times New Roman"/>
                <w:sz w:val="20"/>
              </w:rPr>
              <w:t>single_bid</w:t>
            </w:r>
          </w:p>
        </w:tc>
        <w:tc>
          <w:tcPr>
            <w:tcW w:type="dxa" w:w="1728"/>
          </w:tcPr>
          <w:p>
            <w:pPr>
              <w:spacing w:line="240" w:lineRule="auto"/>
            </w:pPr>
            <w:r>
              <w:rPr>
                <w:rFonts w:ascii="Times New Roman" w:hAnsi="Times New Roman"/>
                <w:sz w:val="20"/>
              </w:rPr>
              <w:t>Derived from number_of_offers_received</w:t>
            </w:r>
          </w:p>
        </w:tc>
        <w:tc>
          <w:tcPr>
            <w:tcW w:type="dxa" w:w="1728"/>
          </w:tcPr>
          <w:p>
            <w:pPr>
              <w:spacing w:line="240" w:lineRule="auto"/>
            </w:pPr>
            <w:r>
              <w:rPr>
                <w:rFonts w:ascii="Times New Roman" w:hAnsi="Times New Roman"/>
                <w:sz w:val="20"/>
              </w:rPr>
              <w:t>Binary indicator equal to 1 if number_of_offers_received = 1 (only one offer was submitted); equal to 0 if two or more offers were received. Identifies procurements that failed to generate effective competition despite being formally competitive.</w:t>
            </w:r>
          </w:p>
        </w:tc>
        <w:tc>
          <w:tcPr>
            <w:tcW w:type="dxa" w:w="1728"/>
          </w:tcPr>
          <w:p>
            <w:pPr>
              <w:spacing w:line="240" w:lineRule="auto"/>
            </w:pPr>
            <w:r>
              <w:rPr>
                <w:rFonts w:ascii="Times New Roman" w:hAnsi="Times New Roman"/>
                <w:sz w:val="20"/>
              </w:rPr>
              <w:t>Binary (0/1)</w:t>
            </w:r>
          </w:p>
        </w:tc>
        <w:tc>
          <w:tcPr>
            <w:tcW w:type="dxa" w:w="1728"/>
          </w:tcPr>
          <w:p>
            <w:pPr>
              <w:spacing w:line="240" w:lineRule="auto"/>
            </w:pPr>
            <w:r>
              <w:rPr>
                <w:rFonts w:ascii="Times New Roman" w:hAnsi="Times New Roman"/>
                <w:sz w:val="20"/>
              </w:rPr>
              <w:t>Derived</w:t>
            </w:r>
          </w:p>
        </w:tc>
      </w:tr>
    </w:tbl>
    <w:p>
      <w:pPr>
        <w:pStyle w:val="Heading3"/>
      </w:pPr>
      <w:r>
        <w:rPr>
          <w:rFonts w:ascii="Times New Roman" w:hAnsi="Times New Roman"/>
          <w:color w:val="000000"/>
        </w:rPr>
        <w:t>A.4 Control Variables</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pPr>
              <w:spacing w:line="240" w:lineRule="auto"/>
            </w:pPr>
            <w:r>
              <w:rPr>
                <w:rFonts w:ascii="Times New Roman" w:hAnsi="Times New Roman"/>
                <w:b/>
                <w:sz w:val="20"/>
              </w:rPr>
              <w:t>Variable Name</w:t>
            </w:r>
          </w:p>
        </w:tc>
        <w:tc>
          <w:tcPr>
            <w:tcW w:type="dxa" w:w="1728"/>
          </w:tcPr>
          <w:p>
            <w:pPr>
              <w:spacing w:line="240" w:lineRule="auto"/>
            </w:pPr>
            <w:r>
              <w:rPr>
                <w:rFonts w:ascii="Times New Roman" w:hAnsi="Times New Roman"/>
                <w:b/>
                <w:sz w:val="20"/>
              </w:rPr>
              <w:t>FPDS/USAspending Field(s)</w:t>
            </w:r>
          </w:p>
        </w:tc>
        <w:tc>
          <w:tcPr>
            <w:tcW w:type="dxa" w:w="1728"/>
          </w:tcPr>
          <w:p>
            <w:pPr>
              <w:spacing w:line="240" w:lineRule="auto"/>
            </w:pPr>
            <w:r>
              <w:rPr>
                <w:rFonts w:ascii="Times New Roman" w:hAnsi="Times New Roman"/>
                <w:b/>
                <w:sz w:val="20"/>
              </w:rPr>
              <w:t>Definition</w:t>
            </w:r>
          </w:p>
        </w:tc>
        <w:tc>
          <w:tcPr>
            <w:tcW w:type="dxa" w:w="1728"/>
          </w:tcPr>
          <w:p>
            <w:pPr>
              <w:spacing w:line="240" w:lineRule="auto"/>
            </w:pPr>
            <w:r>
              <w:rPr>
                <w:rFonts w:ascii="Times New Roman" w:hAnsi="Times New Roman"/>
                <w:b/>
                <w:sz w:val="20"/>
              </w:rPr>
              <w:t>Measurement Type</w:t>
            </w:r>
          </w:p>
        </w:tc>
        <w:tc>
          <w:tcPr>
            <w:tcW w:type="dxa" w:w="1728"/>
          </w:tcPr>
          <w:p>
            <w:pPr>
              <w:spacing w:line="240" w:lineRule="auto"/>
            </w:pPr>
            <w:r>
              <w:rPr>
                <w:rFonts w:ascii="Times New Roman" w:hAnsi="Times New Roman"/>
                <w:b/>
                <w:sz w:val="20"/>
              </w:rPr>
              <w:t>Source</w:t>
            </w:r>
          </w:p>
        </w:tc>
      </w:tr>
      <w:tr>
        <w:tc>
          <w:tcPr>
            <w:tcW w:type="dxa" w:w="1728"/>
          </w:tcPr>
          <w:p>
            <w:pPr>
              <w:spacing w:line="240" w:lineRule="auto"/>
            </w:pPr>
            <w:r>
              <w:rPr>
                <w:rFonts w:ascii="Times New Roman" w:hAnsi="Times New Roman"/>
                <w:sz w:val="20"/>
              </w:rPr>
              <w:t>log_award_amount</w:t>
            </w:r>
          </w:p>
        </w:tc>
        <w:tc>
          <w:tcPr>
            <w:tcW w:type="dxa" w:w="1728"/>
          </w:tcPr>
          <w:p>
            <w:pPr>
              <w:spacing w:line="240" w:lineRule="auto"/>
            </w:pPr>
            <w:r>
              <w:rPr>
                <w:rFonts w:ascii="Times New Roman" w:hAnsi="Times New Roman"/>
                <w:sz w:val="20"/>
              </w:rPr>
              <w:t>base_exercised_options_value (initial action)</w:t>
            </w:r>
          </w:p>
        </w:tc>
        <w:tc>
          <w:tcPr>
            <w:tcW w:type="dxa" w:w="1728"/>
          </w:tcPr>
          <w:p>
            <w:pPr>
              <w:spacing w:line="240" w:lineRule="auto"/>
            </w:pPr>
            <w:r>
              <w:rPr>
                <w:rFonts w:ascii="Times New Roman" w:hAnsi="Times New Roman"/>
                <w:sz w:val="20"/>
              </w:rPr>
              <w:t>Natural logarithm of the initial base award value (federal action obligation at the time of the initial award). Controls for contract size, which is correlated with both source selection method and outcomes. The log transformation addresses the severe right skew of contract dollar values.</w:t>
            </w:r>
          </w:p>
        </w:tc>
        <w:tc>
          <w:tcPr>
            <w:tcW w:type="dxa" w:w="1728"/>
          </w:tcPr>
          <w:p>
            <w:pPr>
              <w:spacing w:line="240" w:lineRule="auto"/>
            </w:pPr>
            <w:r>
              <w:rPr>
                <w:rFonts w:ascii="Times New Roman" w:hAnsi="Times New Roman"/>
                <w:sz w:val="20"/>
              </w:rPr>
              <w:t>Continuous</w:t>
            </w:r>
          </w:p>
        </w:tc>
        <w:tc>
          <w:tcPr>
            <w:tcW w:type="dxa" w:w="1728"/>
          </w:tcPr>
          <w:p>
            <w:pPr>
              <w:spacing w:line="240" w:lineRule="auto"/>
            </w:pPr>
            <w:r>
              <w:rPr>
                <w:rFonts w:ascii="Times New Roman" w:hAnsi="Times New Roman"/>
                <w:sz w:val="20"/>
              </w:rPr>
              <w:t>Derived from FPDS-NG</w:t>
            </w:r>
          </w:p>
        </w:tc>
      </w:tr>
      <w:tr>
        <w:tc>
          <w:tcPr>
            <w:tcW w:type="dxa" w:w="1728"/>
          </w:tcPr>
          <w:p>
            <w:pPr>
              <w:spacing w:line="240" w:lineRule="auto"/>
            </w:pPr>
            <w:r>
              <w:rPr>
                <w:rFonts w:ascii="Times New Roman" w:hAnsi="Times New Roman"/>
                <w:sz w:val="20"/>
              </w:rPr>
              <w:t>award_amount</w:t>
            </w:r>
          </w:p>
        </w:tc>
        <w:tc>
          <w:tcPr>
            <w:tcW w:type="dxa" w:w="1728"/>
          </w:tcPr>
          <w:p>
            <w:pPr>
              <w:spacing w:line="240" w:lineRule="auto"/>
            </w:pPr>
            <w:r>
              <w:rPr>
                <w:rFonts w:ascii="Times New Roman" w:hAnsi="Times New Roman"/>
                <w:sz w:val="20"/>
              </w:rPr>
              <w:t>base_exercised_options_value (initial action)</w:t>
            </w:r>
          </w:p>
        </w:tc>
        <w:tc>
          <w:tcPr>
            <w:tcW w:type="dxa" w:w="1728"/>
          </w:tcPr>
          <w:p>
            <w:pPr>
              <w:spacing w:line="240" w:lineRule="auto"/>
            </w:pPr>
            <w:r>
              <w:rPr>
                <w:rFonts w:ascii="Times New Roman" w:hAnsi="Times New Roman"/>
                <w:sz w:val="20"/>
              </w:rPr>
              <w:t>Initial base award value in dollars. Used for descriptive statistics and as the untransformed analog of log_award_amount.</w:t>
            </w:r>
          </w:p>
        </w:tc>
        <w:tc>
          <w:tcPr>
            <w:tcW w:type="dxa" w:w="1728"/>
          </w:tcPr>
          <w:p>
            <w:pPr>
              <w:spacing w:line="240" w:lineRule="auto"/>
            </w:pPr>
            <w:r>
              <w:rPr>
                <w:rFonts w:ascii="Times New Roman" w:hAnsi="Times New Roman"/>
                <w:sz w:val="20"/>
              </w:rPr>
              <w:t>Continuous (dollars)</w:t>
            </w:r>
          </w:p>
        </w:tc>
        <w:tc>
          <w:tcPr>
            <w:tcW w:type="dxa" w:w="1728"/>
          </w:tcPr>
          <w:p>
            <w:pPr>
              <w:spacing w:line="240" w:lineRule="auto"/>
            </w:pPr>
            <w:r>
              <w:rPr>
                <w:rFonts w:ascii="Times New Roman" w:hAnsi="Times New Roman"/>
                <w:sz w:val="20"/>
              </w:rPr>
              <w:t>FPDS-NG via USAspending.gov</w:t>
            </w:r>
          </w:p>
        </w:tc>
      </w:tr>
      <w:tr>
        <w:tc>
          <w:tcPr>
            <w:tcW w:type="dxa" w:w="1728"/>
          </w:tcPr>
          <w:p>
            <w:pPr>
              <w:spacing w:line="240" w:lineRule="auto"/>
            </w:pPr>
            <w:r>
              <w:rPr>
                <w:rFonts w:ascii="Times New Roman" w:hAnsi="Times New Roman"/>
                <w:sz w:val="20"/>
              </w:rPr>
              <w:t>contract_type</w:t>
            </w:r>
          </w:p>
        </w:tc>
        <w:tc>
          <w:tcPr>
            <w:tcW w:type="dxa" w:w="1728"/>
          </w:tcPr>
          <w:p>
            <w:pPr>
              <w:spacing w:line="240" w:lineRule="auto"/>
            </w:pPr>
            <w:r>
              <w:rPr>
                <w:rFonts w:ascii="Times New Roman" w:hAnsi="Times New Roman"/>
                <w:sz w:val="20"/>
              </w:rPr>
              <w:t>type_of_contract_pricing</w:t>
            </w:r>
          </w:p>
        </w:tc>
        <w:tc>
          <w:tcPr>
            <w:tcW w:type="dxa" w:w="1728"/>
          </w:tcPr>
          <w:p>
            <w:pPr>
              <w:spacing w:line="240" w:lineRule="auto"/>
            </w:pPr>
            <w:r>
              <w:rPr>
                <w:rFonts w:ascii="Times New Roman" w:hAnsi="Times New Roman"/>
                <w:sz w:val="20"/>
              </w:rPr>
              <w:t>Categorical classification of the contract pricing arrangement. Grouped into four categories: FFP (firm-fixed-price, codes J and A), CPFF (cost-plus-fixed-fee, code T), T&amp;M (time-and-materials, code Z, and labor-hour, code 1), and Other (all remaining pricing types including cost-plus-incentive-fee, cost-plus-award-fee, fixed-price-incentive, and fixed-price-level-of-effort).</w:t>
            </w:r>
          </w:p>
        </w:tc>
        <w:tc>
          <w:tcPr>
            <w:tcW w:type="dxa" w:w="1728"/>
          </w:tcPr>
          <w:p>
            <w:pPr>
              <w:spacing w:line="240" w:lineRule="auto"/>
            </w:pPr>
            <w:r>
              <w:rPr>
                <w:rFonts w:ascii="Times New Roman" w:hAnsi="Times New Roman"/>
                <w:sz w:val="20"/>
              </w:rPr>
              <w:t>Categorical (4 levels)</w:t>
            </w:r>
          </w:p>
        </w:tc>
        <w:tc>
          <w:tcPr>
            <w:tcW w:type="dxa" w:w="1728"/>
          </w:tcPr>
          <w:p>
            <w:pPr>
              <w:spacing w:line="240" w:lineRule="auto"/>
            </w:pPr>
            <w:r>
              <w:rPr>
                <w:rFonts w:ascii="Times New Roman" w:hAnsi="Times New Roman"/>
                <w:sz w:val="20"/>
              </w:rPr>
              <w:t>FPDS-NG via USAspending.gov</w:t>
            </w:r>
          </w:p>
        </w:tc>
      </w:tr>
      <w:tr>
        <w:tc>
          <w:tcPr>
            <w:tcW w:type="dxa" w:w="1728"/>
          </w:tcPr>
          <w:p>
            <w:pPr>
              <w:spacing w:line="240" w:lineRule="auto"/>
            </w:pPr>
            <w:r>
              <w:rPr>
                <w:rFonts w:ascii="Times New Roman" w:hAnsi="Times New Roman"/>
                <w:sz w:val="20"/>
              </w:rPr>
              <w:t>naics_sector</w:t>
            </w:r>
          </w:p>
        </w:tc>
        <w:tc>
          <w:tcPr>
            <w:tcW w:type="dxa" w:w="1728"/>
          </w:tcPr>
          <w:p>
            <w:pPr>
              <w:spacing w:line="240" w:lineRule="auto"/>
            </w:pPr>
            <w:r>
              <w:rPr>
                <w:rFonts w:ascii="Times New Roman" w:hAnsi="Times New Roman"/>
                <w:sz w:val="20"/>
              </w:rPr>
              <w:t>naics_code</w:t>
            </w:r>
          </w:p>
        </w:tc>
        <w:tc>
          <w:tcPr>
            <w:tcW w:type="dxa" w:w="1728"/>
          </w:tcPr>
          <w:p>
            <w:pPr>
              <w:spacing w:line="240" w:lineRule="auto"/>
            </w:pPr>
            <w:r>
              <w:rPr>
                <w:rFonts w:ascii="Times New Roman" w:hAnsi="Times New Roman"/>
                <w:sz w:val="20"/>
              </w:rPr>
              <w:t>Categorical classification based on the 3-digit NAICS code prefix. Four categories: IT Services (NAICS 518xxx and 511xxx), Consulting (NAICS 5416xx and 5417xx), Other Professional (remaining NAICS 541xxx), Administrative Support (NAICS 561xxx).</w:t>
            </w:r>
          </w:p>
        </w:tc>
        <w:tc>
          <w:tcPr>
            <w:tcW w:type="dxa" w:w="1728"/>
          </w:tcPr>
          <w:p>
            <w:pPr>
              <w:spacing w:line="240" w:lineRule="auto"/>
            </w:pPr>
            <w:r>
              <w:rPr>
                <w:rFonts w:ascii="Times New Roman" w:hAnsi="Times New Roman"/>
                <w:sz w:val="20"/>
              </w:rPr>
              <w:t>Categorical (4 levels)</w:t>
            </w:r>
          </w:p>
        </w:tc>
        <w:tc>
          <w:tcPr>
            <w:tcW w:type="dxa" w:w="1728"/>
          </w:tcPr>
          <w:p>
            <w:pPr>
              <w:spacing w:line="240" w:lineRule="auto"/>
            </w:pPr>
            <w:r>
              <w:rPr>
                <w:rFonts w:ascii="Times New Roman" w:hAnsi="Times New Roman"/>
                <w:sz w:val="20"/>
              </w:rPr>
              <w:t>Derived from FPDS-NG</w:t>
            </w:r>
          </w:p>
        </w:tc>
      </w:tr>
      <w:tr>
        <w:tc>
          <w:tcPr>
            <w:tcW w:type="dxa" w:w="1728"/>
          </w:tcPr>
          <w:p>
            <w:pPr>
              <w:spacing w:line="240" w:lineRule="auto"/>
            </w:pPr>
            <w:r>
              <w:rPr>
                <w:rFonts w:ascii="Times New Roman" w:hAnsi="Times New Roman"/>
                <w:sz w:val="20"/>
              </w:rPr>
              <w:t>naics_code</w:t>
            </w:r>
          </w:p>
        </w:tc>
        <w:tc>
          <w:tcPr>
            <w:tcW w:type="dxa" w:w="1728"/>
          </w:tcPr>
          <w:p>
            <w:pPr>
              <w:spacing w:line="240" w:lineRule="auto"/>
            </w:pPr>
            <w:r>
              <w:rPr>
                <w:rFonts w:ascii="Times New Roman" w:hAnsi="Times New Roman"/>
                <w:sz w:val="20"/>
              </w:rPr>
              <w:t>naics_code</w:t>
            </w:r>
          </w:p>
        </w:tc>
        <w:tc>
          <w:tcPr>
            <w:tcW w:type="dxa" w:w="1728"/>
          </w:tcPr>
          <w:p>
            <w:pPr>
              <w:spacing w:line="240" w:lineRule="auto"/>
            </w:pPr>
            <w:r>
              <w:rPr>
                <w:rFonts w:ascii="Times New Roman" w:hAnsi="Times New Roman"/>
                <w:sz w:val="20"/>
              </w:rPr>
              <w:t>Full 6-digit North American Industry Classification System code identifying the product or service category of the contract. Used in fixed effects specifications and as a granular complexity proxy.</w:t>
            </w:r>
          </w:p>
        </w:tc>
        <w:tc>
          <w:tcPr>
            <w:tcW w:type="dxa" w:w="1728"/>
          </w:tcPr>
          <w:p>
            <w:pPr>
              <w:spacing w:line="240" w:lineRule="auto"/>
            </w:pPr>
            <w:r>
              <w:rPr>
                <w:rFonts w:ascii="Times New Roman" w:hAnsi="Times New Roman"/>
                <w:sz w:val="20"/>
              </w:rPr>
              <w:t>Categorical</w:t>
            </w:r>
          </w:p>
        </w:tc>
        <w:tc>
          <w:tcPr>
            <w:tcW w:type="dxa" w:w="1728"/>
          </w:tcPr>
          <w:p>
            <w:pPr>
              <w:spacing w:line="240" w:lineRule="auto"/>
            </w:pPr>
            <w:r>
              <w:rPr>
                <w:rFonts w:ascii="Times New Roman" w:hAnsi="Times New Roman"/>
                <w:sz w:val="20"/>
              </w:rPr>
              <w:t>FPDS-NG via USAspending.gov</w:t>
            </w:r>
          </w:p>
        </w:tc>
      </w:tr>
      <w:tr>
        <w:tc>
          <w:tcPr>
            <w:tcW w:type="dxa" w:w="1728"/>
          </w:tcPr>
          <w:p>
            <w:pPr>
              <w:spacing w:line="240" w:lineRule="auto"/>
            </w:pPr>
            <w:r>
              <w:rPr>
                <w:rFonts w:ascii="Times New Roman" w:hAnsi="Times New Roman"/>
                <w:sz w:val="20"/>
              </w:rPr>
              <w:t>psc_code</w:t>
            </w:r>
          </w:p>
        </w:tc>
        <w:tc>
          <w:tcPr>
            <w:tcW w:type="dxa" w:w="1728"/>
          </w:tcPr>
          <w:p>
            <w:pPr>
              <w:spacing w:line="240" w:lineRule="auto"/>
            </w:pPr>
            <w:r>
              <w:rPr>
                <w:rFonts w:ascii="Times New Roman" w:hAnsi="Times New Roman"/>
                <w:sz w:val="20"/>
              </w:rPr>
              <w:t>product_or_service_code</w:t>
            </w:r>
          </w:p>
        </w:tc>
        <w:tc>
          <w:tcPr>
            <w:tcW w:type="dxa" w:w="1728"/>
          </w:tcPr>
          <w:p>
            <w:pPr>
              <w:spacing w:line="240" w:lineRule="auto"/>
            </w:pPr>
            <w:r>
              <w:rPr>
                <w:rFonts w:ascii="Times New Roman" w:hAnsi="Times New Roman"/>
                <w:sz w:val="20"/>
              </w:rPr>
              <w:t>Product or Service Code identifying the type of supply or service. Used as an alternative classification to NAICS for robustness checks.</w:t>
            </w:r>
          </w:p>
        </w:tc>
        <w:tc>
          <w:tcPr>
            <w:tcW w:type="dxa" w:w="1728"/>
          </w:tcPr>
          <w:p>
            <w:pPr>
              <w:spacing w:line="240" w:lineRule="auto"/>
            </w:pPr>
            <w:r>
              <w:rPr>
                <w:rFonts w:ascii="Times New Roman" w:hAnsi="Times New Roman"/>
                <w:sz w:val="20"/>
              </w:rPr>
              <w:t>Categorical</w:t>
            </w:r>
          </w:p>
        </w:tc>
        <w:tc>
          <w:tcPr>
            <w:tcW w:type="dxa" w:w="1728"/>
          </w:tcPr>
          <w:p>
            <w:pPr>
              <w:spacing w:line="240" w:lineRule="auto"/>
            </w:pPr>
            <w:r>
              <w:rPr>
                <w:rFonts w:ascii="Times New Roman" w:hAnsi="Times New Roman"/>
                <w:sz w:val="20"/>
              </w:rPr>
              <w:t>FPDS-NG via USAspending.gov</w:t>
            </w:r>
          </w:p>
        </w:tc>
      </w:tr>
      <w:tr>
        <w:tc>
          <w:tcPr>
            <w:tcW w:type="dxa" w:w="1728"/>
          </w:tcPr>
          <w:p>
            <w:pPr>
              <w:spacing w:line="240" w:lineRule="auto"/>
            </w:pPr>
            <w:r>
              <w:rPr>
                <w:rFonts w:ascii="Times New Roman" w:hAnsi="Times New Roman"/>
                <w:sz w:val="20"/>
              </w:rPr>
              <w:t>idv_indicator</w:t>
            </w:r>
          </w:p>
        </w:tc>
        <w:tc>
          <w:tcPr>
            <w:tcW w:type="dxa" w:w="1728"/>
          </w:tcPr>
          <w:p>
            <w:pPr>
              <w:spacing w:line="240" w:lineRule="auto"/>
            </w:pPr>
            <w:r>
              <w:rPr>
                <w:rFonts w:ascii="Times New Roman" w:hAnsi="Times New Roman"/>
                <w:sz w:val="20"/>
              </w:rPr>
              <w:t>idv_type, award_id_parent_award_piid</w:t>
            </w:r>
          </w:p>
        </w:tc>
        <w:tc>
          <w:tcPr>
            <w:tcW w:type="dxa" w:w="1728"/>
          </w:tcPr>
          <w:p>
            <w:pPr>
              <w:spacing w:line="240" w:lineRule="auto"/>
            </w:pPr>
            <w:r>
              <w:rPr>
                <w:rFonts w:ascii="Times New Roman" w:hAnsi="Times New Roman"/>
                <w:sz w:val="20"/>
              </w:rPr>
              <w:t>Binary indicator equal to 1 if the award is a task order or delivery order issued under an indefinite-delivery vehicle (IDIQ, GWAC, BPA, or BOA); equal to 0 if the award is a standalone (definitive) contract. Determined by the presence of a non-null award_id_parent_award_piid or a non-null idv_type field.</w:t>
            </w:r>
          </w:p>
        </w:tc>
        <w:tc>
          <w:tcPr>
            <w:tcW w:type="dxa" w:w="1728"/>
          </w:tcPr>
          <w:p>
            <w:pPr>
              <w:spacing w:line="240" w:lineRule="auto"/>
            </w:pPr>
            <w:r>
              <w:rPr>
                <w:rFonts w:ascii="Times New Roman" w:hAnsi="Times New Roman"/>
                <w:sz w:val="20"/>
              </w:rPr>
              <w:t>Binary (0/1)</w:t>
            </w:r>
          </w:p>
        </w:tc>
        <w:tc>
          <w:tcPr>
            <w:tcW w:type="dxa" w:w="1728"/>
          </w:tcPr>
          <w:p>
            <w:pPr>
              <w:spacing w:line="240" w:lineRule="auto"/>
            </w:pPr>
            <w:r>
              <w:rPr>
                <w:rFonts w:ascii="Times New Roman" w:hAnsi="Times New Roman"/>
                <w:sz w:val="20"/>
              </w:rPr>
              <w:t>Derived from FPDS-NG</w:t>
            </w:r>
          </w:p>
        </w:tc>
      </w:tr>
      <w:tr>
        <w:tc>
          <w:tcPr>
            <w:tcW w:type="dxa" w:w="1728"/>
          </w:tcPr>
          <w:p>
            <w:pPr>
              <w:spacing w:line="240" w:lineRule="auto"/>
            </w:pPr>
            <w:r>
              <w:rPr>
                <w:rFonts w:ascii="Times New Roman" w:hAnsi="Times New Roman"/>
                <w:sz w:val="20"/>
              </w:rPr>
              <w:t>agency_code</w:t>
            </w:r>
          </w:p>
        </w:tc>
        <w:tc>
          <w:tcPr>
            <w:tcW w:type="dxa" w:w="1728"/>
          </w:tcPr>
          <w:p>
            <w:pPr>
              <w:spacing w:line="240" w:lineRule="auto"/>
            </w:pPr>
            <w:r>
              <w:rPr>
                <w:rFonts w:ascii="Times New Roman" w:hAnsi="Times New Roman"/>
                <w:sz w:val="20"/>
              </w:rPr>
              <w:t>awarding_agency_code</w:t>
            </w:r>
          </w:p>
        </w:tc>
        <w:tc>
          <w:tcPr>
            <w:tcW w:type="dxa" w:w="1728"/>
          </w:tcPr>
          <w:p>
            <w:pPr>
              <w:spacing w:line="240" w:lineRule="auto"/>
            </w:pPr>
            <w:r>
              <w:rPr>
                <w:rFonts w:ascii="Times New Roman" w:hAnsi="Times New Roman"/>
                <w:sz w:val="20"/>
              </w:rPr>
              <w:t>Numeric code identifying the federal agency that awarded the contract. Used to construct agency fixed effects that absorb time-invariant agency-specific factors (culture, workforce quality, mission complexity, risk tolerance).</w:t>
            </w:r>
          </w:p>
        </w:tc>
        <w:tc>
          <w:tcPr>
            <w:tcW w:type="dxa" w:w="1728"/>
          </w:tcPr>
          <w:p>
            <w:pPr>
              <w:spacing w:line="240" w:lineRule="auto"/>
            </w:pPr>
            <w:r>
              <w:rPr>
                <w:rFonts w:ascii="Times New Roman" w:hAnsi="Times New Roman"/>
                <w:sz w:val="20"/>
              </w:rPr>
              <w:t>Categorical</w:t>
            </w:r>
          </w:p>
        </w:tc>
        <w:tc>
          <w:tcPr>
            <w:tcW w:type="dxa" w:w="1728"/>
          </w:tcPr>
          <w:p>
            <w:pPr>
              <w:spacing w:line="240" w:lineRule="auto"/>
            </w:pPr>
            <w:r>
              <w:rPr>
                <w:rFonts w:ascii="Times New Roman" w:hAnsi="Times New Roman"/>
                <w:sz w:val="20"/>
              </w:rPr>
              <w:t>FPDS-NG via USAspending.gov</w:t>
            </w:r>
          </w:p>
        </w:tc>
      </w:tr>
      <w:tr>
        <w:tc>
          <w:tcPr>
            <w:tcW w:type="dxa" w:w="1728"/>
          </w:tcPr>
          <w:p>
            <w:pPr>
              <w:spacing w:line="240" w:lineRule="auto"/>
            </w:pPr>
            <w:r>
              <w:rPr>
                <w:rFonts w:ascii="Times New Roman" w:hAnsi="Times New Roman"/>
                <w:sz w:val="20"/>
              </w:rPr>
              <w:t>agency_name</w:t>
            </w:r>
          </w:p>
        </w:tc>
        <w:tc>
          <w:tcPr>
            <w:tcW w:type="dxa" w:w="1728"/>
          </w:tcPr>
          <w:p>
            <w:pPr>
              <w:spacing w:line="240" w:lineRule="auto"/>
            </w:pPr>
            <w:r>
              <w:rPr>
                <w:rFonts w:ascii="Times New Roman" w:hAnsi="Times New Roman"/>
                <w:sz w:val="20"/>
              </w:rPr>
              <w:t>awarding_agency_name</w:t>
            </w:r>
          </w:p>
        </w:tc>
        <w:tc>
          <w:tcPr>
            <w:tcW w:type="dxa" w:w="1728"/>
          </w:tcPr>
          <w:p>
            <w:pPr>
              <w:spacing w:line="240" w:lineRule="auto"/>
            </w:pPr>
            <w:r>
              <w:rPr>
                <w:rFonts w:ascii="Times New Roman" w:hAnsi="Times New Roman"/>
                <w:sz w:val="20"/>
              </w:rPr>
              <w:t>Name of the awarding agency. Used for labeling and descriptive reporting.</w:t>
            </w:r>
          </w:p>
        </w:tc>
        <w:tc>
          <w:tcPr>
            <w:tcW w:type="dxa" w:w="1728"/>
          </w:tcPr>
          <w:p>
            <w:pPr>
              <w:spacing w:line="240" w:lineRule="auto"/>
            </w:pPr>
            <w:r>
              <w:rPr>
                <w:rFonts w:ascii="Times New Roman" w:hAnsi="Times New Roman"/>
                <w:sz w:val="20"/>
              </w:rPr>
              <w:t>Text</w:t>
            </w:r>
          </w:p>
        </w:tc>
        <w:tc>
          <w:tcPr>
            <w:tcW w:type="dxa" w:w="1728"/>
          </w:tcPr>
          <w:p>
            <w:pPr>
              <w:spacing w:line="240" w:lineRule="auto"/>
            </w:pPr>
            <w:r>
              <w:rPr>
                <w:rFonts w:ascii="Times New Roman" w:hAnsi="Times New Roman"/>
                <w:sz w:val="20"/>
              </w:rPr>
              <w:t>FPDS-NG via USAspending.gov</w:t>
            </w:r>
          </w:p>
        </w:tc>
      </w:tr>
      <w:tr>
        <w:tc>
          <w:tcPr>
            <w:tcW w:type="dxa" w:w="1728"/>
          </w:tcPr>
          <w:p>
            <w:pPr>
              <w:spacing w:line="240" w:lineRule="auto"/>
            </w:pPr>
            <w:r>
              <w:rPr>
                <w:rFonts w:ascii="Times New Roman" w:hAnsi="Times New Roman"/>
                <w:sz w:val="20"/>
              </w:rPr>
              <w:t>sub_agency_code</w:t>
            </w:r>
          </w:p>
        </w:tc>
        <w:tc>
          <w:tcPr>
            <w:tcW w:type="dxa" w:w="1728"/>
          </w:tcPr>
          <w:p>
            <w:pPr>
              <w:spacing w:line="240" w:lineRule="auto"/>
            </w:pPr>
            <w:r>
              <w:rPr>
                <w:rFonts w:ascii="Times New Roman" w:hAnsi="Times New Roman"/>
                <w:sz w:val="20"/>
              </w:rPr>
              <w:t>awarding_sub_agency_code</w:t>
            </w:r>
          </w:p>
        </w:tc>
        <w:tc>
          <w:tcPr>
            <w:tcW w:type="dxa" w:w="1728"/>
          </w:tcPr>
          <w:p>
            <w:pPr>
              <w:spacing w:line="240" w:lineRule="auto"/>
            </w:pPr>
            <w:r>
              <w:rPr>
                <w:rFonts w:ascii="Times New Roman" w:hAnsi="Times New Roman"/>
                <w:sz w:val="20"/>
              </w:rPr>
              <w:t>Numeric code identifying the sub-agency or bureau that awarded the contract. Used for more granular fixed effects in robustness checks.</w:t>
            </w:r>
          </w:p>
        </w:tc>
        <w:tc>
          <w:tcPr>
            <w:tcW w:type="dxa" w:w="1728"/>
          </w:tcPr>
          <w:p>
            <w:pPr>
              <w:spacing w:line="240" w:lineRule="auto"/>
            </w:pPr>
            <w:r>
              <w:rPr>
                <w:rFonts w:ascii="Times New Roman" w:hAnsi="Times New Roman"/>
                <w:sz w:val="20"/>
              </w:rPr>
              <w:t>Categorical</w:t>
            </w:r>
          </w:p>
        </w:tc>
        <w:tc>
          <w:tcPr>
            <w:tcW w:type="dxa" w:w="1728"/>
          </w:tcPr>
          <w:p>
            <w:pPr>
              <w:spacing w:line="240" w:lineRule="auto"/>
            </w:pPr>
            <w:r>
              <w:rPr>
                <w:rFonts w:ascii="Times New Roman" w:hAnsi="Times New Roman"/>
                <w:sz w:val="20"/>
              </w:rPr>
              <w:t>FPDS-NG via USAspending.gov</w:t>
            </w:r>
          </w:p>
        </w:tc>
      </w:tr>
      <w:tr>
        <w:tc>
          <w:tcPr>
            <w:tcW w:type="dxa" w:w="1728"/>
          </w:tcPr>
          <w:p>
            <w:pPr>
              <w:spacing w:line="240" w:lineRule="auto"/>
            </w:pPr>
            <w:r>
              <w:rPr>
                <w:rFonts w:ascii="Times New Roman" w:hAnsi="Times New Roman"/>
                <w:sz w:val="20"/>
              </w:rPr>
              <w:t>fiscal_year</w:t>
            </w:r>
          </w:p>
        </w:tc>
        <w:tc>
          <w:tcPr>
            <w:tcW w:type="dxa" w:w="1728"/>
          </w:tcPr>
          <w:p>
            <w:pPr>
              <w:spacing w:line="240" w:lineRule="auto"/>
            </w:pPr>
            <w:r>
              <w:rPr>
                <w:rFonts w:ascii="Times New Roman" w:hAnsi="Times New Roman"/>
                <w:sz w:val="20"/>
              </w:rPr>
              <w:t>Derived from action_date</w:t>
            </w:r>
          </w:p>
        </w:tc>
        <w:tc>
          <w:tcPr>
            <w:tcW w:type="dxa" w:w="1728"/>
          </w:tcPr>
          <w:p>
            <w:pPr>
              <w:spacing w:line="240" w:lineRule="auto"/>
            </w:pPr>
            <w:r>
              <w:rPr>
                <w:rFonts w:ascii="Times New Roman" w:hAnsi="Times New Roman"/>
                <w:sz w:val="20"/>
              </w:rPr>
              <w:t>Federal fiscal year of the initial award action. Federal fiscal years run from October 1 through September 30 (e.g., FY2024 runs from October 1, 2023, through September 30, 2024). Used to construct fiscal year fixed effects.</w:t>
            </w:r>
          </w:p>
        </w:tc>
        <w:tc>
          <w:tcPr>
            <w:tcW w:type="dxa" w:w="1728"/>
          </w:tcPr>
          <w:p>
            <w:pPr>
              <w:spacing w:line="240" w:lineRule="auto"/>
            </w:pPr>
            <w:r>
              <w:rPr>
                <w:rFonts w:ascii="Times New Roman" w:hAnsi="Times New Roman"/>
                <w:sz w:val="20"/>
              </w:rPr>
              <w:t>Categorical (ordinal)</w:t>
            </w:r>
          </w:p>
        </w:tc>
        <w:tc>
          <w:tcPr>
            <w:tcW w:type="dxa" w:w="1728"/>
          </w:tcPr>
          <w:p>
            <w:pPr>
              <w:spacing w:line="240" w:lineRule="auto"/>
            </w:pPr>
            <w:r>
              <w:rPr>
                <w:rFonts w:ascii="Times New Roman" w:hAnsi="Times New Roman"/>
                <w:sz w:val="20"/>
              </w:rPr>
              <w:t>Derived from FPDS-NG</w:t>
            </w:r>
          </w:p>
        </w:tc>
      </w:tr>
      <w:tr>
        <w:tc>
          <w:tcPr>
            <w:tcW w:type="dxa" w:w="1728"/>
          </w:tcPr>
          <w:p>
            <w:pPr>
              <w:spacing w:line="240" w:lineRule="auto"/>
            </w:pPr>
            <w:r>
              <w:rPr>
                <w:rFonts w:ascii="Times New Roman" w:hAnsi="Times New Roman"/>
                <w:sz w:val="20"/>
              </w:rPr>
              <w:t>set_aside_type</w:t>
            </w:r>
          </w:p>
        </w:tc>
        <w:tc>
          <w:tcPr>
            <w:tcW w:type="dxa" w:w="1728"/>
          </w:tcPr>
          <w:p>
            <w:pPr>
              <w:spacing w:line="240" w:lineRule="auto"/>
            </w:pPr>
            <w:r>
              <w:rPr>
                <w:rFonts w:ascii="Times New Roman" w:hAnsi="Times New Roman"/>
                <w:sz w:val="20"/>
              </w:rPr>
              <w:t>type_of_set_aside</w:t>
            </w:r>
          </w:p>
        </w:tc>
        <w:tc>
          <w:tcPr>
            <w:tcW w:type="dxa" w:w="1728"/>
          </w:tcPr>
          <w:p>
            <w:pPr>
              <w:spacing w:line="240" w:lineRule="auto"/>
            </w:pPr>
            <w:r>
              <w:rPr>
                <w:rFonts w:ascii="Times New Roman" w:hAnsi="Times New Roman"/>
                <w:sz w:val="20"/>
              </w:rPr>
              <w:t>Categorical classification of the socioeconomic set-aside status of the procurement. Categories: Unrestricted (no set-aside), Small Business (general SB set-aside), 8(a) (8(a) Business Development Program), HUBZone (Historically Underutilized Business Zone), SDVOSB (Service-Disabled Veteran-Owned Small Business), WOSB (Women-Owned Small Business), Other (all remaining set-aside types).</w:t>
            </w:r>
          </w:p>
        </w:tc>
        <w:tc>
          <w:tcPr>
            <w:tcW w:type="dxa" w:w="1728"/>
          </w:tcPr>
          <w:p>
            <w:pPr>
              <w:spacing w:line="240" w:lineRule="auto"/>
            </w:pPr>
            <w:r>
              <w:rPr>
                <w:rFonts w:ascii="Times New Roman" w:hAnsi="Times New Roman"/>
                <w:sz w:val="20"/>
              </w:rPr>
              <w:t>Categorical (7 levels)</w:t>
            </w:r>
          </w:p>
        </w:tc>
        <w:tc>
          <w:tcPr>
            <w:tcW w:type="dxa" w:w="1728"/>
          </w:tcPr>
          <w:p>
            <w:pPr>
              <w:spacing w:line="240" w:lineRule="auto"/>
            </w:pPr>
            <w:r>
              <w:rPr>
                <w:rFonts w:ascii="Times New Roman" w:hAnsi="Times New Roman"/>
                <w:sz w:val="20"/>
              </w:rPr>
              <w:t>FPDS-NG via USAspending.gov</w:t>
            </w:r>
          </w:p>
        </w:tc>
      </w:tr>
      <w:tr>
        <w:tc>
          <w:tcPr>
            <w:tcW w:type="dxa" w:w="1728"/>
          </w:tcPr>
          <w:p>
            <w:pPr>
              <w:spacing w:line="240" w:lineRule="auto"/>
            </w:pPr>
            <w:r>
              <w:rPr>
                <w:rFonts w:ascii="Times New Roman" w:hAnsi="Times New Roman"/>
                <w:sz w:val="20"/>
              </w:rPr>
              <w:t>contract_duration_months</w:t>
            </w:r>
          </w:p>
        </w:tc>
        <w:tc>
          <w:tcPr>
            <w:tcW w:type="dxa" w:w="1728"/>
          </w:tcPr>
          <w:p>
            <w:pPr>
              <w:spacing w:line="240" w:lineRule="auto"/>
            </w:pPr>
            <w:r>
              <w:rPr>
                <w:rFonts w:ascii="Times New Roman" w:hAnsi="Times New Roman"/>
                <w:sz w:val="20"/>
              </w:rPr>
              <w:t>period_of_performance_start_date, period_of_performance_current_end_date</w:t>
            </w:r>
          </w:p>
        </w:tc>
        <w:tc>
          <w:tcPr>
            <w:tcW w:type="dxa" w:w="1728"/>
          </w:tcPr>
          <w:p>
            <w:pPr>
              <w:spacing w:line="240" w:lineRule="auto"/>
            </w:pPr>
            <w:r>
              <w:rPr>
                <w:rFonts w:ascii="Times New Roman" w:hAnsi="Times New Roman"/>
                <w:sz w:val="20"/>
              </w:rPr>
              <w:t>Duration of the contract period of performance in months, calculated as the difference between the current period of performance end date and the period of performance start date. Used as an exposure offset in negative binomial models for modification count and as a control variable in OLS models.</w:t>
            </w:r>
          </w:p>
        </w:tc>
        <w:tc>
          <w:tcPr>
            <w:tcW w:type="dxa" w:w="1728"/>
          </w:tcPr>
          <w:p>
            <w:pPr>
              <w:spacing w:line="240" w:lineRule="auto"/>
            </w:pPr>
            <w:r>
              <w:rPr>
                <w:rFonts w:ascii="Times New Roman" w:hAnsi="Times New Roman"/>
                <w:sz w:val="20"/>
              </w:rPr>
              <w:t>Continuous (months)</w:t>
            </w:r>
          </w:p>
        </w:tc>
        <w:tc>
          <w:tcPr>
            <w:tcW w:type="dxa" w:w="1728"/>
          </w:tcPr>
          <w:p>
            <w:pPr>
              <w:spacing w:line="240" w:lineRule="auto"/>
            </w:pPr>
            <w:r>
              <w:rPr>
                <w:rFonts w:ascii="Times New Roman" w:hAnsi="Times New Roman"/>
                <w:sz w:val="20"/>
              </w:rPr>
              <w:t>Derived from FPDS-NG</w:t>
            </w:r>
          </w:p>
        </w:tc>
      </w:tr>
      <w:tr>
        <w:tc>
          <w:tcPr>
            <w:tcW w:type="dxa" w:w="1728"/>
          </w:tcPr>
          <w:p>
            <w:pPr>
              <w:spacing w:line="240" w:lineRule="auto"/>
            </w:pPr>
            <w:r>
              <w:rPr>
                <w:rFonts w:ascii="Times New Roman" w:hAnsi="Times New Roman"/>
                <w:sz w:val="20"/>
              </w:rPr>
              <w:t>dod_indicator</w:t>
            </w:r>
          </w:p>
        </w:tc>
        <w:tc>
          <w:tcPr>
            <w:tcW w:type="dxa" w:w="1728"/>
          </w:tcPr>
          <w:p>
            <w:pPr>
              <w:spacing w:line="240" w:lineRule="auto"/>
            </w:pPr>
            <w:r>
              <w:rPr>
                <w:rFonts w:ascii="Times New Roman" w:hAnsi="Times New Roman"/>
                <w:sz w:val="20"/>
              </w:rPr>
              <w:t>awarding_agency_code</w:t>
            </w:r>
          </w:p>
        </w:tc>
        <w:tc>
          <w:tcPr>
            <w:tcW w:type="dxa" w:w="1728"/>
          </w:tcPr>
          <w:p>
            <w:pPr>
              <w:spacing w:line="240" w:lineRule="auto"/>
            </w:pPr>
            <w:r>
              <w:rPr>
                <w:rFonts w:ascii="Times New Roman" w:hAnsi="Times New Roman"/>
                <w:sz w:val="20"/>
              </w:rPr>
              <w:t>Binary indicator equal to 1 if the awarding agency is a Department of Defense component (Army, Navy, Air Force, or other defense agency); equal to 0 for civilian agencies. Used in subsample analyses comparing DoD and civilian procurement.</w:t>
            </w:r>
          </w:p>
        </w:tc>
        <w:tc>
          <w:tcPr>
            <w:tcW w:type="dxa" w:w="1728"/>
          </w:tcPr>
          <w:p>
            <w:pPr>
              <w:spacing w:line="240" w:lineRule="auto"/>
            </w:pPr>
            <w:r>
              <w:rPr>
                <w:rFonts w:ascii="Times New Roman" w:hAnsi="Times New Roman"/>
                <w:sz w:val="20"/>
              </w:rPr>
              <w:t>Binary (0/1)</w:t>
            </w:r>
          </w:p>
        </w:tc>
        <w:tc>
          <w:tcPr>
            <w:tcW w:type="dxa" w:w="1728"/>
          </w:tcPr>
          <w:p>
            <w:pPr>
              <w:spacing w:line="240" w:lineRule="auto"/>
            </w:pPr>
            <w:r>
              <w:rPr>
                <w:rFonts w:ascii="Times New Roman" w:hAnsi="Times New Roman"/>
                <w:sz w:val="20"/>
              </w:rPr>
              <w:t>Derived from FPDS-NG</w:t>
            </w:r>
          </w:p>
        </w:tc>
      </w:tr>
    </w:tbl>
    <w:p>
      <w:pPr>
        <w:pStyle w:val="Heading3"/>
      </w:pPr>
      <w:r>
        <w:rPr>
          <w:rFonts w:ascii="Times New Roman" w:hAnsi="Times New Roman"/>
          <w:color w:val="000000"/>
        </w:rPr>
        <w:t>A.5 Moderating Variables</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pPr>
              <w:spacing w:line="240" w:lineRule="auto"/>
            </w:pPr>
            <w:r>
              <w:rPr>
                <w:rFonts w:ascii="Times New Roman" w:hAnsi="Times New Roman"/>
                <w:b/>
                <w:sz w:val="20"/>
              </w:rPr>
              <w:t>Variable Name</w:t>
            </w:r>
          </w:p>
        </w:tc>
        <w:tc>
          <w:tcPr>
            <w:tcW w:type="dxa" w:w="1728"/>
          </w:tcPr>
          <w:p>
            <w:pPr>
              <w:spacing w:line="240" w:lineRule="auto"/>
            </w:pPr>
            <w:r>
              <w:rPr>
                <w:rFonts w:ascii="Times New Roman" w:hAnsi="Times New Roman"/>
                <w:b/>
                <w:sz w:val="20"/>
              </w:rPr>
              <w:t>FPDS/USAspending Field(s)</w:t>
            </w:r>
          </w:p>
        </w:tc>
        <w:tc>
          <w:tcPr>
            <w:tcW w:type="dxa" w:w="1728"/>
          </w:tcPr>
          <w:p>
            <w:pPr>
              <w:spacing w:line="240" w:lineRule="auto"/>
            </w:pPr>
            <w:r>
              <w:rPr>
                <w:rFonts w:ascii="Times New Roman" w:hAnsi="Times New Roman"/>
                <w:b/>
                <w:sz w:val="20"/>
              </w:rPr>
              <w:t>Definition</w:t>
            </w:r>
          </w:p>
        </w:tc>
        <w:tc>
          <w:tcPr>
            <w:tcW w:type="dxa" w:w="1728"/>
          </w:tcPr>
          <w:p>
            <w:pPr>
              <w:spacing w:line="240" w:lineRule="auto"/>
            </w:pPr>
            <w:r>
              <w:rPr>
                <w:rFonts w:ascii="Times New Roman" w:hAnsi="Times New Roman"/>
                <w:b/>
                <w:sz w:val="20"/>
              </w:rPr>
              <w:t>Measurement Type</w:t>
            </w:r>
          </w:p>
        </w:tc>
        <w:tc>
          <w:tcPr>
            <w:tcW w:type="dxa" w:w="1728"/>
          </w:tcPr>
          <w:p>
            <w:pPr>
              <w:spacing w:line="240" w:lineRule="auto"/>
            </w:pPr>
            <w:r>
              <w:rPr>
                <w:rFonts w:ascii="Times New Roman" w:hAnsi="Times New Roman"/>
                <w:b/>
                <w:sz w:val="20"/>
              </w:rPr>
              <w:t>Source</w:t>
            </w:r>
          </w:p>
        </w:tc>
      </w:tr>
      <w:tr>
        <w:tc>
          <w:tcPr>
            <w:tcW w:type="dxa" w:w="1728"/>
          </w:tcPr>
          <w:p>
            <w:pPr>
              <w:spacing w:line="240" w:lineRule="auto"/>
            </w:pPr>
            <w:r>
              <w:rPr>
                <w:rFonts w:ascii="Times New Roman" w:hAnsi="Times New Roman"/>
                <w:sz w:val="20"/>
              </w:rPr>
              <w:t>complexity_proxy</w:t>
            </w:r>
          </w:p>
        </w:tc>
        <w:tc>
          <w:tcPr>
            <w:tcW w:type="dxa" w:w="1728"/>
          </w:tcPr>
          <w:p>
            <w:pPr>
              <w:spacing w:line="240" w:lineRule="auto"/>
            </w:pPr>
            <w:r>
              <w:rPr>
                <w:rFonts w:ascii="Times New Roman" w:hAnsi="Times New Roman"/>
                <w:sz w:val="20"/>
              </w:rPr>
              <w:t>Derived from naics_sector and contract_type</w:t>
            </w:r>
          </w:p>
        </w:tc>
        <w:tc>
          <w:tcPr>
            <w:tcW w:type="dxa" w:w="1728"/>
          </w:tcPr>
          <w:p>
            <w:pPr>
              <w:spacing w:line="240" w:lineRule="auto"/>
            </w:pPr>
            <w:r>
              <w:rPr>
                <w:rFonts w:ascii="Times New Roman" w:hAnsi="Times New Roman"/>
                <w:sz w:val="20"/>
              </w:rPr>
              <w:t>Ordinal measure of procurement complexity. Constructed by crossing NAICS sector with contract type: IT Services + cost-type = highest complexity; Administrative Support + FFP = lowest complexity. Used to test interaction effects with source selection method.</w:t>
            </w:r>
          </w:p>
        </w:tc>
        <w:tc>
          <w:tcPr>
            <w:tcW w:type="dxa" w:w="1728"/>
          </w:tcPr>
          <w:p>
            <w:pPr>
              <w:spacing w:line="240" w:lineRule="auto"/>
            </w:pPr>
            <w:r>
              <w:rPr>
                <w:rFonts w:ascii="Times New Roman" w:hAnsi="Times New Roman"/>
                <w:sz w:val="20"/>
              </w:rPr>
              <w:t>Ordinal (3 levels: low, medium, high)</w:t>
            </w:r>
          </w:p>
        </w:tc>
        <w:tc>
          <w:tcPr>
            <w:tcW w:type="dxa" w:w="1728"/>
          </w:tcPr>
          <w:p>
            <w:pPr>
              <w:spacing w:line="240" w:lineRule="auto"/>
            </w:pPr>
            <w:r>
              <w:rPr>
                <w:rFonts w:ascii="Times New Roman" w:hAnsi="Times New Roman"/>
                <w:sz w:val="20"/>
              </w:rPr>
              <w:t>Derived</w:t>
            </w:r>
          </w:p>
        </w:tc>
      </w:tr>
      <w:tr>
        <w:tc>
          <w:tcPr>
            <w:tcW w:type="dxa" w:w="1728"/>
          </w:tcPr>
          <w:p>
            <w:pPr>
              <w:spacing w:line="240" w:lineRule="auto"/>
            </w:pPr>
            <w:r>
              <w:rPr>
                <w:rFonts w:ascii="Times New Roman" w:hAnsi="Times New Roman"/>
                <w:sz w:val="20"/>
              </w:rPr>
              <w:t>agency_procurement_volume</w:t>
            </w:r>
          </w:p>
        </w:tc>
        <w:tc>
          <w:tcPr>
            <w:tcW w:type="dxa" w:w="1728"/>
          </w:tcPr>
          <w:p>
            <w:pPr>
              <w:spacing w:line="240" w:lineRule="auto"/>
            </w:pPr>
            <w:r>
              <w:rPr>
                <w:rFonts w:ascii="Times New Roman" w:hAnsi="Times New Roman"/>
                <w:sz w:val="20"/>
              </w:rPr>
              <w:t>Aggregated from federal_action_obligation</w:t>
            </w:r>
          </w:p>
        </w:tc>
        <w:tc>
          <w:tcPr>
            <w:tcW w:type="dxa" w:w="1728"/>
          </w:tcPr>
          <w:p>
            <w:pPr>
              <w:spacing w:line="240" w:lineRule="auto"/>
            </w:pPr>
            <w:r>
              <w:rPr>
                <w:rFonts w:ascii="Times New Roman" w:hAnsi="Times New Roman"/>
                <w:sz w:val="20"/>
              </w:rPr>
              <w:t>Total dollar value of the agency's annual competitive procurement obligations in the study NAICS sectors. Serves as a proxy for agency procurement capacity and expertise. Agencies with higher procurement volume are expected to have more experienced acquisition workforces.</w:t>
            </w:r>
          </w:p>
        </w:tc>
        <w:tc>
          <w:tcPr>
            <w:tcW w:type="dxa" w:w="1728"/>
          </w:tcPr>
          <w:p>
            <w:pPr>
              <w:spacing w:line="240" w:lineRule="auto"/>
            </w:pPr>
            <w:r>
              <w:rPr>
                <w:rFonts w:ascii="Times New Roman" w:hAnsi="Times New Roman"/>
                <w:sz w:val="20"/>
              </w:rPr>
              <w:t>Continuous (dollars, logged)</w:t>
            </w:r>
          </w:p>
        </w:tc>
        <w:tc>
          <w:tcPr>
            <w:tcW w:type="dxa" w:w="1728"/>
          </w:tcPr>
          <w:p>
            <w:pPr>
              <w:spacing w:line="240" w:lineRule="auto"/>
            </w:pPr>
            <w:r>
              <w:rPr>
                <w:rFonts w:ascii="Times New Roman" w:hAnsi="Times New Roman"/>
                <w:sz w:val="20"/>
              </w:rPr>
              <w:t>Derived from FPDS-NG</w:t>
            </w:r>
          </w:p>
        </w:tc>
      </w:tr>
    </w:tbl>
    <w:p>
      <w:pPr>
        <w:pStyle w:val="Heading3"/>
      </w:pPr>
      <w:r>
        <w:rPr>
          <w:rFonts w:ascii="Times New Roman" w:hAnsi="Times New Roman"/>
          <w:color w:val="000000"/>
        </w:rPr>
        <w:t>A.6 Propensity Score and Matching Variables</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pPr>
              <w:spacing w:line="240" w:lineRule="auto"/>
            </w:pPr>
            <w:r>
              <w:rPr>
                <w:rFonts w:ascii="Times New Roman" w:hAnsi="Times New Roman"/>
                <w:b/>
                <w:sz w:val="20"/>
              </w:rPr>
              <w:t>Variable Name</w:t>
            </w:r>
          </w:p>
        </w:tc>
        <w:tc>
          <w:tcPr>
            <w:tcW w:type="dxa" w:w="2160"/>
          </w:tcPr>
          <w:p>
            <w:pPr>
              <w:spacing w:line="240" w:lineRule="auto"/>
            </w:pPr>
            <w:r>
              <w:rPr>
                <w:rFonts w:ascii="Times New Roman" w:hAnsi="Times New Roman"/>
                <w:b/>
                <w:sz w:val="20"/>
              </w:rPr>
              <w:t>Definition</w:t>
            </w:r>
          </w:p>
        </w:tc>
        <w:tc>
          <w:tcPr>
            <w:tcW w:type="dxa" w:w="2160"/>
          </w:tcPr>
          <w:p>
            <w:pPr>
              <w:spacing w:line="240" w:lineRule="auto"/>
            </w:pPr>
            <w:r>
              <w:rPr>
                <w:rFonts w:ascii="Times New Roman" w:hAnsi="Times New Roman"/>
                <w:b/>
                <w:sz w:val="20"/>
              </w:rPr>
              <w:t>Measurement Type</w:t>
            </w:r>
          </w:p>
        </w:tc>
        <w:tc>
          <w:tcPr>
            <w:tcW w:type="dxa" w:w="2160"/>
          </w:tcPr>
          <w:p>
            <w:pPr>
              <w:spacing w:line="240" w:lineRule="auto"/>
            </w:pPr>
            <w:r>
              <w:rPr>
                <w:rFonts w:ascii="Times New Roman" w:hAnsi="Times New Roman"/>
                <w:b/>
                <w:sz w:val="20"/>
              </w:rPr>
              <w:t>Source</w:t>
            </w:r>
          </w:p>
        </w:tc>
      </w:tr>
      <w:tr>
        <w:tc>
          <w:tcPr>
            <w:tcW w:type="dxa" w:w="2160"/>
          </w:tcPr>
          <w:p>
            <w:pPr>
              <w:spacing w:line="240" w:lineRule="auto"/>
            </w:pPr>
            <w:r>
              <w:rPr>
                <w:rFonts w:ascii="Times New Roman" w:hAnsi="Times New Roman"/>
                <w:sz w:val="20"/>
              </w:rPr>
              <w:t>pscore</w:t>
            </w:r>
          </w:p>
        </w:tc>
        <w:tc>
          <w:tcPr>
            <w:tcW w:type="dxa" w:w="2160"/>
          </w:tcPr>
          <w:p>
            <w:pPr>
              <w:spacing w:line="240" w:lineRule="auto"/>
            </w:pPr>
            <w:r>
              <w:rPr>
                <w:rFonts w:ascii="Times New Roman" w:hAnsi="Times New Roman"/>
                <w:sz w:val="20"/>
              </w:rPr>
              <w:t>Estimated propensity score: the predicted probability of receiving tradeoff source selection, conditional on observed covariates. Estimated via logistic regression with covariates: log_award_amount, naics_sector, agency_code, fiscal_year, contract_type, idv_indicator, set_aside_type.</w:t>
            </w:r>
          </w:p>
        </w:tc>
        <w:tc>
          <w:tcPr>
            <w:tcW w:type="dxa" w:w="2160"/>
          </w:tcPr>
          <w:p>
            <w:pPr>
              <w:spacing w:line="240" w:lineRule="auto"/>
            </w:pPr>
            <w:r>
              <w:rPr>
                <w:rFonts w:ascii="Times New Roman" w:hAnsi="Times New Roman"/>
                <w:sz w:val="20"/>
              </w:rPr>
              <w:t>Continuous (0, 1)</w:t>
            </w:r>
          </w:p>
        </w:tc>
        <w:tc>
          <w:tcPr>
            <w:tcW w:type="dxa" w:w="2160"/>
          </w:tcPr>
          <w:p>
            <w:pPr>
              <w:spacing w:line="240" w:lineRule="auto"/>
            </w:pPr>
            <w:r>
              <w:rPr>
                <w:rFonts w:ascii="Times New Roman" w:hAnsi="Times New Roman"/>
                <w:sz w:val="20"/>
              </w:rPr>
              <w:t>Derived</w:t>
            </w:r>
          </w:p>
        </w:tc>
      </w:tr>
      <w:tr>
        <w:tc>
          <w:tcPr>
            <w:tcW w:type="dxa" w:w="2160"/>
          </w:tcPr>
          <w:p>
            <w:pPr>
              <w:spacing w:line="240" w:lineRule="auto"/>
            </w:pPr>
            <w:r>
              <w:rPr>
                <w:rFonts w:ascii="Times New Roman" w:hAnsi="Times New Roman"/>
                <w:sz w:val="20"/>
              </w:rPr>
              <w:t>pscore_logit</w:t>
            </w:r>
          </w:p>
        </w:tc>
        <w:tc>
          <w:tcPr>
            <w:tcW w:type="dxa" w:w="2160"/>
          </w:tcPr>
          <w:p>
            <w:pPr>
              <w:spacing w:line="240" w:lineRule="auto"/>
            </w:pPr>
            <w:r>
              <w:rPr>
                <w:rFonts w:ascii="Times New Roman" w:hAnsi="Times New Roman"/>
                <w:sz w:val="20"/>
              </w:rPr>
              <w:t>Logit transformation of the propensity score: ln(pscore / (1 - pscore)). Used for caliper matching on the logit scale.</w:t>
            </w:r>
          </w:p>
        </w:tc>
        <w:tc>
          <w:tcPr>
            <w:tcW w:type="dxa" w:w="2160"/>
          </w:tcPr>
          <w:p>
            <w:pPr>
              <w:spacing w:line="240" w:lineRule="auto"/>
            </w:pPr>
            <w:r>
              <w:rPr>
                <w:rFonts w:ascii="Times New Roman" w:hAnsi="Times New Roman"/>
                <w:sz w:val="20"/>
              </w:rPr>
              <w:t>Continuous</w:t>
            </w:r>
          </w:p>
        </w:tc>
        <w:tc>
          <w:tcPr>
            <w:tcW w:type="dxa" w:w="2160"/>
          </w:tcPr>
          <w:p>
            <w:pPr>
              <w:spacing w:line="240" w:lineRule="auto"/>
            </w:pPr>
            <w:r>
              <w:rPr>
                <w:rFonts w:ascii="Times New Roman" w:hAnsi="Times New Roman"/>
                <w:sz w:val="20"/>
              </w:rPr>
              <w:t>Derived</w:t>
            </w:r>
          </w:p>
        </w:tc>
      </w:tr>
      <w:tr>
        <w:tc>
          <w:tcPr>
            <w:tcW w:type="dxa" w:w="2160"/>
          </w:tcPr>
          <w:p>
            <w:pPr>
              <w:spacing w:line="240" w:lineRule="auto"/>
            </w:pPr>
            <w:r>
              <w:rPr>
                <w:rFonts w:ascii="Times New Roman" w:hAnsi="Times New Roman"/>
                <w:sz w:val="20"/>
              </w:rPr>
              <w:t>matched</w:t>
            </w:r>
          </w:p>
        </w:tc>
        <w:tc>
          <w:tcPr>
            <w:tcW w:type="dxa" w:w="2160"/>
          </w:tcPr>
          <w:p>
            <w:pPr>
              <w:spacing w:line="240" w:lineRule="auto"/>
            </w:pPr>
            <w:r>
              <w:rPr>
                <w:rFonts w:ascii="Times New Roman" w:hAnsi="Times New Roman"/>
                <w:sz w:val="20"/>
              </w:rPr>
              <w:t>Binary indicator equal to 1 if the observation is included in the propensity-score-matched sample; equal to 0 if excluded due to lack of a suitable match within the caliper.</w:t>
            </w:r>
          </w:p>
        </w:tc>
        <w:tc>
          <w:tcPr>
            <w:tcW w:type="dxa" w:w="2160"/>
          </w:tcPr>
          <w:p>
            <w:pPr>
              <w:spacing w:line="240" w:lineRule="auto"/>
            </w:pPr>
            <w:r>
              <w:rPr>
                <w:rFonts w:ascii="Times New Roman" w:hAnsi="Times New Roman"/>
                <w:sz w:val="20"/>
              </w:rPr>
              <w:t>Binary (0/1)</w:t>
            </w:r>
          </w:p>
        </w:tc>
        <w:tc>
          <w:tcPr>
            <w:tcW w:type="dxa" w:w="2160"/>
          </w:tcPr>
          <w:p>
            <w:pPr>
              <w:spacing w:line="240" w:lineRule="auto"/>
            </w:pPr>
            <w:r>
              <w:rPr>
                <w:rFonts w:ascii="Times New Roman" w:hAnsi="Times New Roman"/>
                <w:sz w:val="20"/>
              </w:rPr>
              <w:t>Derived</w:t>
            </w:r>
          </w:p>
        </w:tc>
      </w:tr>
      <w:tr>
        <w:tc>
          <w:tcPr>
            <w:tcW w:type="dxa" w:w="2160"/>
          </w:tcPr>
          <w:p>
            <w:pPr>
              <w:spacing w:line="240" w:lineRule="auto"/>
            </w:pPr>
            <w:r>
              <w:rPr>
                <w:rFonts w:ascii="Times New Roman" w:hAnsi="Times New Roman"/>
                <w:sz w:val="20"/>
              </w:rPr>
              <w:t>match_id</w:t>
            </w:r>
          </w:p>
        </w:tc>
        <w:tc>
          <w:tcPr>
            <w:tcW w:type="dxa" w:w="2160"/>
          </w:tcPr>
          <w:p>
            <w:pPr>
              <w:spacing w:line="240" w:lineRule="auto"/>
            </w:pPr>
            <w:r>
              <w:rPr>
                <w:rFonts w:ascii="Times New Roman" w:hAnsi="Times New Roman"/>
                <w:sz w:val="20"/>
              </w:rPr>
              <w:t>Identifier linking each treated (tradeoff) observation to its matched control (LPTA) observation in the nearest-neighbor matched sample.</w:t>
            </w:r>
          </w:p>
        </w:tc>
        <w:tc>
          <w:tcPr>
            <w:tcW w:type="dxa" w:w="2160"/>
          </w:tcPr>
          <w:p>
            <w:pPr>
              <w:spacing w:line="240" w:lineRule="auto"/>
            </w:pPr>
            <w:r>
              <w:rPr>
                <w:rFonts w:ascii="Times New Roman" w:hAnsi="Times New Roman"/>
                <w:sz w:val="20"/>
              </w:rPr>
              <w:t>Integer</w:t>
            </w:r>
          </w:p>
        </w:tc>
        <w:tc>
          <w:tcPr>
            <w:tcW w:type="dxa" w:w="2160"/>
          </w:tcPr>
          <w:p>
            <w:pPr>
              <w:spacing w:line="240" w:lineRule="auto"/>
            </w:pPr>
            <w:r>
              <w:rPr>
                <w:rFonts w:ascii="Times New Roman" w:hAnsi="Times New Roman"/>
                <w:sz w:val="20"/>
              </w:rPr>
              <w:t>Derived</w:t>
            </w:r>
          </w:p>
        </w:tc>
      </w:tr>
    </w:tbl>
    <w:p>
      <w:pPr>
        <w:pStyle w:val="Heading2"/>
      </w:pPr>
      <w:r>
        <w:rPr>
          <w:rFonts w:ascii="Times New Roman" w:hAnsi="Times New Roman"/>
          <w:color w:val="000000"/>
        </w:rPr>
        <w:t>Appendix B: Full Regression Tables</w:t>
      </w:r>
    </w:p>
    <w:p>
      <w:pPr>
        <w:ind w:firstLine="720"/>
      </w:pPr>
      <w:r>
        <w:t>This appendix reproduces all regression output with complete coefficient estimates, standard errors, confidence intervals, and model diagnostics. Tables are organized by dependent variable.</w:t>
      </w:r>
    </w:p>
    <w:p>
      <w:pPr>
        <w:ind w:firstLine="720"/>
      </w:pPr>
      <w:r>
        <w:rPr>
          <w:i/>
        </w:rPr>
        <w:t>Note: Tables in this appendix will be populated with results from the empirical analysis. The structure and specifications are presented below; coefficient estimates, standard errors, and diagnostics will be inserted upon completion of the data analysis.</w:t>
      </w:r>
    </w:p>
    <w:p>
      <w:pPr>
        <w:pStyle w:val="Heading3"/>
      </w:pPr>
      <w:r>
        <w:rPr>
          <w:rFonts w:ascii="Times New Roman" w:hAnsi="Times New Roman"/>
          <w:color w:val="000000"/>
        </w:rPr>
        <w:t>Table B.1: Cost Growth (OLS with Agency and Fiscal Year Fixed Effects)</w:t>
      </w:r>
    </w:p>
    <w:p>
      <w:pPr>
        <w:ind w:firstLine="720"/>
      </w:pPr>
      <w:r>
        <w:rPr>
          <w:b/>
        </w:rPr>
        <w:t>Dependent Variable:</w:t>
      </w:r>
      <w:r>
        <w:t xml:space="preserve"> </w:t>
      </w:r>
      <w:r>
        <w:rPr>
          <w:rFonts w:ascii="Courier New" w:hAnsi="Courier New"/>
          <w:sz w:val="20"/>
        </w:rPr>
        <w:t>cost_growth_w</w:t>
      </w:r>
      <w:r>
        <w:t xml:space="preserve"> (winsorized at 1st/99th percentile)</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pPr>
              <w:spacing w:line="240" w:lineRule="auto"/>
            </w:pPr>
            <w:r>
              <w:rPr>
                <w:rFonts w:ascii="Times New Roman" w:hAnsi="Times New Roman"/>
                <w:b/>
                <w:sz w:val="20"/>
              </w:rPr>
              <w:t>Variable</w:t>
            </w:r>
          </w:p>
        </w:tc>
        <w:tc>
          <w:tcPr>
            <w:tcW w:type="dxa" w:w="1440"/>
          </w:tcPr>
          <w:p>
            <w:pPr>
              <w:spacing w:line="240" w:lineRule="auto"/>
            </w:pPr>
            <w:r>
              <w:rPr>
                <w:rFonts w:ascii="Times New Roman" w:hAnsi="Times New Roman"/>
                <w:b/>
                <w:sz w:val="20"/>
              </w:rPr>
              <w:t>Coefficient</w:t>
            </w:r>
          </w:p>
        </w:tc>
        <w:tc>
          <w:tcPr>
            <w:tcW w:type="dxa" w:w="1440"/>
          </w:tcPr>
          <w:p>
            <w:pPr>
              <w:spacing w:line="240" w:lineRule="auto"/>
            </w:pPr>
            <w:r>
              <w:rPr>
                <w:rFonts w:ascii="Times New Roman" w:hAnsi="Times New Roman"/>
                <w:b/>
                <w:sz w:val="20"/>
              </w:rPr>
              <w:t>Robust SE</w:t>
            </w:r>
          </w:p>
        </w:tc>
        <w:tc>
          <w:tcPr>
            <w:tcW w:type="dxa" w:w="1440"/>
          </w:tcPr>
          <w:p>
            <w:pPr>
              <w:spacing w:line="240" w:lineRule="auto"/>
            </w:pPr>
            <w:r>
              <w:rPr>
                <w:rFonts w:ascii="Times New Roman" w:hAnsi="Times New Roman"/>
                <w:b/>
                <w:sz w:val="20"/>
              </w:rPr>
              <w:t>95% CI Lower</w:t>
            </w:r>
          </w:p>
        </w:tc>
        <w:tc>
          <w:tcPr>
            <w:tcW w:type="dxa" w:w="1440"/>
          </w:tcPr>
          <w:p>
            <w:pPr>
              <w:spacing w:line="240" w:lineRule="auto"/>
            </w:pPr>
            <w:r>
              <w:rPr>
                <w:rFonts w:ascii="Times New Roman" w:hAnsi="Times New Roman"/>
                <w:b/>
                <w:sz w:val="20"/>
              </w:rPr>
              <w:t>95% CI Upper</w:t>
            </w:r>
          </w:p>
        </w:tc>
        <w:tc>
          <w:tcPr>
            <w:tcW w:type="dxa" w:w="1440"/>
          </w:tcPr>
          <w:p>
            <w:pPr>
              <w:spacing w:line="240" w:lineRule="auto"/>
            </w:pPr>
            <w:r>
              <w:rPr>
                <w:rFonts w:ascii="Times New Roman" w:hAnsi="Times New Roman"/>
                <w:b/>
                <w:sz w:val="20"/>
              </w:rPr>
              <w:t>p-value</w:t>
            </w:r>
          </w:p>
        </w:tc>
      </w:tr>
      <w:tr>
        <w:tc>
          <w:tcPr>
            <w:tcW w:type="dxa" w:w="1440"/>
          </w:tcPr>
          <w:p>
            <w:pPr>
              <w:spacing w:line="240" w:lineRule="auto"/>
            </w:pPr>
            <w:r>
              <w:rPr>
                <w:rFonts w:ascii="Times New Roman" w:hAnsi="Times New Roman"/>
                <w:sz w:val="20"/>
              </w:rPr>
              <w:t>Tradeoff (1 = TO, 0 = LPTA)</w:t>
            </w:r>
          </w:p>
        </w:tc>
        <w:tc>
          <w:tcPr>
            <w:tcW w:type="dxa" w:w="1440"/>
          </w:tcPr>
          <w:p>
            <w:pPr>
              <w:spacing w:line="240" w:lineRule="auto"/>
            </w:pPr>
            <w:r>
              <w:rPr>
                <w:rFonts w:ascii="Times New Roman" w:hAnsi="Times New Roman"/>
                <w:sz w:val="20"/>
              </w:rPr>
              <w:t>–</w:t>
            </w:r>
          </w:p>
        </w:tc>
        <w:tc>
          <w:tcPr>
            <w:tcW w:type="dxa" w:w="1440"/>
          </w:tcPr>
          <w:p>
            <w:pPr>
              <w:spacing w:line="240" w:lineRule="auto"/>
            </w:pPr>
            <w:r>
              <w:rPr>
                <w:rFonts w:ascii="Times New Roman" w:hAnsi="Times New Roman"/>
                <w:sz w:val="20"/>
              </w:rPr>
              <w:t>–</w:t>
            </w:r>
          </w:p>
        </w:tc>
        <w:tc>
          <w:tcPr>
            <w:tcW w:type="dxa" w:w="1440"/>
          </w:tcPr>
          <w:p>
            <w:pPr>
              <w:spacing w:line="240" w:lineRule="auto"/>
            </w:pPr>
            <w:r>
              <w:rPr>
                <w:rFonts w:ascii="Times New Roman" w:hAnsi="Times New Roman"/>
                <w:sz w:val="20"/>
              </w:rPr>
              <w:t>–</w:t>
            </w:r>
          </w:p>
        </w:tc>
        <w:tc>
          <w:tcPr>
            <w:tcW w:type="dxa" w:w="1440"/>
          </w:tcPr>
          <w:p>
            <w:pPr>
              <w:spacing w:line="240" w:lineRule="auto"/>
            </w:pPr>
            <w:r>
              <w:rPr>
                <w:rFonts w:ascii="Times New Roman" w:hAnsi="Times New Roman"/>
                <w:sz w:val="20"/>
              </w:rPr>
              <w:t>–</w:t>
            </w:r>
          </w:p>
        </w:tc>
        <w:tc>
          <w:tcPr>
            <w:tcW w:type="dxa" w:w="1440"/>
          </w:tcPr>
          <w:p>
            <w:pPr>
              <w:spacing w:line="240" w:lineRule="auto"/>
            </w:pPr>
            <w:r>
              <w:rPr>
                <w:rFonts w:ascii="Times New Roman" w:hAnsi="Times New Roman"/>
                <w:sz w:val="20"/>
              </w:rPr>
              <w:t>–</w:t>
            </w:r>
          </w:p>
        </w:tc>
      </w:tr>
      <w:tr>
        <w:tc>
          <w:tcPr>
            <w:tcW w:type="dxa" w:w="1440"/>
          </w:tcPr>
          <w:p>
            <w:pPr>
              <w:spacing w:line="240" w:lineRule="auto"/>
            </w:pPr>
            <w:r>
              <w:rPr>
                <w:rFonts w:ascii="Times New Roman" w:hAnsi="Times New Roman"/>
                <w:sz w:val="20"/>
              </w:rPr>
              <w:t>Log(Award Amount)</w:t>
            </w:r>
          </w:p>
        </w:tc>
        <w:tc>
          <w:tcPr>
            <w:tcW w:type="dxa" w:w="1440"/>
          </w:tcPr>
          <w:p>
            <w:pPr>
              <w:spacing w:line="240" w:lineRule="auto"/>
            </w:pPr>
            <w:r>
              <w:rPr>
                <w:rFonts w:ascii="Times New Roman" w:hAnsi="Times New Roman"/>
                <w:sz w:val="20"/>
              </w:rPr>
              <w:t>–</w:t>
            </w:r>
          </w:p>
        </w:tc>
        <w:tc>
          <w:tcPr>
            <w:tcW w:type="dxa" w:w="1440"/>
          </w:tcPr>
          <w:p>
            <w:pPr>
              <w:spacing w:line="240" w:lineRule="auto"/>
            </w:pPr>
            <w:r>
              <w:rPr>
                <w:rFonts w:ascii="Times New Roman" w:hAnsi="Times New Roman"/>
                <w:sz w:val="20"/>
              </w:rPr>
              <w:t>–</w:t>
            </w:r>
          </w:p>
        </w:tc>
        <w:tc>
          <w:tcPr>
            <w:tcW w:type="dxa" w:w="1440"/>
          </w:tcPr>
          <w:p>
            <w:pPr>
              <w:spacing w:line="240" w:lineRule="auto"/>
            </w:pPr>
            <w:r>
              <w:rPr>
                <w:rFonts w:ascii="Times New Roman" w:hAnsi="Times New Roman"/>
                <w:sz w:val="20"/>
              </w:rPr>
              <w:t>–</w:t>
            </w:r>
          </w:p>
        </w:tc>
        <w:tc>
          <w:tcPr>
            <w:tcW w:type="dxa" w:w="1440"/>
          </w:tcPr>
          <w:p>
            <w:pPr>
              <w:spacing w:line="240" w:lineRule="auto"/>
            </w:pPr>
            <w:r>
              <w:rPr>
                <w:rFonts w:ascii="Times New Roman" w:hAnsi="Times New Roman"/>
                <w:sz w:val="20"/>
              </w:rPr>
              <w:t>–</w:t>
            </w:r>
          </w:p>
        </w:tc>
        <w:tc>
          <w:tcPr>
            <w:tcW w:type="dxa" w:w="1440"/>
          </w:tcPr>
          <w:p>
            <w:pPr>
              <w:spacing w:line="240" w:lineRule="auto"/>
            </w:pPr>
            <w:r>
              <w:rPr>
                <w:rFonts w:ascii="Times New Roman" w:hAnsi="Times New Roman"/>
                <w:sz w:val="20"/>
              </w:rPr>
              <w:t>–</w:t>
            </w:r>
          </w:p>
        </w:tc>
      </w:tr>
      <w:tr>
        <w:tc>
          <w:tcPr>
            <w:tcW w:type="dxa" w:w="1440"/>
          </w:tcPr>
          <w:p>
            <w:pPr>
              <w:spacing w:line="240" w:lineRule="auto"/>
            </w:pPr>
            <w:r>
              <w:rPr>
                <w:rFonts w:ascii="Times New Roman" w:hAnsi="Times New Roman"/>
                <w:sz w:val="20"/>
              </w:rPr>
              <w:t>Contract Type: CPFF (ref: FFP)</w:t>
            </w:r>
          </w:p>
        </w:tc>
        <w:tc>
          <w:tcPr>
            <w:tcW w:type="dxa" w:w="1440"/>
          </w:tcPr>
          <w:p>
            <w:pPr>
              <w:spacing w:line="240" w:lineRule="auto"/>
            </w:pPr>
            <w:r>
              <w:rPr>
                <w:rFonts w:ascii="Times New Roman" w:hAnsi="Times New Roman"/>
                <w:sz w:val="20"/>
              </w:rPr>
              <w:t>–</w:t>
            </w:r>
          </w:p>
        </w:tc>
        <w:tc>
          <w:tcPr>
            <w:tcW w:type="dxa" w:w="1440"/>
          </w:tcPr>
          <w:p>
            <w:pPr>
              <w:spacing w:line="240" w:lineRule="auto"/>
            </w:pPr>
            <w:r>
              <w:rPr>
                <w:rFonts w:ascii="Times New Roman" w:hAnsi="Times New Roman"/>
                <w:sz w:val="20"/>
              </w:rPr>
              <w:t>–</w:t>
            </w:r>
          </w:p>
        </w:tc>
        <w:tc>
          <w:tcPr>
            <w:tcW w:type="dxa" w:w="1440"/>
          </w:tcPr>
          <w:p>
            <w:pPr>
              <w:spacing w:line="240" w:lineRule="auto"/>
            </w:pPr>
            <w:r>
              <w:rPr>
                <w:rFonts w:ascii="Times New Roman" w:hAnsi="Times New Roman"/>
                <w:sz w:val="20"/>
              </w:rPr>
              <w:t>–</w:t>
            </w:r>
          </w:p>
        </w:tc>
        <w:tc>
          <w:tcPr>
            <w:tcW w:type="dxa" w:w="1440"/>
          </w:tcPr>
          <w:p>
            <w:pPr>
              <w:spacing w:line="240" w:lineRule="auto"/>
            </w:pPr>
            <w:r>
              <w:rPr>
                <w:rFonts w:ascii="Times New Roman" w:hAnsi="Times New Roman"/>
                <w:sz w:val="20"/>
              </w:rPr>
              <w:t>–</w:t>
            </w:r>
          </w:p>
        </w:tc>
        <w:tc>
          <w:tcPr>
            <w:tcW w:type="dxa" w:w="1440"/>
          </w:tcPr>
          <w:p>
            <w:pPr>
              <w:spacing w:line="240" w:lineRule="auto"/>
            </w:pPr>
            <w:r>
              <w:rPr>
                <w:rFonts w:ascii="Times New Roman" w:hAnsi="Times New Roman"/>
                <w:sz w:val="20"/>
              </w:rPr>
              <w:t>–</w:t>
            </w:r>
          </w:p>
        </w:tc>
      </w:tr>
      <w:tr>
        <w:tc>
          <w:tcPr>
            <w:tcW w:type="dxa" w:w="1440"/>
          </w:tcPr>
          <w:p>
            <w:pPr>
              <w:spacing w:line="240" w:lineRule="auto"/>
            </w:pPr>
            <w:r>
              <w:rPr>
                <w:rFonts w:ascii="Times New Roman" w:hAnsi="Times New Roman"/>
                <w:sz w:val="20"/>
              </w:rPr>
              <w:t>Contract Type: T&amp;M (ref: FFP)</w:t>
            </w:r>
          </w:p>
        </w:tc>
        <w:tc>
          <w:tcPr>
            <w:tcW w:type="dxa" w:w="1440"/>
          </w:tcPr>
          <w:p>
            <w:pPr>
              <w:spacing w:line="240" w:lineRule="auto"/>
            </w:pPr>
            <w:r>
              <w:rPr>
                <w:rFonts w:ascii="Times New Roman" w:hAnsi="Times New Roman"/>
                <w:sz w:val="20"/>
              </w:rPr>
              <w:t>–</w:t>
            </w:r>
          </w:p>
        </w:tc>
        <w:tc>
          <w:tcPr>
            <w:tcW w:type="dxa" w:w="1440"/>
          </w:tcPr>
          <w:p>
            <w:pPr>
              <w:spacing w:line="240" w:lineRule="auto"/>
            </w:pPr>
            <w:r>
              <w:rPr>
                <w:rFonts w:ascii="Times New Roman" w:hAnsi="Times New Roman"/>
                <w:sz w:val="20"/>
              </w:rPr>
              <w:t>–</w:t>
            </w:r>
          </w:p>
        </w:tc>
        <w:tc>
          <w:tcPr>
            <w:tcW w:type="dxa" w:w="1440"/>
          </w:tcPr>
          <w:p>
            <w:pPr>
              <w:spacing w:line="240" w:lineRule="auto"/>
            </w:pPr>
            <w:r>
              <w:rPr>
                <w:rFonts w:ascii="Times New Roman" w:hAnsi="Times New Roman"/>
                <w:sz w:val="20"/>
              </w:rPr>
              <w:t>–</w:t>
            </w:r>
          </w:p>
        </w:tc>
        <w:tc>
          <w:tcPr>
            <w:tcW w:type="dxa" w:w="1440"/>
          </w:tcPr>
          <w:p>
            <w:pPr>
              <w:spacing w:line="240" w:lineRule="auto"/>
            </w:pPr>
            <w:r>
              <w:rPr>
                <w:rFonts w:ascii="Times New Roman" w:hAnsi="Times New Roman"/>
                <w:sz w:val="20"/>
              </w:rPr>
              <w:t>–</w:t>
            </w:r>
          </w:p>
        </w:tc>
        <w:tc>
          <w:tcPr>
            <w:tcW w:type="dxa" w:w="1440"/>
          </w:tcPr>
          <w:p>
            <w:pPr>
              <w:spacing w:line="240" w:lineRule="auto"/>
            </w:pPr>
            <w:r>
              <w:rPr>
                <w:rFonts w:ascii="Times New Roman" w:hAnsi="Times New Roman"/>
                <w:sz w:val="20"/>
              </w:rPr>
              <w:t>–</w:t>
            </w:r>
          </w:p>
        </w:tc>
      </w:tr>
      <w:tr>
        <w:tc>
          <w:tcPr>
            <w:tcW w:type="dxa" w:w="1440"/>
          </w:tcPr>
          <w:p>
            <w:pPr>
              <w:spacing w:line="240" w:lineRule="auto"/>
            </w:pPr>
            <w:r>
              <w:rPr>
                <w:rFonts w:ascii="Times New Roman" w:hAnsi="Times New Roman"/>
                <w:sz w:val="20"/>
              </w:rPr>
              <w:t>Contract Type: Other (ref: FFP)</w:t>
            </w:r>
          </w:p>
        </w:tc>
        <w:tc>
          <w:tcPr>
            <w:tcW w:type="dxa" w:w="1440"/>
          </w:tcPr>
          <w:p>
            <w:pPr>
              <w:spacing w:line="240" w:lineRule="auto"/>
            </w:pPr>
            <w:r>
              <w:rPr>
                <w:rFonts w:ascii="Times New Roman" w:hAnsi="Times New Roman"/>
                <w:sz w:val="20"/>
              </w:rPr>
              <w:t>–</w:t>
            </w:r>
          </w:p>
        </w:tc>
        <w:tc>
          <w:tcPr>
            <w:tcW w:type="dxa" w:w="1440"/>
          </w:tcPr>
          <w:p>
            <w:pPr>
              <w:spacing w:line="240" w:lineRule="auto"/>
            </w:pPr>
            <w:r>
              <w:rPr>
                <w:rFonts w:ascii="Times New Roman" w:hAnsi="Times New Roman"/>
                <w:sz w:val="20"/>
              </w:rPr>
              <w:t>–</w:t>
            </w:r>
          </w:p>
        </w:tc>
        <w:tc>
          <w:tcPr>
            <w:tcW w:type="dxa" w:w="1440"/>
          </w:tcPr>
          <w:p>
            <w:pPr>
              <w:spacing w:line="240" w:lineRule="auto"/>
            </w:pPr>
            <w:r>
              <w:rPr>
                <w:rFonts w:ascii="Times New Roman" w:hAnsi="Times New Roman"/>
                <w:sz w:val="20"/>
              </w:rPr>
              <w:t>–</w:t>
            </w:r>
          </w:p>
        </w:tc>
        <w:tc>
          <w:tcPr>
            <w:tcW w:type="dxa" w:w="1440"/>
          </w:tcPr>
          <w:p>
            <w:pPr>
              <w:spacing w:line="240" w:lineRule="auto"/>
            </w:pPr>
            <w:r>
              <w:rPr>
                <w:rFonts w:ascii="Times New Roman" w:hAnsi="Times New Roman"/>
                <w:sz w:val="20"/>
              </w:rPr>
              <w:t>–</w:t>
            </w:r>
          </w:p>
        </w:tc>
        <w:tc>
          <w:tcPr>
            <w:tcW w:type="dxa" w:w="1440"/>
          </w:tcPr>
          <w:p>
            <w:pPr>
              <w:spacing w:line="240" w:lineRule="auto"/>
            </w:pPr>
            <w:r>
              <w:rPr>
                <w:rFonts w:ascii="Times New Roman" w:hAnsi="Times New Roman"/>
                <w:sz w:val="20"/>
              </w:rPr>
              <w:t>–</w:t>
            </w:r>
          </w:p>
        </w:tc>
      </w:tr>
      <w:tr>
        <w:tc>
          <w:tcPr>
            <w:tcW w:type="dxa" w:w="1440"/>
          </w:tcPr>
          <w:p>
            <w:pPr>
              <w:spacing w:line="240" w:lineRule="auto"/>
            </w:pPr>
            <w:r>
              <w:rPr>
                <w:rFonts w:ascii="Times New Roman" w:hAnsi="Times New Roman"/>
                <w:sz w:val="20"/>
              </w:rPr>
              <w:t>IDV Indicator</w:t>
            </w:r>
          </w:p>
        </w:tc>
        <w:tc>
          <w:tcPr>
            <w:tcW w:type="dxa" w:w="1440"/>
          </w:tcPr>
          <w:p>
            <w:pPr>
              <w:spacing w:line="240" w:lineRule="auto"/>
            </w:pPr>
            <w:r>
              <w:rPr>
                <w:rFonts w:ascii="Times New Roman" w:hAnsi="Times New Roman"/>
                <w:sz w:val="20"/>
              </w:rPr>
              <w:t>–</w:t>
            </w:r>
          </w:p>
        </w:tc>
        <w:tc>
          <w:tcPr>
            <w:tcW w:type="dxa" w:w="1440"/>
          </w:tcPr>
          <w:p>
            <w:pPr>
              <w:spacing w:line="240" w:lineRule="auto"/>
            </w:pPr>
            <w:r>
              <w:rPr>
                <w:rFonts w:ascii="Times New Roman" w:hAnsi="Times New Roman"/>
                <w:sz w:val="20"/>
              </w:rPr>
              <w:t>–</w:t>
            </w:r>
          </w:p>
        </w:tc>
        <w:tc>
          <w:tcPr>
            <w:tcW w:type="dxa" w:w="1440"/>
          </w:tcPr>
          <w:p>
            <w:pPr>
              <w:spacing w:line="240" w:lineRule="auto"/>
            </w:pPr>
            <w:r>
              <w:rPr>
                <w:rFonts w:ascii="Times New Roman" w:hAnsi="Times New Roman"/>
                <w:sz w:val="20"/>
              </w:rPr>
              <w:t>–</w:t>
            </w:r>
          </w:p>
        </w:tc>
        <w:tc>
          <w:tcPr>
            <w:tcW w:type="dxa" w:w="1440"/>
          </w:tcPr>
          <w:p>
            <w:pPr>
              <w:spacing w:line="240" w:lineRule="auto"/>
            </w:pPr>
            <w:r>
              <w:rPr>
                <w:rFonts w:ascii="Times New Roman" w:hAnsi="Times New Roman"/>
                <w:sz w:val="20"/>
              </w:rPr>
              <w:t>–</w:t>
            </w:r>
          </w:p>
        </w:tc>
        <w:tc>
          <w:tcPr>
            <w:tcW w:type="dxa" w:w="1440"/>
          </w:tcPr>
          <w:p>
            <w:pPr>
              <w:spacing w:line="240" w:lineRule="auto"/>
            </w:pPr>
            <w:r>
              <w:rPr>
                <w:rFonts w:ascii="Times New Roman" w:hAnsi="Times New Roman"/>
                <w:sz w:val="20"/>
              </w:rPr>
              <w:t>–</w:t>
            </w:r>
          </w:p>
        </w:tc>
      </w:tr>
      <w:tr>
        <w:tc>
          <w:tcPr>
            <w:tcW w:type="dxa" w:w="1440"/>
          </w:tcPr>
          <w:p>
            <w:pPr>
              <w:spacing w:line="240" w:lineRule="auto"/>
            </w:pPr>
            <w:r>
              <w:rPr>
                <w:rFonts w:ascii="Times New Roman" w:hAnsi="Times New Roman"/>
                <w:sz w:val="20"/>
              </w:rPr>
              <w:t>Set-Aside: Small Business (ref: Unrestricted)</w:t>
            </w:r>
          </w:p>
        </w:tc>
        <w:tc>
          <w:tcPr>
            <w:tcW w:type="dxa" w:w="1440"/>
          </w:tcPr>
          <w:p>
            <w:pPr>
              <w:spacing w:line="240" w:lineRule="auto"/>
            </w:pPr>
            <w:r>
              <w:rPr>
                <w:rFonts w:ascii="Times New Roman" w:hAnsi="Times New Roman"/>
                <w:sz w:val="20"/>
              </w:rPr>
              <w:t>–</w:t>
            </w:r>
          </w:p>
        </w:tc>
        <w:tc>
          <w:tcPr>
            <w:tcW w:type="dxa" w:w="1440"/>
          </w:tcPr>
          <w:p>
            <w:pPr>
              <w:spacing w:line="240" w:lineRule="auto"/>
            </w:pPr>
            <w:r>
              <w:rPr>
                <w:rFonts w:ascii="Times New Roman" w:hAnsi="Times New Roman"/>
                <w:sz w:val="20"/>
              </w:rPr>
              <w:t>–</w:t>
            </w:r>
          </w:p>
        </w:tc>
        <w:tc>
          <w:tcPr>
            <w:tcW w:type="dxa" w:w="1440"/>
          </w:tcPr>
          <w:p>
            <w:pPr>
              <w:spacing w:line="240" w:lineRule="auto"/>
            </w:pPr>
            <w:r>
              <w:rPr>
                <w:rFonts w:ascii="Times New Roman" w:hAnsi="Times New Roman"/>
                <w:sz w:val="20"/>
              </w:rPr>
              <w:t>–</w:t>
            </w:r>
          </w:p>
        </w:tc>
        <w:tc>
          <w:tcPr>
            <w:tcW w:type="dxa" w:w="1440"/>
          </w:tcPr>
          <w:p>
            <w:pPr>
              <w:spacing w:line="240" w:lineRule="auto"/>
            </w:pPr>
            <w:r>
              <w:rPr>
                <w:rFonts w:ascii="Times New Roman" w:hAnsi="Times New Roman"/>
                <w:sz w:val="20"/>
              </w:rPr>
              <w:t>–</w:t>
            </w:r>
          </w:p>
        </w:tc>
        <w:tc>
          <w:tcPr>
            <w:tcW w:type="dxa" w:w="1440"/>
          </w:tcPr>
          <w:p>
            <w:pPr>
              <w:spacing w:line="240" w:lineRule="auto"/>
            </w:pPr>
            <w:r>
              <w:rPr>
                <w:rFonts w:ascii="Times New Roman" w:hAnsi="Times New Roman"/>
                <w:sz w:val="20"/>
              </w:rPr>
              <w:t>–</w:t>
            </w:r>
          </w:p>
        </w:tc>
      </w:tr>
      <w:tr>
        <w:tc>
          <w:tcPr>
            <w:tcW w:type="dxa" w:w="1440"/>
          </w:tcPr>
          <w:p>
            <w:pPr>
              <w:spacing w:line="240" w:lineRule="auto"/>
            </w:pPr>
            <w:r>
              <w:rPr>
                <w:rFonts w:ascii="Times New Roman" w:hAnsi="Times New Roman"/>
                <w:sz w:val="20"/>
              </w:rPr>
              <w:t>Set-Aside: 8(a) (ref: Unrestricted)</w:t>
            </w:r>
          </w:p>
        </w:tc>
        <w:tc>
          <w:tcPr>
            <w:tcW w:type="dxa" w:w="1440"/>
          </w:tcPr>
          <w:p>
            <w:pPr>
              <w:spacing w:line="240" w:lineRule="auto"/>
            </w:pPr>
            <w:r>
              <w:rPr>
                <w:rFonts w:ascii="Times New Roman" w:hAnsi="Times New Roman"/>
                <w:sz w:val="20"/>
              </w:rPr>
              <w:t>–</w:t>
            </w:r>
          </w:p>
        </w:tc>
        <w:tc>
          <w:tcPr>
            <w:tcW w:type="dxa" w:w="1440"/>
          </w:tcPr>
          <w:p>
            <w:pPr>
              <w:spacing w:line="240" w:lineRule="auto"/>
            </w:pPr>
            <w:r>
              <w:rPr>
                <w:rFonts w:ascii="Times New Roman" w:hAnsi="Times New Roman"/>
                <w:sz w:val="20"/>
              </w:rPr>
              <w:t>–</w:t>
            </w:r>
          </w:p>
        </w:tc>
        <w:tc>
          <w:tcPr>
            <w:tcW w:type="dxa" w:w="1440"/>
          </w:tcPr>
          <w:p>
            <w:pPr>
              <w:spacing w:line="240" w:lineRule="auto"/>
            </w:pPr>
            <w:r>
              <w:rPr>
                <w:rFonts w:ascii="Times New Roman" w:hAnsi="Times New Roman"/>
                <w:sz w:val="20"/>
              </w:rPr>
              <w:t>–</w:t>
            </w:r>
          </w:p>
        </w:tc>
        <w:tc>
          <w:tcPr>
            <w:tcW w:type="dxa" w:w="1440"/>
          </w:tcPr>
          <w:p>
            <w:pPr>
              <w:spacing w:line="240" w:lineRule="auto"/>
            </w:pPr>
            <w:r>
              <w:rPr>
                <w:rFonts w:ascii="Times New Roman" w:hAnsi="Times New Roman"/>
                <w:sz w:val="20"/>
              </w:rPr>
              <w:t>–</w:t>
            </w:r>
          </w:p>
        </w:tc>
        <w:tc>
          <w:tcPr>
            <w:tcW w:type="dxa" w:w="1440"/>
          </w:tcPr>
          <w:p>
            <w:pPr>
              <w:spacing w:line="240" w:lineRule="auto"/>
            </w:pPr>
            <w:r>
              <w:rPr>
                <w:rFonts w:ascii="Times New Roman" w:hAnsi="Times New Roman"/>
                <w:sz w:val="20"/>
              </w:rPr>
              <w:t>–</w:t>
            </w:r>
          </w:p>
        </w:tc>
      </w:tr>
      <w:tr>
        <w:tc>
          <w:tcPr>
            <w:tcW w:type="dxa" w:w="1440"/>
          </w:tcPr>
          <w:p>
            <w:pPr>
              <w:spacing w:line="240" w:lineRule="auto"/>
            </w:pPr>
            <w:r>
              <w:rPr>
                <w:rFonts w:ascii="Times New Roman" w:hAnsi="Times New Roman"/>
                <w:sz w:val="20"/>
              </w:rPr>
              <w:t>Set-Aside: HUBZone (ref: Unrestricted)</w:t>
            </w:r>
          </w:p>
        </w:tc>
        <w:tc>
          <w:tcPr>
            <w:tcW w:type="dxa" w:w="1440"/>
          </w:tcPr>
          <w:p>
            <w:pPr>
              <w:spacing w:line="240" w:lineRule="auto"/>
            </w:pPr>
            <w:r>
              <w:rPr>
                <w:rFonts w:ascii="Times New Roman" w:hAnsi="Times New Roman"/>
                <w:sz w:val="20"/>
              </w:rPr>
              <w:t>–</w:t>
            </w:r>
          </w:p>
        </w:tc>
        <w:tc>
          <w:tcPr>
            <w:tcW w:type="dxa" w:w="1440"/>
          </w:tcPr>
          <w:p>
            <w:pPr>
              <w:spacing w:line="240" w:lineRule="auto"/>
            </w:pPr>
            <w:r>
              <w:rPr>
                <w:rFonts w:ascii="Times New Roman" w:hAnsi="Times New Roman"/>
                <w:sz w:val="20"/>
              </w:rPr>
              <w:t>–</w:t>
            </w:r>
          </w:p>
        </w:tc>
        <w:tc>
          <w:tcPr>
            <w:tcW w:type="dxa" w:w="1440"/>
          </w:tcPr>
          <w:p>
            <w:pPr>
              <w:spacing w:line="240" w:lineRule="auto"/>
            </w:pPr>
            <w:r>
              <w:rPr>
                <w:rFonts w:ascii="Times New Roman" w:hAnsi="Times New Roman"/>
                <w:sz w:val="20"/>
              </w:rPr>
              <w:t>–</w:t>
            </w:r>
          </w:p>
        </w:tc>
        <w:tc>
          <w:tcPr>
            <w:tcW w:type="dxa" w:w="1440"/>
          </w:tcPr>
          <w:p>
            <w:pPr>
              <w:spacing w:line="240" w:lineRule="auto"/>
            </w:pPr>
            <w:r>
              <w:rPr>
                <w:rFonts w:ascii="Times New Roman" w:hAnsi="Times New Roman"/>
                <w:sz w:val="20"/>
              </w:rPr>
              <w:t>–</w:t>
            </w:r>
          </w:p>
        </w:tc>
        <w:tc>
          <w:tcPr>
            <w:tcW w:type="dxa" w:w="1440"/>
          </w:tcPr>
          <w:p>
            <w:pPr>
              <w:spacing w:line="240" w:lineRule="auto"/>
            </w:pPr>
            <w:r>
              <w:rPr>
                <w:rFonts w:ascii="Times New Roman" w:hAnsi="Times New Roman"/>
                <w:sz w:val="20"/>
              </w:rPr>
              <w:t>–</w:t>
            </w:r>
          </w:p>
        </w:tc>
      </w:tr>
      <w:tr>
        <w:tc>
          <w:tcPr>
            <w:tcW w:type="dxa" w:w="1440"/>
          </w:tcPr>
          <w:p>
            <w:pPr>
              <w:spacing w:line="240" w:lineRule="auto"/>
            </w:pPr>
            <w:r>
              <w:rPr>
                <w:rFonts w:ascii="Times New Roman" w:hAnsi="Times New Roman"/>
                <w:sz w:val="20"/>
              </w:rPr>
              <w:t>Set-Aside: SDVOSB (ref: Unrestricted)</w:t>
            </w:r>
          </w:p>
        </w:tc>
        <w:tc>
          <w:tcPr>
            <w:tcW w:type="dxa" w:w="1440"/>
          </w:tcPr>
          <w:p>
            <w:pPr>
              <w:spacing w:line="240" w:lineRule="auto"/>
            </w:pPr>
            <w:r>
              <w:rPr>
                <w:rFonts w:ascii="Times New Roman" w:hAnsi="Times New Roman"/>
                <w:sz w:val="20"/>
              </w:rPr>
              <w:t>–</w:t>
            </w:r>
          </w:p>
        </w:tc>
        <w:tc>
          <w:tcPr>
            <w:tcW w:type="dxa" w:w="1440"/>
          </w:tcPr>
          <w:p>
            <w:pPr>
              <w:spacing w:line="240" w:lineRule="auto"/>
            </w:pPr>
            <w:r>
              <w:rPr>
                <w:rFonts w:ascii="Times New Roman" w:hAnsi="Times New Roman"/>
                <w:sz w:val="20"/>
              </w:rPr>
              <w:t>–</w:t>
            </w:r>
          </w:p>
        </w:tc>
        <w:tc>
          <w:tcPr>
            <w:tcW w:type="dxa" w:w="1440"/>
          </w:tcPr>
          <w:p>
            <w:pPr>
              <w:spacing w:line="240" w:lineRule="auto"/>
            </w:pPr>
            <w:r>
              <w:rPr>
                <w:rFonts w:ascii="Times New Roman" w:hAnsi="Times New Roman"/>
                <w:sz w:val="20"/>
              </w:rPr>
              <w:t>–</w:t>
            </w:r>
          </w:p>
        </w:tc>
        <w:tc>
          <w:tcPr>
            <w:tcW w:type="dxa" w:w="1440"/>
          </w:tcPr>
          <w:p>
            <w:pPr>
              <w:spacing w:line="240" w:lineRule="auto"/>
            </w:pPr>
            <w:r>
              <w:rPr>
                <w:rFonts w:ascii="Times New Roman" w:hAnsi="Times New Roman"/>
                <w:sz w:val="20"/>
              </w:rPr>
              <w:t>–</w:t>
            </w:r>
          </w:p>
        </w:tc>
        <w:tc>
          <w:tcPr>
            <w:tcW w:type="dxa" w:w="1440"/>
          </w:tcPr>
          <w:p>
            <w:pPr>
              <w:spacing w:line="240" w:lineRule="auto"/>
            </w:pPr>
            <w:r>
              <w:rPr>
                <w:rFonts w:ascii="Times New Roman" w:hAnsi="Times New Roman"/>
                <w:sz w:val="20"/>
              </w:rPr>
              <w:t>–</w:t>
            </w:r>
          </w:p>
        </w:tc>
      </w:tr>
      <w:tr>
        <w:tc>
          <w:tcPr>
            <w:tcW w:type="dxa" w:w="1440"/>
          </w:tcPr>
          <w:p>
            <w:pPr>
              <w:spacing w:line="240" w:lineRule="auto"/>
            </w:pPr>
            <w:r>
              <w:rPr>
                <w:rFonts w:ascii="Times New Roman" w:hAnsi="Times New Roman"/>
                <w:sz w:val="20"/>
              </w:rPr>
              <w:t>Set-Aside: WOSB (ref: Unrestricted)</w:t>
            </w:r>
          </w:p>
        </w:tc>
        <w:tc>
          <w:tcPr>
            <w:tcW w:type="dxa" w:w="1440"/>
          </w:tcPr>
          <w:p>
            <w:pPr>
              <w:spacing w:line="240" w:lineRule="auto"/>
            </w:pPr>
            <w:r>
              <w:rPr>
                <w:rFonts w:ascii="Times New Roman" w:hAnsi="Times New Roman"/>
                <w:sz w:val="20"/>
              </w:rPr>
              <w:t>–</w:t>
            </w:r>
          </w:p>
        </w:tc>
        <w:tc>
          <w:tcPr>
            <w:tcW w:type="dxa" w:w="1440"/>
          </w:tcPr>
          <w:p>
            <w:pPr>
              <w:spacing w:line="240" w:lineRule="auto"/>
            </w:pPr>
            <w:r>
              <w:rPr>
                <w:rFonts w:ascii="Times New Roman" w:hAnsi="Times New Roman"/>
                <w:sz w:val="20"/>
              </w:rPr>
              <w:t>–</w:t>
            </w:r>
          </w:p>
        </w:tc>
        <w:tc>
          <w:tcPr>
            <w:tcW w:type="dxa" w:w="1440"/>
          </w:tcPr>
          <w:p>
            <w:pPr>
              <w:spacing w:line="240" w:lineRule="auto"/>
            </w:pPr>
            <w:r>
              <w:rPr>
                <w:rFonts w:ascii="Times New Roman" w:hAnsi="Times New Roman"/>
                <w:sz w:val="20"/>
              </w:rPr>
              <w:t>–</w:t>
            </w:r>
          </w:p>
        </w:tc>
        <w:tc>
          <w:tcPr>
            <w:tcW w:type="dxa" w:w="1440"/>
          </w:tcPr>
          <w:p>
            <w:pPr>
              <w:spacing w:line="240" w:lineRule="auto"/>
            </w:pPr>
            <w:r>
              <w:rPr>
                <w:rFonts w:ascii="Times New Roman" w:hAnsi="Times New Roman"/>
                <w:sz w:val="20"/>
              </w:rPr>
              <w:t>–</w:t>
            </w:r>
          </w:p>
        </w:tc>
        <w:tc>
          <w:tcPr>
            <w:tcW w:type="dxa" w:w="1440"/>
          </w:tcPr>
          <w:p>
            <w:pPr>
              <w:spacing w:line="240" w:lineRule="auto"/>
            </w:pPr>
            <w:r>
              <w:rPr>
                <w:rFonts w:ascii="Times New Roman" w:hAnsi="Times New Roman"/>
                <w:sz w:val="20"/>
              </w:rPr>
              <w:t>–</w:t>
            </w:r>
          </w:p>
        </w:tc>
      </w:tr>
      <w:tr>
        <w:tc>
          <w:tcPr>
            <w:tcW w:type="dxa" w:w="1440"/>
          </w:tcPr>
          <w:p>
            <w:pPr>
              <w:spacing w:line="240" w:lineRule="auto"/>
            </w:pPr>
            <w:r>
              <w:rPr>
                <w:rFonts w:ascii="Times New Roman" w:hAnsi="Times New Roman"/>
                <w:sz w:val="20"/>
              </w:rPr>
              <w:t>Set-Aside: Other (ref: Unrestricted)</w:t>
            </w:r>
          </w:p>
        </w:tc>
        <w:tc>
          <w:tcPr>
            <w:tcW w:type="dxa" w:w="1440"/>
          </w:tcPr>
          <w:p>
            <w:pPr>
              <w:spacing w:line="240" w:lineRule="auto"/>
            </w:pPr>
            <w:r>
              <w:rPr>
                <w:rFonts w:ascii="Times New Roman" w:hAnsi="Times New Roman"/>
                <w:sz w:val="20"/>
              </w:rPr>
              <w:t>–</w:t>
            </w:r>
          </w:p>
        </w:tc>
        <w:tc>
          <w:tcPr>
            <w:tcW w:type="dxa" w:w="1440"/>
          </w:tcPr>
          <w:p>
            <w:pPr>
              <w:spacing w:line="240" w:lineRule="auto"/>
            </w:pPr>
            <w:r>
              <w:rPr>
                <w:rFonts w:ascii="Times New Roman" w:hAnsi="Times New Roman"/>
                <w:sz w:val="20"/>
              </w:rPr>
              <w:t>–</w:t>
            </w:r>
          </w:p>
        </w:tc>
        <w:tc>
          <w:tcPr>
            <w:tcW w:type="dxa" w:w="1440"/>
          </w:tcPr>
          <w:p>
            <w:pPr>
              <w:spacing w:line="240" w:lineRule="auto"/>
            </w:pPr>
            <w:r>
              <w:rPr>
                <w:rFonts w:ascii="Times New Roman" w:hAnsi="Times New Roman"/>
                <w:sz w:val="20"/>
              </w:rPr>
              <w:t>–</w:t>
            </w:r>
          </w:p>
        </w:tc>
        <w:tc>
          <w:tcPr>
            <w:tcW w:type="dxa" w:w="1440"/>
          </w:tcPr>
          <w:p>
            <w:pPr>
              <w:spacing w:line="240" w:lineRule="auto"/>
            </w:pPr>
            <w:r>
              <w:rPr>
                <w:rFonts w:ascii="Times New Roman" w:hAnsi="Times New Roman"/>
                <w:sz w:val="20"/>
              </w:rPr>
              <w:t>–</w:t>
            </w:r>
          </w:p>
        </w:tc>
        <w:tc>
          <w:tcPr>
            <w:tcW w:type="dxa" w:w="1440"/>
          </w:tcPr>
          <w:p>
            <w:pPr>
              <w:spacing w:line="240" w:lineRule="auto"/>
            </w:pPr>
            <w:r>
              <w:rPr>
                <w:rFonts w:ascii="Times New Roman" w:hAnsi="Times New Roman"/>
                <w:sz w:val="20"/>
              </w:rPr>
              <w:t>–</w:t>
            </w:r>
          </w:p>
        </w:tc>
      </w:tr>
      <w:tr>
        <w:tc>
          <w:tcPr>
            <w:tcW w:type="dxa" w:w="1440"/>
          </w:tcPr>
          <w:p>
            <w:pPr>
              <w:spacing w:line="240" w:lineRule="auto"/>
            </w:pPr>
            <w:r>
              <w:rPr>
                <w:rFonts w:ascii="Times New Roman" w:hAnsi="Times New Roman"/>
                <w:sz w:val="20"/>
              </w:rPr>
              <w:t>Agency Fixed Effects</w:t>
            </w:r>
          </w:p>
        </w:tc>
        <w:tc>
          <w:tcPr>
            <w:tcW w:type="dxa" w:w="1440"/>
          </w:tcPr>
          <w:p>
            <w:pPr>
              <w:spacing w:line="240" w:lineRule="auto"/>
            </w:pPr>
            <w:r>
              <w:rPr>
                <w:rFonts w:ascii="Times New Roman" w:hAnsi="Times New Roman"/>
                <w:sz w:val="20"/>
              </w:rPr>
              <w:t>Included</w:t>
            </w:r>
          </w:p>
        </w:tc>
        <w:tc>
          <w:tcPr>
            <w:tcW w:type="dxa" w:w="1440"/>
          </w:tcPr>
          <w:p>
            <w:pPr>
              <w:spacing w:line="240" w:lineRule="auto"/>
            </w:pPr>
            <w:r>
              <w:rPr>
                <w:rFonts w:ascii="Times New Roman" w:hAnsi="Times New Roman"/>
                <w:sz w:val="20"/>
              </w:rPr>
            </w:r>
          </w:p>
        </w:tc>
        <w:tc>
          <w:tcPr>
            <w:tcW w:type="dxa" w:w="1440"/>
          </w:tcPr>
          <w:p>
            <w:pPr>
              <w:spacing w:line="240" w:lineRule="auto"/>
            </w:pPr>
            <w:r>
              <w:rPr>
                <w:rFonts w:ascii="Times New Roman" w:hAnsi="Times New Roman"/>
                <w:sz w:val="20"/>
              </w:rPr>
            </w:r>
          </w:p>
        </w:tc>
        <w:tc>
          <w:tcPr>
            <w:tcW w:type="dxa" w:w="1440"/>
          </w:tcPr>
          <w:p>
            <w:pPr>
              <w:spacing w:line="240" w:lineRule="auto"/>
            </w:pPr>
            <w:r>
              <w:rPr>
                <w:rFonts w:ascii="Times New Roman" w:hAnsi="Times New Roman"/>
                <w:sz w:val="20"/>
              </w:rPr>
            </w:r>
          </w:p>
        </w:tc>
        <w:tc>
          <w:tcPr>
            <w:tcW w:type="dxa" w:w="1440"/>
          </w:tcPr>
          <w:p>
            <w:pPr>
              <w:spacing w:line="240" w:lineRule="auto"/>
            </w:pPr>
            <w:r>
              <w:rPr>
                <w:rFonts w:ascii="Times New Roman" w:hAnsi="Times New Roman"/>
                <w:sz w:val="20"/>
              </w:rPr>
            </w:r>
          </w:p>
        </w:tc>
      </w:tr>
      <w:tr>
        <w:tc>
          <w:tcPr>
            <w:tcW w:type="dxa" w:w="1440"/>
          </w:tcPr>
          <w:p>
            <w:pPr>
              <w:spacing w:line="240" w:lineRule="auto"/>
            </w:pPr>
            <w:r>
              <w:rPr>
                <w:rFonts w:ascii="Times New Roman" w:hAnsi="Times New Roman"/>
                <w:sz w:val="20"/>
              </w:rPr>
              <w:t>Fiscal Year Fixed Effects</w:t>
            </w:r>
          </w:p>
        </w:tc>
        <w:tc>
          <w:tcPr>
            <w:tcW w:type="dxa" w:w="1440"/>
          </w:tcPr>
          <w:p>
            <w:pPr>
              <w:spacing w:line="240" w:lineRule="auto"/>
            </w:pPr>
            <w:r>
              <w:rPr>
                <w:rFonts w:ascii="Times New Roman" w:hAnsi="Times New Roman"/>
                <w:sz w:val="20"/>
              </w:rPr>
              <w:t>Included</w:t>
            </w:r>
          </w:p>
        </w:tc>
        <w:tc>
          <w:tcPr>
            <w:tcW w:type="dxa" w:w="1440"/>
          </w:tcPr>
          <w:p>
            <w:pPr>
              <w:spacing w:line="240" w:lineRule="auto"/>
            </w:pPr>
            <w:r>
              <w:rPr>
                <w:rFonts w:ascii="Times New Roman" w:hAnsi="Times New Roman"/>
                <w:sz w:val="20"/>
              </w:rPr>
            </w:r>
          </w:p>
        </w:tc>
        <w:tc>
          <w:tcPr>
            <w:tcW w:type="dxa" w:w="1440"/>
          </w:tcPr>
          <w:p>
            <w:pPr>
              <w:spacing w:line="240" w:lineRule="auto"/>
            </w:pPr>
            <w:r>
              <w:rPr>
                <w:rFonts w:ascii="Times New Roman" w:hAnsi="Times New Roman"/>
                <w:sz w:val="20"/>
              </w:rPr>
            </w:r>
          </w:p>
        </w:tc>
        <w:tc>
          <w:tcPr>
            <w:tcW w:type="dxa" w:w="1440"/>
          </w:tcPr>
          <w:p>
            <w:pPr>
              <w:spacing w:line="240" w:lineRule="auto"/>
            </w:pPr>
            <w:r>
              <w:rPr>
                <w:rFonts w:ascii="Times New Roman" w:hAnsi="Times New Roman"/>
                <w:sz w:val="20"/>
              </w:rPr>
            </w:r>
          </w:p>
        </w:tc>
        <w:tc>
          <w:tcPr>
            <w:tcW w:type="dxa" w:w="1440"/>
          </w:tcPr>
          <w:p>
            <w:pPr>
              <w:spacing w:line="240" w:lineRule="auto"/>
            </w:pPr>
            <w:r>
              <w:rPr>
                <w:rFonts w:ascii="Times New Roman" w:hAnsi="Times New Roman"/>
                <w:sz w:val="20"/>
              </w:rPr>
            </w:r>
          </w:p>
        </w:tc>
      </w:tr>
      <w:tr>
        <w:tc>
          <w:tcPr>
            <w:tcW w:type="dxa" w:w="1440"/>
          </w:tcPr>
          <w:p>
            <w:pPr>
              <w:spacing w:line="240" w:lineRule="auto"/>
            </w:pPr>
            <w:r>
              <w:rPr>
                <w:rFonts w:ascii="Times New Roman" w:hAnsi="Times New Roman"/>
                <w:sz w:val="20"/>
              </w:rPr>
              <w:t>Constant</w:t>
            </w:r>
          </w:p>
        </w:tc>
        <w:tc>
          <w:tcPr>
            <w:tcW w:type="dxa" w:w="1440"/>
          </w:tcPr>
          <w:p>
            <w:pPr>
              <w:spacing w:line="240" w:lineRule="auto"/>
            </w:pPr>
            <w:r>
              <w:rPr>
                <w:rFonts w:ascii="Times New Roman" w:hAnsi="Times New Roman"/>
                <w:sz w:val="20"/>
              </w:rPr>
              <w:t>–</w:t>
            </w:r>
          </w:p>
        </w:tc>
        <w:tc>
          <w:tcPr>
            <w:tcW w:type="dxa" w:w="1440"/>
          </w:tcPr>
          <w:p>
            <w:pPr>
              <w:spacing w:line="240" w:lineRule="auto"/>
            </w:pPr>
            <w:r>
              <w:rPr>
                <w:rFonts w:ascii="Times New Roman" w:hAnsi="Times New Roman"/>
                <w:sz w:val="20"/>
              </w:rPr>
              <w:t>–</w:t>
            </w:r>
          </w:p>
        </w:tc>
        <w:tc>
          <w:tcPr>
            <w:tcW w:type="dxa" w:w="1440"/>
          </w:tcPr>
          <w:p>
            <w:pPr>
              <w:spacing w:line="240" w:lineRule="auto"/>
            </w:pPr>
            <w:r>
              <w:rPr>
                <w:rFonts w:ascii="Times New Roman" w:hAnsi="Times New Roman"/>
                <w:sz w:val="20"/>
              </w:rPr>
              <w:t>–</w:t>
            </w:r>
          </w:p>
        </w:tc>
        <w:tc>
          <w:tcPr>
            <w:tcW w:type="dxa" w:w="1440"/>
          </w:tcPr>
          <w:p>
            <w:pPr>
              <w:spacing w:line="240" w:lineRule="auto"/>
            </w:pPr>
            <w:r>
              <w:rPr>
                <w:rFonts w:ascii="Times New Roman" w:hAnsi="Times New Roman"/>
                <w:sz w:val="20"/>
              </w:rPr>
              <w:t>–</w:t>
            </w:r>
          </w:p>
        </w:tc>
        <w:tc>
          <w:tcPr>
            <w:tcW w:type="dxa" w:w="1440"/>
          </w:tcPr>
          <w:p>
            <w:pPr>
              <w:spacing w:line="240" w:lineRule="auto"/>
            </w:pPr>
            <w:r>
              <w:rPr>
                <w:rFonts w:ascii="Times New Roman" w:hAnsi="Times New Roman"/>
                <w:sz w:val="20"/>
              </w:rPr>
              <w:t>–</w:t>
            </w:r>
          </w:p>
        </w:tc>
      </w:tr>
      <w:tr>
        <w:tc>
          <w:tcPr>
            <w:tcW w:type="dxa" w:w="1440"/>
          </w:tcPr>
          <w:p>
            <w:pPr>
              <w:spacing w:line="240" w:lineRule="auto"/>
            </w:pPr>
            <w:r>
              <w:rPr>
                <w:rFonts w:ascii="Times New Roman" w:hAnsi="Times New Roman"/>
                <w:sz w:val="20"/>
              </w:rPr>
              <w:t>N</w:t>
            </w:r>
          </w:p>
        </w:tc>
        <w:tc>
          <w:tcPr>
            <w:tcW w:type="dxa" w:w="1440"/>
          </w:tcPr>
          <w:p>
            <w:pPr>
              <w:spacing w:line="240" w:lineRule="auto"/>
            </w:pPr>
            <w:r>
              <w:rPr>
                <w:rFonts w:ascii="Times New Roman" w:hAnsi="Times New Roman"/>
                <w:sz w:val="20"/>
              </w:rPr>
              <w:t>–</w:t>
            </w:r>
          </w:p>
        </w:tc>
        <w:tc>
          <w:tcPr>
            <w:tcW w:type="dxa" w:w="1440"/>
          </w:tcPr>
          <w:p>
            <w:pPr>
              <w:spacing w:line="240" w:lineRule="auto"/>
            </w:pPr>
            <w:r>
              <w:rPr>
                <w:rFonts w:ascii="Times New Roman" w:hAnsi="Times New Roman"/>
                <w:sz w:val="20"/>
              </w:rPr>
            </w:r>
          </w:p>
        </w:tc>
        <w:tc>
          <w:tcPr>
            <w:tcW w:type="dxa" w:w="1440"/>
          </w:tcPr>
          <w:p>
            <w:pPr>
              <w:spacing w:line="240" w:lineRule="auto"/>
            </w:pPr>
            <w:r>
              <w:rPr>
                <w:rFonts w:ascii="Times New Roman" w:hAnsi="Times New Roman"/>
                <w:sz w:val="20"/>
              </w:rPr>
            </w:r>
          </w:p>
        </w:tc>
        <w:tc>
          <w:tcPr>
            <w:tcW w:type="dxa" w:w="1440"/>
          </w:tcPr>
          <w:p>
            <w:pPr>
              <w:spacing w:line="240" w:lineRule="auto"/>
            </w:pPr>
            <w:r>
              <w:rPr>
                <w:rFonts w:ascii="Times New Roman" w:hAnsi="Times New Roman"/>
                <w:sz w:val="20"/>
              </w:rPr>
            </w:r>
          </w:p>
        </w:tc>
        <w:tc>
          <w:tcPr>
            <w:tcW w:type="dxa" w:w="1440"/>
          </w:tcPr>
          <w:p>
            <w:pPr>
              <w:spacing w:line="240" w:lineRule="auto"/>
            </w:pPr>
            <w:r>
              <w:rPr>
                <w:rFonts w:ascii="Times New Roman" w:hAnsi="Times New Roman"/>
                <w:sz w:val="20"/>
              </w:rPr>
            </w:r>
          </w:p>
        </w:tc>
      </w:tr>
      <w:tr>
        <w:tc>
          <w:tcPr>
            <w:tcW w:type="dxa" w:w="1440"/>
          </w:tcPr>
          <w:p>
            <w:pPr>
              <w:spacing w:line="240" w:lineRule="auto"/>
            </w:pPr>
            <w:r>
              <w:rPr>
                <w:rFonts w:ascii="Times New Roman" w:hAnsi="Times New Roman"/>
                <w:sz w:val="20"/>
              </w:rPr>
              <w:t>R-squared</w:t>
            </w:r>
          </w:p>
        </w:tc>
        <w:tc>
          <w:tcPr>
            <w:tcW w:type="dxa" w:w="1440"/>
          </w:tcPr>
          <w:p>
            <w:pPr>
              <w:spacing w:line="240" w:lineRule="auto"/>
            </w:pPr>
            <w:r>
              <w:rPr>
                <w:rFonts w:ascii="Times New Roman" w:hAnsi="Times New Roman"/>
                <w:sz w:val="20"/>
              </w:rPr>
              <w:t>–</w:t>
            </w:r>
          </w:p>
        </w:tc>
        <w:tc>
          <w:tcPr>
            <w:tcW w:type="dxa" w:w="1440"/>
          </w:tcPr>
          <w:p>
            <w:pPr>
              <w:spacing w:line="240" w:lineRule="auto"/>
            </w:pPr>
            <w:r>
              <w:rPr>
                <w:rFonts w:ascii="Times New Roman" w:hAnsi="Times New Roman"/>
                <w:sz w:val="20"/>
              </w:rPr>
            </w:r>
          </w:p>
        </w:tc>
        <w:tc>
          <w:tcPr>
            <w:tcW w:type="dxa" w:w="1440"/>
          </w:tcPr>
          <w:p>
            <w:pPr>
              <w:spacing w:line="240" w:lineRule="auto"/>
            </w:pPr>
            <w:r>
              <w:rPr>
                <w:rFonts w:ascii="Times New Roman" w:hAnsi="Times New Roman"/>
                <w:sz w:val="20"/>
              </w:rPr>
            </w:r>
          </w:p>
        </w:tc>
        <w:tc>
          <w:tcPr>
            <w:tcW w:type="dxa" w:w="1440"/>
          </w:tcPr>
          <w:p>
            <w:pPr>
              <w:spacing w:line="240" w:lineRule="auto"/>
            </w:pPr>
            <w:r>
              <w:rPr>
                <w:rFonts w:ascii="Times New Roman" w:hAnsi="Times New Roman"/>
                <w:sz w:val="20"/>
              </w:rPr>
            </w:r>
          </w:p>
        </w:tc>
        <w:tc>
          <w:tcPr>
            <w:tcW w:type="dxa" w:w="1440"/>
          </w:tcPr>
          <w:p>
            <w:pPr>
              <w:spacing w:line="240" w:lineRule="auto"/>
            </w:pPr>
            <w:r>
              <w:rPr>
                <w:rFonts w:ascii="Times New Roman" w:hAnsi="Times New Roman"/>
                <w:sz w:val="20"/>
              </w:rPr>
            </w:r>
          </w:p>
        </w:tc>
      </w:tr>
      <w:tr>
        <w:tc>
          <w:tcPr>
            <w:tcW w:type="dxa" w:w="1440"/>
          </w:tcPr>
          <w:p>
            <w:pPr>
              <w:spacing w:line="240" w:lineRule="auto"/>
            </w:pPr>
            <w:r>
              <w:rPr>
                <w:rFonts w:ascii="Times New Roman" w:hAnsi="Times New Roman"/>
                <w:sz w:val="20"/>
              </w:rPr>
              <w:t>Adjusted R-squared</w:t>
            </w:r>
          </w:p>
        </w:tc>
        <w:tc>
          <w:tcPr>
            <w:tcW w:type="dxa" w:w="1440"/>
          </w:tcPr>
          <w:p>
            <w:pPr>
              <w:spacing w:line="240" w:lineRule="auto"/>
            </w:pPr>
            <w:r>
              <w:rPr>
                <w:rFonts w:ascii="Times New Roman" w:hAnsi="Times New Roman"/>
                <w:sz w:val="20"/>
              </w:rPr>
              <w:t>–</w:t>
            </w:r>
          </w:p>
        </w:tc>
        <w:tc>
          <w:tcPr>
            <w:tcW w:type="dxa" w:w="1440"/>
          </w:tcPr>
          <w:p>
            <w:pPr>
              <w:spacing w:line="240" w:lineRule="auto"/>
            </w:pPr>
            <w:r>
              <w:rPr>
                <w:rFonts w:ascii="Times New Roman" w:hAnsi="Times New Roman"/>
                <w:sz w:val="20"/>
              </w:rPr>
            </w:r>
          </w:p>
        </w:tc>
        <w:tc>
          <w:tcPr>
            <w:tcW w:type="dxa" w:w="1440"/>
          </w:tcPr>
          <w:p>
            <w:pPr>
              <w:spacing w:line="240" w:lineRule="auto"/>
            </w:pPr>
            <w:r>
              <w:rPr>
                <w:rFonts w:ascii="Times New Roman" w:hAnsi="Times New Roman"/>
                <w:sz w:val="20"/>
              </w:rPr>
            </w:r>
          </w:p>
        </w:tc>
        <w:tc>
          <w:tcPr>
            <w:tcW w:type="dxa" w:w="1440"/>
          </w:tcPr>
          <w:p>
            <w:pPr>
              <w:spacing w:line="240" w:lineRule="auto"/>
            </w:pPr>
            <w:r>
              <w:rPr>
                <w:rFonts w:ascii="Times New Roman" w:hAnsi="Times New Roman"/>
                <w:sz w:val="20"/>
              </w:rPr>
            </w:r>
          </w:p>
        </w:tc>
        <w:tc>
          <w:tcPr>
            <w:tcW w:type="dxa" w:w="1440"/>
          </w:tcPr>
          <w:p>
            <w:pPr>
              <w:spacing w:line="240" w:lineRule="auto"/>
            </w:pPr>
            <w:r>
              <w:rPr>
                <w:rFonts w:ascii="Times New Roman" w:hAnsi="Times New Roman"/>
                <w:sz w:val="20"/>
              </w:rPr>
            </w:r>
          </w:p>
        </w:tc>
      </w:tr>
      <w:tr>
        <w:tc>
          <w:tcPr>
            <w:tcW w:type="dxa" w:w="1440"/>
          </w:tcPr>
          <w:p>
            <w:pPr>
              <w:spacing w:line="240" w:lineRule="auto"/>
            </w:pPr>
            <w:r>
              <w:rPr>
                <w:rFonts w:ascii="Times New Roman" w:hAnsi="Times New Roman"/>
                <w:sz w:val="20"/>
              </w:rPr>
              <w:t>F-statistic</w:t>
            </w:r>
          </w:p>
        </w:tc>
        <w:tc>
          <w:tcPr>
            <w:tcW w:type="dxa" w:w="1440"/>
          </w:tcPr>
          <w:p>
            <w:pPr>
              <w:spacing w:line="240" w:lineRule="auto"/>
            </w:pPr>
            <w:r>
              <w:rPr>
                <w:rFonts w:ascii="Times New Roman" w:hAnsi="Times New Roman"/>
                <w:sz w:val="20"/>
              </w:rPr>
              <w:t>–</w:t>
            </w:r>
          </w:p>
        </w:tc>
        <w:tc>
          <w:tcPr>
            <w:tcW w:type="dxa" w:w="1440"/>
          </w:tcPr>
          <w:p>
            <w:pPr>
              <w:spacing w:line="240" w:lineRule="auto"/>
            </w:pPr>
            <w:r>
              <w:rPr>
                <w:rFonts w:ascii="Times New Roman" w:hAnsi="Times New Roman"/>
                <w:sz w:val="20"/>
              </w:rPr>
            </w:r>
          </w:p>
        </w:tc>
        <w:tc>
          <w:tcPr>
            <w:tcW w:type="dxa" w:w="1440"/>
          </w:tcPr>
          <w:p>
            <w:pPr>
              <w:spacing w:line="240" w:lineRule="auto"/>
            </w:pPr>
            <w:r>
              <w:rPr>
                <w:rFonts w:ascii="Times New Roman" w:hAnsi="Times New Roman"/>
                <w:sz w:val="20"/>
              </w:rPr>
            </w:r>
          </w:p>
        </w:tc>
        <w:tc>
          <w:tcPr>
            <w:tcW w:type="dxa" w:w="1440"/>
          </w:tcPr>
          <w:p>
            <w:pPr>
              <w:spacing w:line="240" w:lineRule="auto"/>
            </w:pPr>
            <w:r>
              <w:rPr>
                <w:rFonts w:ascii="Times New Roman" w:hAnsi="Times New Roman"/>
                <w:sz w:val="20"/>
              </w:rPr>
            </w:r>
          </w:p>
        </w:tc>
        <w:tc>
          <w:tcPr>
            <w:tcW w:type="dxa" w:w="1440"/>
          </w:tcPr>
          <w:p>
            <w:pPr>
              <w:spacing w:line="240" w:lineRule="auto"/>
            </w:pPr>
            <w:r>
              <w:rPr>
                <w:rFonts w:ascii="Times New Roman" w:hAnsi="Times New Roman"/>
                <w:sz w:val="20"/>
              </w:rPr>
            </w:r>
          </w:p>
        </w:tc>
      </w:tr>
      <w:tr>
        <w:tc>
          <w:tcPr>
            <w:tcW w:type="dxa" w:w="1440"/>
          </w:tcPr>
          <w:p>
            <w:pPr>
              <w:spacing w:line="240" w:lineRule="auto"/>
            </w:pPr>
            <w:r>
              <w:rPr>
                <w:rFonts w:ascii="Times New Roman" w:hAnsi="Times New Roman"/>
                <w:sz w:val="20"/>
              </w:rPr>
              <w:t>RMSE</w:t>
            </w:r>
          </w:p>
        </w:tc>
        <w:tc>
          <w:tcPr>
            <w:tcW w:type="dxa" w:w="1440"/>
          </w:tcPr>
          <w:p>
            <w:pPr>
              <w:spacing w:line="240" w:lineRule="auto"/>
            </w:pPr>
            <w:r>
              <w:rPr>
                <w:rFonts w:ascii="Times New Roman" w:hAnsi="Times New Roman"/>
                <w:sz w:val="20"/>
              </w:rPr>
              <w:t>–</w:t>
            </w:r>
          </w:p>
        </w:tc>
        <w:tc>
          <w:tcPr>
            <w:tcW w:type="dxa" w:w="1440"/>
          </w:tcPr>
          <w:p>
            <w:pPr>
              <w:spacing w:line="240" w:lineRule="auto"/>
            </w:pPr>
            <w:r>
              <w:rPr>
                <w:rFonts w:ascii="Times New Roman" w:hAnsi="Times New Roman"/>
                <w:sz w:val="20"/>
              </w:rPr>
            </w:r>
          </w:p>
        </w:tc>
        <w:tc>
          <w:tcPr>
            <w:tcW w:type="dxa" w:w="1440"/>
          </w:tcPr>
          <w:p>
            <w:pPr>
              <w:spacing w:line="240" w:lineRule="auto"/>
            </w:pPr>
            <w:r>
              <w:rPr>
                <w:rFonts w:ascii="Times New Roman" w:hAnsi="Times New Roman"/>
                <w:sz w:val="20"/>
              </w:rPr>
            </w:r>
          </w:p>
        </w:tc>
        <w:tc>
          <w:tcPr>
            <w:tcW w:type="dxa" w:w="1440"/>
          </w:tcPr>
          <w:p>
            <w:pPr>
              <w:spacing w:line="240" w:lineRule="auto"/>
            </w:pPr>
            <w:r>
              <w:rPr>
                <w:rFonts w:ascii="Times New Roman" w:hAnsi="Times New Roman"/>
                <w:sz w:val="20"/>
              </w:rPr>
            </w:r>
          </w:p>
        </w:tc>
        <w:tc>
          <w:tcPr>
            <w:tcW w:type="dxa" w:w="1440"/>
          </w:tcPr>
          <w:p>
            <w:pPr>
              <w:spacing w:line="240" w:lineRule="auto"/>
            </w:pPr>
            <w:r>
              <w:rPr>
                <w:rFonts w:ascii="Times New Roman" w:hAnsi="Times New Roman"/>
                <w:sz w:val="20"/>
              </w:rPr>
            </w:r>
          </w:p>
        </w:tc>
      </w:tr>
    </w:tbl>
    <w:p>
      <w:pPr>
        <w:ind w:firstLine="720"/>
      </w:pPr>
      <w:r>
        <w:rPr>
          <w:i/>
        </w:rPr>
        <w:t>Standard errors clustered at the agency-NAICS level.</w:t>
      </w:r>
    </w:p>
    <w:p>
      <w:pPr>
        <w:pStyle w:val="Heading3"/>
      </w:pPr>
      <w:r>
        <w:rPr>
          <w:rFonts w:ascii="Times New Roman" w:hAnsi="Times New Roman"/>
          <w:color w:val="000000"/>
        </w:rPr>
        <w:t>Table B.2: Cost Growth (OLS on PSM-Matched Sample)</w:t>
      </w:r>
    </w:p>
    <w:p>
      <w:pPr>
        <w:ind w:firstLine="720"/>
      </w:pPr>
      <w:r>
        <w:rPr>
          <w:b/>
        </w:rPr>
        <w:t>Dependent Variable:</w:t>
      </w:r>
      <w:r>
        <w:t xml:space="preserve"> </w:t>
      </w:r>
      <w:r>
        <w:rPr>
          <w:rFonts w:ascii="Courier New" w:hAnsi="Courier New"/>
          <w:sz w:val="20"/>
        </w:rPr>
        <w:t>cost_growth_w</w:t>
      </w:r>
      <w:r>
        <w:t xml:space="preserve"> (winsorized at 1st/99th percentile)</w:t>
      </w:r>
    </w:p>
    <w:p>
      <w:pPr>
        <w:ind w:firstLine="720"/>
      </w:pPr>
      <w:r>
        <w:rPr>
          <w:i/>
        </w:rPr>
        <w:t>Specification: Same covariates as Table B.1, estimated on the propensity-score-matched sample. ATT is the primary estimand.</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pPr>
              <w:spacing w:line="240" w:lineRule="auto"/>
            </w:pPr>
            <w:r>
              <w:rPr>
                <w:rFonts w:ascii="Times New Roman" w:hAnsi="Times New Roman"/>
                <w:b/>
                <w:sz w:val="20"/>
              </w:rPr>
              <w:t>Variable</w:t>
            </w:r>
          </w:p>
        </w:tc>
        <w:tc>
          <w:tcPr>
            <w:tcW w:type="dxa" w:w="1440"/>
          </w:tcPr>
          <w:p>
            <w:pPr>
              <w:spacing w:line="240" w:lineRule="auto"/>
            </w:pPr>
            <w:r>
              <w:rPr>
                <w:rFonts w:ascii="Times New Roman" w:hAnsi="Times New Roman"/>
                <w:b/>
                <w:sz w:val="20"/>
              </w:rPr>
              <w:t>ATT Estimate</w:t>
            </w:r>
          </w:p>
        </w:tc>
        <w:tc>
          <w:tcPr>
            <w:tcW w:type="dxa" w:w="1440"/>
          </w:tcPr>
          <w:p>
            <w:pPr>
              <w:spacing w:line="240" w:lineRule="auto"/>
            </w:pPr>
            <w:r>
              <w:rPr>
                <w:rFonts w:ascii="Times New Roman" w:hAnsi="Times New Roman"/>
                <w:b/>
                <w:sz w:val="20"/>
              </w:rPr>
              <w:t>Robust SE</w:t>
            </w:r>
          </w:p>
        </w:tc>
        <w:tc>
          <w:tcPr>
            <w:tcW w:type="dxa" w:w="1440"/>
          </w:tcPr>
          <w:p>
            <w:pPr>
              <w:spacing w:line="240" w:lineRule="auto"/>
            </w:pPr>
            <w:r>
              <w:rPr>
                <w:rFonts w:ascii="Times New Roman" w:hAnsi="Times New Roman"/>
                <w:b/>
                <w:sz w:val="20"/>
              </w:rPr>
              <w:t>95% CI Lower</w:t>
            </w:r>
          </w:p>
        </w:tc>
        <w:tc>
          <w:tcPr>
            <w:tcW w:type="dxa" w:w="1440"/>
          </w:tcPr>
          <w:p>
            <w:pPr>
              <w:spacing w:line="240" w:lineRule="auto"/>
            </w:pPr>
            <w:r>
              <w:rPr>
                <w:rFonts w:ascii="Times New Roman" w:hAnsi="Times New Roman"/>
                <w:b/>
                <w:sz w:val="20"/>
              </w:rPr>
              <w:t>95% CI Upper</w:t>
            </w:r>
          </w:p>
        </w:tc>
        <w:tc>
          <w:tcPr>
            <w:tcW w:type="dxa" w:w="1440"/>
          </w:tcPr>
          <w:p>
            <w:pPr>
              <w:spacing w:line="240" w:lineRule="auto"/>
            </w:pPr>
            <w:r>
              <w:rPr>
                <w:rFonts w:ascii="Times New Roman" w:hAnsi="Times New Roman"/>
                <w:b/>
                <w:sz w:val="20"/>
              </w:rPr>
              <w:t>p-value</w:t>
            </w:r>
          </w:p>
        </w:tc>
      </w:tr>
      <w:tr>
        <w:tc>
          <w:tcPr>
            <w:tcW w:type="dxa" w:w="1440"/>
          </w:tcPr>
          <w:p>
            <w:pPr>
              <w:spacing w:line="240" w:lineRule="auto"/>
            </w:pPr>
            <w:r>
              <w:rPr>
                <w:rFonts w:ascii="Times New Roman" w:hAnsi="Times New Roman"/>
                <w:sz w:val="20"/>
              </w:rPr>
              <w:t>Tradeoff (ATT)</w:t>
            </w:r>
          </w:p>
        </w:tc>
        <w:tc>
          <w:tcPr>
            <w:tcW w:type="dxa" w:w="1440"/>
          </w:tcPr>
          <w:p>
            <w:pPr>
              <w:spacing w:line="240" w:lineRule="auto"/>
            </w:pPr>
            <w:r>
              <w:rPr>
                <w:rFonts w:ascii="Times New Roman" w:hAnsi="Times New Roman"/>
                <w:sz w:val="20"/>
              </w:rPr>
              <w:t>–</w:t>
            </w:r>
          </w:p>
        </w:tc>
        <w:tc>
          <w:tcPr>
            <w:tcW w:type="dxa" w:w="1440"/>
          </w:tcPr>
          <w:p>
            <w:pPr>
              <w:spacing w:line="240" w:lineRule="auto"/>
            </w:pPr>
            <w:r>
              <w:rPr>
                <w:rFonts w:ascii="Times New Roman" w:hAnsi="Times New Roman"/>
                <w:sz w:val="20"/>
              </w:rPr>
              <w:t>–</w:t>
            </w:r>
          </w:p>
        </w:tc>
        <w:tc>
          <w:tcPr>
            <w:tcW w:type="dxa" w:w="1440"/>
          </w:tcPr>
          <w:p>
            <w:pPr>
              <w:spacing w:line="240" w:lineRule="auto"/>
            </w:pPr>
            <w:r>
              <w:rPr>
                <w:rFonts w:ascii="Times New Roman" w:hAnsi="Times New Roman"/>
                <w:sz w:val="20"/>
              </w:rPr>
              <w:t>–</w:t>
            </w:r>
          </w:p>
        </w:tc>
        <w:tc>
          <w:tcPr>
            <w:tcW w:type="dxa" w:w="1440"/>
          </w:tcPr>
          <w:p>
            <w:pPr>
              <w:spacing w:line="240" w:lineRule="auto"/>
            </w:pPr>
            <w:r>
              <w:rPr>
                <w:rFonts w:ascii="Times New Roman" w:hAnsi="Times New Roman"/>
                <w:sz w:val="20"/>
              </w:rPr>
              <w:t>–</w:t>
            </w:r>
          </w:p>
        </w:tc>
        <w:tc>
          <w:tcPr>
            <w:tcW w:type="dxa" w:w="1440"/>
          </w:tcPr>
          <w:p>
            <w:pPr>
              <w:spacing w:line="240" w:lineRule="auto"/>
            </w:pPr>
            <w:r>
              <w:rPr>
                <w:rFonts w:ascii="Times New Roman" w:hAnsi="Times New Roman"/>
                <w:sz w:val="20"/>
              </w:rPr>
              <w:t>–</w:t>
            </w:r>
          </w:p>
        </w:tc>
      </w:tr>
      <w:tr>
        <w:tc>
          <w:tcPr>
            <w:tcW w:type="dxa" w:w="1440"/>
          </w:tcPr>
          <w:p>
            <w:pPr>
              <w:spacing w:line="240" w:lineRule="auto"/>
            </w:pPr>
            <w:r>
              <w:rPr>
                <w:rFonts w:ascii="Times New Roman" w:hAnsi="Times New Roman"/>
                <w:sz w:val="20"/>
              </w:rPr>
              <w:t>N (matched pairs)</w:t>
            </w:r>
          </w:p>
        </w:tc>
        <w:tc>
          <w:tcPr>
            <w:tcW w:type="dxa" w:w="1440"/>
          </w:tcPr>
          <w:p>
            <w:pPr>
              <w:spacing w:line="240" w:lineRule="auto"/>
            </w:pPr>
            <w:r>
              <w:rPr>
                <w:rFonts w:ascii="Times New Roman" w:hAnsi="Times New Roman"/>
                <w:sz w:val="20"/>
              </w:rPr>
              <w:t>–</w:t>
            </w:r>
          </w:p>
        </w:tc>
        <w:tc>
          <w:tcPr>
            <w:tcW w:type="dxa" w:w="1440"/>
          </w:tcPr>
          <w:p>
            <w:pPr>
              <w:spacing w:line="240" w:lineRule="auto"/>
            </w:pPr>
            <w:r>
              <w:rPr>
                <w:rFonts w:ascii="Times New Roman" w:hAnsi="Times New Roman"/>
                <w:sz w:val="20"/>
              </w:rPr>
            </w:r>
          </w:p>
        </w:tc>
        <w:tc>
          <w:tcPr>
            <w:tcW w:type="dxa" w:w="1440"/>
          </w:tcPr>
          <w:p>
            <w:pPr>
              <w:spacing w:line="240" w:lineRule="auto"/>
            </w:pPr>
            <w:r>
              <w:rPr>
                <w:rFonts w:ascii="Times New Roman" w:hAnsi="Times New Roman"/>
                <w:sz w:val="20"/>
              </w:rPr>
            </w:r>
          </w:p>
        </w:tc>
        <w:tc>
          <w:tcPr>
            <w:tcW w:type="dxa" w:w="1440"/>
          </w:tcPr>
          <w:p>
            <w:pPr>
              <w:spacing w:line="240" w:lineRule="auto"/>
            </w:pPr>
            <w:r>
              <w:rPr>
                <w:rFonts w:ascii="Times New Roman" w:hAnsi="Times New Roman"/>
                <w:sz w:val="20"/>
              </w:rPr>
            </w:r>
          </w:p>
        </w:tc>
        <w:tc>
          <w:tcPr>
            <w:tcW w:type="dxa" w:w="1440"/>
          </w:tcPr>
          <w:p>
            <w:pPr>
              <w:spacing w:line="240" w:lineRule="auto"/>
            </w:pPr>
            <w:r>
              <w:rPr>
                <w:rFonts w:ascii="Times New Roman" w:hAnsi="Times New Roman"/>
                <w:sz w:val="20"/>
              </w:rPr>
            </w:r>
          </w:p>
        </w:tc>
      </w:tr>
      <w:tr>
        <w:tc>
          <w:tcPr>
            <w:tcW w:type="dxa" w:w="1440"/>
          </w:tcPr>
          <w:p>
            <w:pPr>
              <w:spacing w:line="240" w:lineRule="auto"/>
            </w:pPr>
            <w:r>
              <w:rPr>
                <w:rFonts w:ascii="Times New Roman" w:hAnsi="Times New Roman"/>
                <w:sz w:val="20"/>
              </w:rPr>
              <w:t>Caliper</w:t>
            </w:r>
          </w:p>
        </w:tc>
        <w:tc>
          <w:tcPr>
            <w:tcW w:type="dxa" w:w="1440"/>
          </w:tcPr>
          <w:p>
            <w:pPr>
              <w:spacing w:line="240" w:lineRule="auto"/>
            </w:pPr>
            <w:r>
              <w:rPr>
                <w:rFonts w:ascii="Times New Roman" w:hAnsi="Times New Roman"/>
                <w:sz w:val="20"/>
              </w:rPr>
              <w:t>0.2 SD</w:t>
            </w:r>
          </w:p>
        </w:tc>
        <w:tc>
          <w:tcPr>
            <w:tcW w:type="dxa" w:w="1440"/>
          </w:tcPr>
          <w:p>
            <w:pPr>
              <w:spacing w:line="240" w:lineRule="auto"/>
            </w:pPr>
            <w:r>
              <w:rPr>
                <w:rFonts w:ascii="Times New Roman" w:hAnsi="Times New Roman"/>
                <w:sz w:val="20"/>
              </w:rPr>
            </w:r>
          </w:p>
        </w:tc>
        <w:tc>
          <w:tcPr>
            <w:tcW w:type="dxa" w:w="1440"/>
          </w:tcPr>
          <w:p>
            <w:pPr>
              <w:spacing w:line="240" w:lineRule="auto"/>
            </w:pPr>
            <w:r>
              <w:rPr>
                <w:rFonts w:ascii="Times New Roman" w:hAnsi="Times New Roman"/>
                <w:sz w:val="20"/>
              </w:rPr>
            </w:r>
          </w:p>
        </w:tc>
        <w:tc>
          <w:tcPr>
            <w:tcW w:type="dxa" w:w="1440"/>
          </w:tcPr>
          <w:p>
            <w:pPr>
              <w:spacing w:line="240" w:lineRule="auto"/>
            </w:pPr>
            <w:r>
              <w:rPr>
                <w:rFonts w:ascii="Times New Roman" w:hAnsi="Times New Roman"/>
                <w:sz w:val="20"/>
              </w:rPr>
            </w:r>
          </w:p>
        </w:tc>
        <w:tc>
          <w:tcPr>
            <w:tcW w:type="dxa" w:w="1440"/>
          </w:tcPr>
          <w:p>
            <w:pPr>
              <w:spacing w:line="240" w:lineRule="auto"/>
            </w:pPr>
            <w:r>
              <w:rPr>
                <w:rFonts w:ascii="Times New Roman" w:hAnsi="Times New Roman"/>
                <w:sz w:val="20"/>
              </w:rPr>
            </w:r>
          </w:p>
        </w:tc>
      </w:tr>
      <w:tr>
        <w:tc>
          <w:tcPr>
            <w:tcW w:type="dxa" w:w="1440"/>
          </w:tcPr>
          <w:p>
            <w:pPr>
              <w:spacing w:line="240" w:lineRule="auto"/>
            </w:pPr>
            <w:r>
              <w:rPr>
                <w:rFonts w:ascii="Times New Roman" w:hAnsi="Times New Roman"/>
                <w:sz w:val="20"/>
              </w:rPr>
              <w:t>Matching ratio</w:t>
            </w:r>
          </w:p>
        </w:tc>
        <w:tc>
          <w:tcPr>
            <w:tcW w:type="dxa" w:w="1440"/>
          </w:tcPr>
          <w:p>
            <w:pPr>
              <w:spacing w:line="240" w:lineRule="auto"/>
            </w:pPr>
            <w:r>
              <w:rPr>
                <w:rFonts w:ascii="Times New Roman" w:hAnsi="Times New Roman"/>
                <w:sz w:val="20"/>
              </w:rPr>
              <w:t>1:1</w:t>
            </w:r>
          </w:p>
        </w:tc>
        <w:tc>
          <w:tcPr>
            <w:tcW w:type="dxa" w:w="1440"/>
          </w:tcPr>
          <w:p>
            <w:pPr>
              <w:spacing w:line="240" w:lineRule="auto"/>
            </w:pPr>
            <w:r>
              <w:rPr>
                <w:rFonts w:ascii="Times New Roman" w:hAnsi="Times New Roman"/>
                <w:sz w:val="20"/>
              </w:rPr>
            </w:r>
          </w:p>
        </w:tc>
        <w:tc>
          <w:tcPr>
            <w:tcW w:type="dxa" w:w="1440"/>
          </w:tcPr>
          <w:p>
            <w:pPr>
              <w:spacing w:line="240" w:lineRule="auto"/>
            </w:pPr>
            <w:r>
              <w:rPr>
                <w:rFonts w:ascii="Times New Roman" w:hAnsi="Times New Roman"/>
                <w:sz w:val="20"/>
              </w:rPr>
            </w:r>
          </w:p>
        </w:tc>
        <w:tc>
          <w:tcPr>
            <w:tcW w:type="dxa" w:w="1440"/>
          </w:tcPr>
          <w:p>
            <w:pPr>
              <w:spacing w:line="240" w:lineRule="auto"/>
            </w:pPr>
            <w:r>
              <w:rPr>
                <w:rFonts w:ascii="Times New Roman" w:hAnsi="Times New Roman"/>
                <w:sz w:val="20"/>
              </w:rPr>
            </w:r>
          </w:p>
        </w:tc>
        <w:tc>
          <w:tcPr>
            <w:tcW w:type="dxa" w:w="1440"/>
          </w:tcPr>
          <w:p>
            <w:pPr>
              <w:spacing w:line="240" w:lineRule="auto"/>
            </w:pPr>
            <w:r>
              <w:rPr>
                <w:rFonts w:ascii="Times New Roman" w:hAnsi="Times New Roman"/>
                <w:sz w:val="20"/>
              </w:rPr>
            </w:r>
          </w:p>
        </w:tc>
      </w:tr>
    </w:tbl>
    <w:p>
      <w:pPr>
        <w:pStyle w:val="Heading3"/>
      </w:pPr>
      <w:r>
        <w:rPr>
          <w:rFonts w:ascii="Times New Roman" w:hAnsi="Times New Roman"/>
          <w:color w:val="000000"/>
        </w:rPr>
        <w:t>Table B.3: Modification Intensity (Negative Binomial Regression)</w:t>
      </w:r>
    </w:p>
    <w:p>
      <w:pPr>
        <w:ind w:firstLine="720"/>
      </w:pPr>
      <w:r>
        <w:rPr>
          <w:b/>
        </w:rPr>
        <w:t>Dependent Variable:</w:t>
      </w:r>
      <w:r>
        <w:t xml:space="preserve"> </w:t>
      </w:r>
      <w:r>
        <w:rPr>
          <w:rFonts w:ascii="Courier New" w:hAnsi="Courier New"/>
          <w:sz w:val="20"/>
        </w:rPr>
        <w:t>mod_count</w:t>
      </w:r>
      <w:r>
        <w:t xml:space="preserve"> (count of post-award modifications)</w:t>
      </w:r>
    </w:p>
    <w:p>
      <w:pPr>
        <w:ind w:firstLine="720"/>
      </w:pPr>
      <w:r>
        <w:rPr>
          <w:b/>
        </w:rPr>
        <w:t>Exposure Offset:</w:t>
      </w:r>
      <w:r>
        <w:t xml:space="preserve"> </w:t>
      </w:r>
      <w:r>
        <w:rPr>
          <w:rFonts w:ascii="Courier New" w:hAnsi="Courier New"/>
          <w:sz w:val="20"/>
        </w:rPr>
        <w:t>contract_duration_months</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pPr>
              <w:spacing w:line="240" w:lineRule="auto"/>
            </w:pPr>
            <w:r>
              <w:rPr>
                <w:rFonts w:ascii="Times New Roman" w:hAnsi="Times New Roman"/>
                <w:b/>
                <w:sz w:val="20"/>
              </w:rPr>
              <w:t>Variable</w:t>
            </w:r>
          </w:p>
        </w:tc>
        <w:tc>
          <w:tcPr>
            <w:tcW w:type="dxa" w:w="1440"/>
          </w:tcPr>
          <w:p>
            <w:pPr>
              <w:spacing w:line="240" w:lineRule="auto"/>
            </w:pPr>
            <w:r>
              <w:rPr>
                <w:rFonts w:ascii="Times New Roman" w:hAnsi="Times New Roman"/>
                <w:b/>
                <w:sz w:val="20"/>
              </w:rPr>
              <w:t>Coefficient</w:t>
            </w:r>
          </w:p>
        </w:tc>
        <w:tc>
          <w:tcPr>
            <w:tcW w:type="dxa" w:w="1440"/>
          </w:tcPr>
          <w:p>
            <w:pPr>
              <w:spacing w:line="240" w:lineRule="auto"/>
            </w:pPr>
            <w:r>
              <w:rPr>
                <w:rFonts w:ascii="Times New Roman" w:hAnsi="Times New Roman"/>
                <w:b/>
                <w:sz w:val="20"/>
              </w:rPr>
              <w:t>SE</w:t>
            </w:r>
          </w:p>
        </w:tc>
        <w:tc>
          <w:tcPr>
            <w:tcW w:type="dxa" w:w="1440"/>
          </w:tcPr>
          <w:p>
            <w:pPr>
              <w:spacing w:line="240" w:lineRule="auto"/>
            </w:pPr>
            <w:r>
              <w:rPr>
                <w:rFonts w:ascii="Times New Roman" w:hAnsi="Times New Roman"/>
                <w:b/>
                <w:sz w:val="20"/>
              </w:rPr>
              <w:t>IRR</w:t>
            </w:r>
          </w:p>
        </w:tc>
        <w:tc>
          <w:tcPr>
            <w:tcW w:type="dxa" w:w="1440"/>
          </w:tcPr>
          <w:p>
            <w:pPr>
              <w:spacing w:line="240" w:lineRule="auto"/>
            </w:pPr>
            <w:r>
              <w:rPr>
                <w:rFonts w:ascii="Times New Roman" w:hAnsi="Times New Roman"/>
                <w:b/>
                <w:sz w:val="20"/>
              </w:rPr>
              <w:t>95% CI (IRR)</w:t>
            </w:r>
          </w:p>
        </w:tc>
        <w:tc>
          <w:tcPr>
            <w:tcW w:type="dxa" w:w="1440"/>
          </w:tcPr>
          <w:p>
            <w:pPr>
              <w:spacing w:line="240" w:lineRule="auto"/>
            </w:pPr>
            <w:r>
              <w:rPr>
                <w:rFonts w:ascii="Times New Roman" w:hAnsi="Times New Roman"/>
                <w:b/>
                <w:sz w:val="20"/>
              </w:rPr>
              <w:t>p-value</w:t>
            </w:r>
          </w:p>
        </w:tc>
      </w:tr>
      <w:tr>
        <w:tc>
          <w:tcPr>
            <w:tcW w:type="dxa" w:w="1440"/>
          </w:tcPr>
          <w:p>
            <w:pPr>
              <w:spacing w:line="240" w:lineRule="auto"/>
            </w:pPr>
            <w:r>
              <w:rPr>
                <w:rFonts w:ascii="Times New Roman" w:hAnsi="Times New Roman"/>
                <w:sz w:val="20"/>
              </w:rPr>
              <w:t>Tradeoff (1 = TO, 0 = LPTA)</w:t>
            </w:r>
          </w:p>
        </w:tc>
        <w:tc>
          <w:tcPr>
            <w:tcW w:type="dxa" w:w="1440"/>
          </w:tcPr>
          <w:p>
            <w:pPr>
              <w:spacing w:line="240" w:lineRule="auto"/>
            </w:pPr>
            <w:r>
              <w:rPr>
                <w:rFonts w:ascii="Times New Roman" w:hAnsi="Times New Roman"/>
                <w:sz w:val="20"/>
              </w:rPr>
              <w:t>–</w:t>
            </w:r>
          </w:p>
        </w:tc>
        <w:tc>
          <w:tcPr>
            <w:tcW w:type="dxa" w:w="1440"/>
          </w:tcPr>
          <w:p>
            <w:pPr>
              <w:spacing w:line="240" w:lineRule="auto"/>
            </w:pPr>
            <w:r>
              <w:rPr>
                <w:rFonts w:ascii="Times New Roman" w:hAnsi="Times New Roman"/>
                <w:sz w:val="20"/>
              </w:rPr>
              <w:t>–</w:t>
            </w:r>
          </w:p>
        </w:tc>
        <w:tc>
          <w:tcPr>
            <w:tcW w:type="dxa" w:w="1440"/>
          </w:tcPr>
          <w:p>
            <w:pPr>
              <w:spacing w:line="240" w:lineRule="auto"/>
            </w:pPr>
            <w:r>
              <w:rPr>
                <w:rFonts w:ascii="Times New Roman" w:hAnsi="Times New Roman"/>
                <w:sz w:val="20"/>
              </w:rPr>
              <w:t>–</w:t>
            </w:r>
          </w:p>
        </w:tc>
        <w:tc>
          <w:tcPr>
            <w:tcW w:type="dxa" w:w="1440"/>
          </w:tcPr>
          <w:p>
            <w:pPr>
              <w:spacing w:line="240" w:lineRule="auto"/>
            </w:pPr>
            <w:r>
              <w:rPr>
                <w:rFonts w:ascii="Times New Roman" w:hAnsi="Times New Roman"/>
                <w:sz w:val="20"/>
              </w:rPr>
              <w:t>–</w:t>
            </w:r>
          </w:p>
        </w:tc>
        <w:tc>
          <w:tcPr>
            <w:tcW w:type="dxa" w:w="1440"/>
          </w:tcPr>
          <w:p>
            <w:pPr>
              <w:spacing w:line="240" w:lineRule="auto"/>
            </w:pPr>
            <w:r>
              <w:rPr>
                <w:rFonts w:ascii="Times New Roman" w:hAnsi="Times New Roman"/>
                <w:sz w:val="20"/>
              </w:rPr>
              <w:t>–</w:t>
            </w:r>
          </w:p>
        </w:tc>
      </w:tr>
      <w:tr>
        <w:tc>
          <w:tcPr>
            <w:tcW w:type="dxa" w:w="1440"/>
          </w:tcPr>
          <w:p>
            <w:pPr>
              <w:spacing w:line="240" w:lineRule="auto"/>
            </w:pPr>
            <w:r>
              <w:rPr>
                <w:rFonts w:ascii="Times New Roman" w:hAnsi="Times New Roman"/>
                <w:sz w:val="20"/>
              </w:rPr>
              <w:t>Log(Award Amount)</w:t>
            </w:r>
          </w:p>
        </w:tc>
        <w:tc>
          <w:tcPr>
            <w:tcW w:type="dxa" w:w="1440"/>
          </w:tcPr>
          <w:p>
            <w:pPr>
              <w:spacing w:line="240" w:lineRule="auto"/>
            </w:pPr>
            <w:r>
              <w:rPr>
                <w:rFonts w:ascii="Times New Roman" w:hAnsi="Times New Roman"/>
                <w:sz w:val="20"/>
              </w:rPr>
              <w:t>–</w:t>
            </w:r>
          </w:p>
        </w:tc>
        <w:tc>
          <w:tcPr>
            <w:tcW w:type="dxa" w:w="1440"/>
          </w:tcPr>
          <w:p>
            <w:pPr>
              <w:spacing w:line="240" w:lineRule="auto"/>
            </w:pPr>
            <w:r>
              <w:rPr>
                <w:rFonts w:ascii="Times New Roman" w:hAnsi="Times New Roman"/>
                <w:sz w:val="20"/>
              </w:rPr>
              <w:t>–</w:t>
            </w:r>
          </w:p>
        </w:tc>
        <w:tc>
          <w:tcPr>
            <w:tcW w:type="dxa" w:w="1440"/>
          </w:tcPr>
          <w:p>
            <w:pPr>
              <w:spacing w:line="240" w:lineRule="auto"/>
            </w:pPr>
            <w:r>
              <w:rPr>
                <w:rFonts w:ascii="Times New Roman" w:hAnsi="Times New Roman"/>
                <w:sz w:val="20"/>
              </w:rPr>
              <w:t>–</w:t>
            </w:r>
          </w:p>
        </w:tc>
        <w:tc>
          <w:tcPr>
            <w:tcW w:type="dxa" w:w="1440"/>
          </w:tcPr>
          <w:p>
            <w:pPr>
              <w:spacing w:line="240" w:lineRule="auto"/>
            </w:pPr>
            <w:r>
              <w:rPr>
                <w:rFonts w:ascii="Times New Roman" w:hAnsi="Times New Roman"/>
                <w:sz w:val="20"/>
              </w:rPr>
              <w:t>–</w:t>
            </w:r>
          </w:p>
        </w:tc>
        <w:tc>
          <w:tcPr>
            <w:tcW w:type="dxa" w:w="1440"/>
          </w:tcPr>
          <w:p>
            <w:pPr>
              <w:spacing w:line="240" w:lineRule="auto"/>
            </w:pPr>
            <w:r>
              <w:rPr>
                <w:rFonts w:ascii="Times New Roman" w:hAnsi="Times New Roman"/>
                <w:sz w:val="20"/>
              </w:rPr>
              <w:t>–</w:t>
            </w:r>
          </w:p>
        </w:tc>
      </w:tr>
      <w:tr>
        <w:tc>
          <w:tcPr>
            <w:tcW w:type="dxa" w:w="1440"/>
          </w:tcPr>
          <w:p>
            <w:pPr>
              <w:spacing w:line="240" w:lineRule="auto"/>
            </w:pPr>
            <w:r>
              <w:rPr>
                <w:rFonts w:ascii="Times New Roman" w:hAnsi="Times New Roman"/>
                <w:sz w:val="20"/>
              </w:rPr>
              <w:t>Contract Type: CPFF (ref: FFP)</w:t>
            </w:r>
          </w:p>
        </w:tc>
        <w:tc>
          <w:tcPr>
            <w:tcW w:type="dxa" w:w="1440"/>
          </w:tcPr>
          <w:p>
            <w:pPr>
              <w:spacing w:line="240" w:lineRule="auto"/>
            </w:pPr>
            <w:r>
              <w:rPr>
                <w:rFonts w:ascii="Times New Roman" w:hAnsi="Times New Roman"/>
                <w:sz w:val="20"/>
              </w:rPr>
              <w:t>–</w:t>
            </w:r>
          </w:p>
        </w:tc>
        <w:tc>
          <w:tcPr>
            <w:tcW w:type="dxa" w:w="1440"/>
          </w:tcPr>
          <w:p>
            <w:pPr>
              <w:spacing w:line="240" w:lineRule="auto"/>
            </w:pPr>
            <w:r>
              <w:rPr>
                <w:rFonts w:ascii="Times New Roman" w:hAnsi="Times New Roman"/>
                <w:sz w:val="20"/>
              </w:rPr>
              <w:t>–</w:t>
            </w:r>
          </w:p>
        </w:tc>
        <w:tc>
          <w:tcPr>
            <w:tcW w:type="dxa" w:w="1440"/>
          </w:tcPr>
          <w:p>
            <w:pPr>
              <w:spacing w:line="240" w:lineRule="auto"/>
            </w:pPr>
            <w:r>
              <w:rPr>
                <w:rFonts w:ascii="Times New Roman" w:hAnsi="Times New Roman"/>
                <w:sz w:val="20"/>
              </w:rPr>
              <w:t>–</w:t>
            </w:r>
          </w:p>
        </w:tc>
        <w:tc>
          <w:tcPr>
            <w:tcW w:type="dxa" w:w="1440"/>
          </w:tcPr>
          <w:p>
            <w:pPr>
              <w:spacing w:line="240" w:lineRule="auto"/>
            </w:pPr>
            <w:r>
              <w:rPr>
                <w:rFonts w:ascii="Times New Roman" w:hAnsi="Times New Roman"/>
                <w:sz w:val="20"/>
              </w:rPr>
              <w:t>–</w:t>
            </w:r>
          </w:p>
        </w:tc>
        <w:tc>
          <w:tcPr>
            <w:tcW w:type="dxa" w:w="1440"/>
          </w:tcPr>
          <w:p>
            <w:pPr>
              <w:spacing w:line="240" w:lineRule="auto"/>
            </w:pPr>
            <w:r>
              <w:rPr>
                <w:rFonts w:ascii="Times New Roman" w:hAnsi="Times New Roman"/>
                <w:sz w:val="20"/>
              </w:rPr>
              <w:t>–</w:t>
            </w:r>
          </w:p>
        </w:tc>
      </w:tr>
      <w:tr>
        <w:tc>
          <w:tcPr>
            <w:tcW w:type="dxa" w:w="1440"/>
          </w:tcPr>
          <w:p>
            <w:pPr>
              <w:spacing w:line="240" w:lineRule="auto"/>
            </w:pPr>
            <w:r>
              <w:rPr>
                <w:rFonts w:ascii="Times New Roman" w:hAnsi="Times New Roman"/>
                <w:sz w:val="20"/>
              </w:rPr>
              <w:t>Contract Type: T&amp;M (ref: FFP)</w:t>
            </w:r>
          </w:p>
        </w:tc>
        <w:tc>
          <w:tcPr>
            <w:tcW w:type="dxa" w:w="1440"/>
          </w:tcPr>
          <w:p>
            <w:pPr>
              <w:spacing w:line="240" w:lineRule="auto"/>
            </w:pPr>
            <w:r>
              <w:rPr>
                <w:rFonts w:ascii="Times New Roman" w:hAnsi="Times New Roman"/>
                <w:sz w:val="20"/>
              </w:rPr>
              <w:t>–</w:t>
            </w:r>
          </w:p>
        </w:tc>
        <w:tc>
          <w:tcPr>
            <w:tcW w:type="dxa" w:w="1440"/>
          </w:tcPr>
          <w:p>
            <w:pPr>
              <w:spacing w:line="240" w:lineRule="auto"/>
            </w:pPr>
            <w:r>
              <w:rPr>
                <w:rFonts w:ascii="Times New Roman" w:hAnsi="Times New Roman"/>
                <w:sz w:val="20"/>
              </w:rPr>
              <w:t>–</w:t>
            </w:r>
          </w:p>
        </w:tc>
        <w:tc>
          <w:tcPr>
            <w:tcW w:type="dxa" w:w="1440"/>
          </w:tcPr>
          <w:p>
            <w:pPr>
              <w:spacing w:line="240" w:lineRule="auto"/>
            </w:pPr>
            <w:r>
              <w:rPr>
                <w:rFonts w:ascii="Times New Roman" w:hAnsi="Times New Roman"/>
                <w:sz w:val="20"/>
              </w:rPr>
              <w:t>–</w:t>
            </w:r>
          </w:p>
        </w:tc>
        <w:tc>
          <w:tcPr>
            <w:tcW w:type="dxa" w:w="1440"/>
          </w:tcPr>
          <w:p>
            <w:pPr>
              <w:spacing w:line="240" w:lineRule="auto"/>
            </w:pPr>
            <w:r>
              <w:rPr>
                <w:rFonts w:ascii="Times New Roman" w:hAnsi="Times New Roman"/>
                <w:sz w:val="20"/>
              </w:rPr>
              <w:t>–</w:t>
            </w:r>
          </w:p>
        </w:tc>
        <w:tc>
          <w:tcPr>
            <w:tcW w:type="dxa" w:w="1440"/>
          </w:tcPr>
          <w:p>
            <w:pPr>
              <w:spacing w:line="240" w:lineRule="auto"/>
            </w:pPr>
            <w:r>
              <w:rPr>
                <w:rFonts w:ascii="Times New Roman" w:hAnsi="Times New Roman"/>
                <w:sz w:val="20"/>
              </w:rPr>
              <w:t>–</w:t>
            </w:r>
          </w:p>
        </w:tc>
      </w:tr>
      <w:tr>
        <w:tc>
          <w:tcPr>
            <w:tcW w:type="dxa" w:w="1440"/>
          </w:tcPr>
          <w:p>
            <w:pPr>
              <w:spacing w:line="240" w:lineRule="auto"/>
            </w:pPr>
            <w:r>
              <w:rPr>
                <w:rFonts w:ascii="Times New Roman" w:hAnsi="Times New Roman"/>
                <w:sz w:val="20"/>
              </w:rPr>
              <w:t>Contract Type: Other (ref: FFP)</w:t>
            </w:r>
          </w:p>
        </w:tc>
        <w:tc>
          <w:tcPr>
            <w:tcW w:type="dxa" w:w="1440"/>
          </w:tcPr>
          <w:p>
            <w:pPr>
              <w:spacing w:line="240" w:lineRule="auto"/>
            </w:pPr>
            <w:r>
              <w:rPr>
                <w:rFonts w:ascii="Times New Roman" w:hAnsi="Times New Roman"/>
                <w:sz w:val="20"/>
              </w:rPr>
              <w:t>–</w:t>
            </w:r>
          </w:p>
        </w:tc>
        <w:tc>
          <w:tcPr>
            <w:tcW w:type="dxa" w:w="1440"/>
          </w:tcPr>
          <w:p>
            <w:pPr>
              <w:spacing w:line="240" w:lineRule="auto"/>
            </w:pPr>
            <w:r>
              <w:rPr>
                <w:rFonts w:ascii="Times New Roman" w:hAnsi="Times New Roman"/>
                <w:sz w:val="20"/>
              </w:rPr>
              <w:t>–</w:t>
            </w:r>
          </w:p>
        </w:tc>
        <w:tc>
          <w:tcPr>
            <w:tcW w:type="dxa" w:w="1440"/>
          </w:tcPr>
          <w:p>
            <w:pPr>
              <w:spacing w:line="240" w:lineRule="auto"/>
            </w:pPr>
            <w:r>
              <w:rPr>
                <w:rFonts w:ascii="Times New Roman" w:hAnsi="Times New Roman"/>
                <w:sz w:val="20"/>
              </w:rPr>
              <w:t>–</w:t>
            </w:r>
          </w:p>
        </w:tc>
        <w:tc>
          <w:tcPr>
            <w:tcW w:type="dxa" w:w="1440"/>
          </w:tcPr>
          <w:p>
            <w:pPr>
              <w:spacing w:line="240" w:lineRule="auto"/>
            </w:pPr>
            <w:r>
              <w:rPr>
                <w:rFonts w:ascii="Times New Roman" w:hAnsi="Times New Roman"/>
                <w:sz w:val="20"/>
              </w:rPr>
              <w:t>–</w:t>
            </w:r>
          </w:p>
        </w:tc>
        <w:tc>
          <w:tcPr>
            <w:tcW w:type="dxa" w:w="1440"/>
          </w:tcPr>
          <w:p>
            <w:pPr>
              <w:spacing w:line="240" w:lineRule="auto"/>
            </w:pPr>
            <w:r>
              <w:rPr>
                <w:rFonts w:ascii="Times New Roman" w:hAnsi="Times New Roman"/>
                <w:sz w:val="20"/>
              </w:rPr>
              <w:t>–</w:t>
            </w:r>
          </w:p>
        </w:tc>
      </w:tr>
      <w:tr>
        <w:tc>
          <w:tcPr>
            <w:tcW w:type="dxa" w:w="1440"/>
          </w:tcPr>
          <w:p>
            <w:pPr>
              <w:spacing w:line="240" w:lineRule="auto"/>
            </w:pPr>
            <w:r>
              <w:rPr>
                <w:rFonts w:ascii="Times New Roman" w:hAnsi="Times New Roman"/>
                <w:sz w:val="20"/>
              </w:rPr>
              <w:t>IDV Indicator</w:t>
            </w:r>
          </w:p>
        </w:tc>
        <w:tc>
          <w:tcPr>
            <w:tcW w:type="dxa" w:w="1440"/>
          </w:tcPr>
          <w:p>
            <w:pPr>
              <w:spacing w:line="240" w:lineRule="auto"/>
            </w:pPr>
            <w:r>
              <w:rPr>
                <w:rFonts w:ascii="Times New Roman" w:hAnsi="Times New Roman"/>
                <w:sz w:val="20"/>
              </w:rPr>
              <w:t>–</w:t>
            </w:r>
          </w:p>
        </w:tc>
        <w:tc>
          <w:tcPr>
            <w:tcW w:type="dxa" w:w="1440"/>
          </w:tcPr>
          <w:p>
            <w:pPr>
              <w:spacing w:line="240" w:lineRule="auto"/>
            </w:pPr>
            <w:r>
              <w:rPr>
                <w:rFonts w:ascii="Times New Roman" w:hAnsi="Times New Roman"/>
                <w:sz w:val="20"/>
              </w:rPr>
              <w:t>–</w:t>
            </w:r>
          </w:p>
        </w:tc>
        <w:tc>
          <w:tcPr>
            <w:tcW w:type="dxa" w:w="1440"/>
          </w:tcPr>
          <w:p>
            <w:pPr>
              <w:spacing w:line="240" w:lineRule="auto"/>
            </w:pPr>
            <w:r>
              <w:rPr>
                <w:rFonts w:ascii="Times New Roman" w:hAnsi="Times New Roman"/>
                <w:sz w:val="20"/>
              </w:rPr>
              <w:t>–</w:t>
            </w:r>
          </w:p>
        </w:tc>
        <w:tc>
          <w:tcPr>
            <w:tcW w:type="dxa" w:w="1440"/>
          </w:tcPr>
          <w:p>
            <w:pPr>
              <w:spacing w:line="240" w:lineRule="auto"/>
            </w:pPr>
            <w:r>
              <w:rPr>
                <w:rFonts w:ascii="Times New Roman" w:hAnsi="Times New Roman"/>
                <w:sz w:val="20"/>
              </w:rPr>
              <w:t>–</w:t>
            </w:r>
          </w:p>
        </w:tc>
        <w:tc>
          <w:tcPr>
            <w:tcW w:type="dxa" w:w="1440"/>
          </w:tcPr>
          <w:p>
            <w:pPr>
              <w:spacing w:line="240" w:lineRule="auto"/>
            </w:pPr>
            <w:r>
              <w:rPr>
                <w:rFonts w:ascii="Times New Roman" w:hAnsi="Times New Roman"/>
                <w:sz w:val="20"/>
              </w:rPr>
              <w:t>–</w:t>
            </w:r>
          </w:p>
        </w:tc>
      </w:tr>
      <w:tr>
        <w:tc>
          <w:tcPr>
            <w:tcW w:type="dxa" w:w="1440"/>
          </w:tcPr>
          <w:p>
            <w:pPr>
              <w:spacing w:line="240" w:lineRule="auto"/>
            </w:pPr>
            <w:r>
              <w:rPr>
                <w:rFonts w:ascii="Times New Roman" w:hAnsi="Times New Roman"/>
                <w:sz w:val="20"/>
              </w:rPr>
              <w:t>Set-Aside: Small Business (ref: Unrestricted)</w:t>
            </w:r>
          </w:p>
        </w:tc>
        <w:tc>
          <w:tcPr>
            <w:tcW w:type="dxa" w:w="1440"/>
          </w:tcPr>
          <w:p>
            <w:pPr>
              <w:spacing w:line="240" w:lineRule="auto"/>
            </w:pPr>
            <w:r>
              <w:rPr>
                <w:rFonts w:ascii="Times New Roman" w:hAnsi="Times New Roman"/>
                <w:sz w:val="20"/>
              </w:rPr>
              <w:t>–</w:t>
            </w:r>
          </w:p>
        </w:tc>
        <w:tc>
          <w:tcPr>
            <w:tcW w:type="dxa" w:w="1440"/>
          </w:tcPr>
          <w:p>
            <w:pPr>
              <w:spacing w:line="240" w:lineRule="auto"/>
            </w:pPr>
            <w:r>
              <w:rPr>
                <w:rFonts w:ascii="Times New Roman" w:hAnsi="Times New Roman"/>
                <w:sz w:val="20"/>
              </w:rPr>
              <w:t>–</w:t>
            </w:r>
          </w:p>
        </w:tc>
        <w:tc>
          <w:tcPr>
            <w:tcW w:type="dxa" w:w="1440"/>
          </w:tcPr>
          <w:p>
            <w:pPr>
              <w:spacing w:line="240" w:lineRule="auto"/>
            </w:pPr>
            <w:r>
              <w:rPr>
                <w:rFonts w:ascii="Times New Roman" w:hAnsi="Times New Roman"/>
                <w:sz w:val="20"/>
              </w:rPr>
              <w:t>–</w:t>
            </w:r>
          </w:p>
        </w:tc>
        <w:tc>
          <w:tcPr>
            <w:tcW w:type="dxa" w:w="1440"/>
          </w:tcPr>
          <w:p>
            <w:pPr>
              <w:spacing w:line="240" w:lineRule="auto"/>
            </w:pPr>
            <w:r>
              <w:rPr>
                <w:rFonts w:ascii="Times New Roman" w:hAnsi="Times New Roman"/>
                <w:sz w:val="20"/>
              </w:rPr>
              <w:t>–</w:t>
            </w:r>
          </w:p>
        </w:tc>
        <w:tc>
          <w:tcPr>
            <w:tcW w:type="dxa" w:w="1440"/>
          </w:tcPr>
          <w:p>
            <w:pPr>
              <w:spacing w:line="240" w:lineRule="auto"/>
            </w:pPr>
            <w:r>
              <w:rPr>
                <w:rFonts w:ascii="Times New Roman" w:hAnsi="Times New Roman"/>
                <w:sz w:val="20"/>
              </w:rPr>
              <w:t>–</w:t>
            </w:r>
          </w:p>
        </w:tc>
      </w:tr>
      <w:tr>
        <w:tc>
          <w:tcPr>
            <w:tcW w:type="dxa" w:w="1440"/>
          </w:tcPr>
          <w:p>
            <w:pPr>
              <w:spacing w:line="240" w:lineRule="auto"/>
            </w:pPr>
            <w:r>
              <w:rPr>
                <w:rFonts w:ascii="Times New Roman" w:hAnsi="Times New Roman"/>
                <w:sz w:val="20"/>
              </w:rPr>
              <w:t>Set-Aside: 8(a) (ref: Unrestricted)</w:t>
            </w:r>
          </w:p>
        </w:tc>
        <w:tc>
          <w:tcPr>
            <w:tcW w:type="dxa" w:w="1440"/>
          </w:tcPr>
          <w:p>
            <w:pPr>
              <w:spacing w:line="240" w:lineRule="auto"/>
            </w:pPr>
            <w:r>
              <w:rPr>
                <w:rFonts w:ascii="Times New Roman" w:hAnsi="Times New Roman"/>
                <w:sz w:val="20"/>
              </w:rPr>
              <w:t>–</w:t>
            </w:r>
          </w:p>
        </w:tc>
        <w:tc>
          <w:tcPr>
            <w:tcW w:type="dxa" w:w="1440"/>
          </w:tcPr>
          <w:p>
            <w:pPr>
              <w:spacing w:line="240" w:lineRule="auto"/>
            </w:pPr>
            <w:r>
              <w:rPr>
                <w:rFonts w:ascii="Times New Roman" w:hAnsi="Times New Roman"/>
                <w:sz w:val="20"/>
              </w:rPr>
              <w:t>–</w:t>
            </w:r>
          </w:p>
        </w:tc>
        <w:tc>
          <w:tcPr>
            <w:tcW w:type="dxa" w:w="1440"/>
          </w:tcPr>
          <w:p>
            <w:pPr>
              <w:spacing w:line="240" w:lineRule="auto"/>
            </w:pPr>
            <w:r>
              <w:rPr>
                <w:rFonts w:ascii="Times New Roman" w:hAnsi="Times New Roman"/>
                <w:sz w:val="20"/>
              </w:rPr>
              <w:t>–</w:t>
            </w:r>
          </w:p>
        </w:tc>
        <w:tc>
          <w:tcPr>
            <w:tcW w:type="dxa" w:w="1440"/>
          </w:tcPr>
          <w:p>
            <w:pPr>
              <w:spacing w:line="240" w:lineRule="auto"/>
            </w:pPr>
            <w:r>
              <w:rPr>
                <w:rFonts w:ascii="Times New Roman" w:hAnsi="Times New Roman"/>
                <w:sz w:val="20"/>
              </w:rPr>
              <w:t>–</w:t>
            </w:r>
          </w:p>
        </w:tc>
        <w:tc>
          <w:tcPr>
            <w:tcW w:type="dxa" w:w="1440"/>
          </w:tcPr>
          <w:p>
            <w:pPr>
              <w:spacing w:line="240" w:lineRule="auto"/>
            </w:pPr>
            <w:r>
              <w:rPr>
                <w:rFonts w:ascii="Times New Roman" w:hAnsi="Times New Roman"/>
                <w:sz w:val="20"/>
              </w:rPr>
              <w:t>–</w:t>
            </w:r>
          </w:p>
        </w:tc>
      </w:tr>
      <w:tr>
        <w:tc>
          <w:tcPr>
            <w:tcW w:type="dxa" w:w="1440"/>
          </w:tcPr>
          <w:p>
            <w:pPr>
              <w:spacing w:line="240" w:lineRule="auto"/>
            </w:pPr>
            <w:r>
              <w:rPr>
                <w:rFonts w:ascii="Times New Roman" w:hAnsi="Times New Roman"/>
                <w:sz w:val="20"/>
              </w:rPr>
              <w:t>Set-Aside: HUBZone (ref: Unrestricted)</w:t>
            </w:r>
          </w:p>
        </w:tc>
        <w:tc>
          <w:tcPr>
            <w:tcW w:type="dxa" w:w="1440"/>
          </w:tcPr>
          <w:p>
            <w:pPr>
              <w:spacing w:line="240" w:lineRule="auto"/>
            </w:pPr>
            <w:r>
              <w:rPr>
                <w:rFonts w:ascii="Times New Roman" w:hAnsi="Times New Roman"/>
                <w:sz w:val="20"/>
              </w:rPr>
              <w:t>–</w:t>
            </w:r>
          </w:p>
        </w:tc>
        <w:tc>
          <w:tcPr>
            <w:tcW w:type="dxa" w:w="1440"/>
          </w:tcPr>
          <w:p>
            <w:pPr>
              <w:spacing w:line="240" w:lineRule="auto"/>
            </w:pPr>
            <w:r>
              <w:rPr>
                <w:rFonts w:ascii="Times New Roman" w:hAnsi="Times New Roman"/>
                <w:sz w:val="20"/>
              </w:rPr>
              <w:t>–</w:t>
            </w:r>
          </w:p>
        </w:tc>
        <w:tc>
          <w:tcPr>
            <w:tcW w:type="dxa" w:w="1440"/>
          </w:tcPr>
          <w:p>
            <w:pPr>
              <w:spacing w:line="240" w:lineRule="auto"/>
            </w:pPr>
            <w:r>
              <w:rPr>
                <w:rFonts w:ascii="Times New Roman" w:hAnsi="Times New Roman"/>
                <w:sz w:val="20"/>
              </w:rPr>
              <w:t>–</w:t>
            </w:r>
          </w:p>
        </w:tc>
        <w:tc>
          <w:tcPr>
            <w:tcW w:type="dxa" w:w="1440"/>
          </w:tcPr>
          <w:p>
            <w:pPr>
              <w:spacing w:line="240" w:lineRule="auto"/>
            </w:pPr>
            <w:r>
              <w:rPr>
                <w:rFonts w:ascii="Times New Roman" w:hAnsi="Times New Roman"/>
                <w:sz w:val="20"/>
              </w:rPr>
              <w:t>–</w:t>
            </w:r>
          </w:p>
        </w:tc>
        <w:tc>
          <w:tcPr>
            <w:tcW w:type="dxa" w:w="1440"/>
          </w:tcPr>
          <w:p>
            <w:pPr>
              <w:spacing w:line="240" w:lineRule="auto"/>
            </w:pPr>
            <w:r>
              <w:rPr>
                <w:rFonts w:ascii="Times New Roman" w:hAnsi="Times New Roman"/>
                <w:sz w:val="20"/>
              </w:rPr>
              <w:t>–</w:t>
            </w:r>
          </w:p>
        </w:tc>
      </w:tr>
      <w:tr>
        <w:tc>
          <w:tcPr>
            <w:tcW w:type="dxa" w:w="1440"/>
          </w:tcPr>
          <w:p>
            <w:pPr>
              <w:spacing w:line="240" w:lineRule="auto"/>
            </w:pPr>
            <w:r>
              <w:rPr>
                <w:rFonts w:ascii="Times New Roman" w:hAnsi="Times New Roman"/>
                <w:sz w:val="20"/>
              </w:rPr>
              <w:t>Set-Aside: SDVOSB (ref: Unrestricted)</w:t>
            </w:r>
          </w:p>
        </w:tc>
        <w:tc>
          <w:tcPr>
            <w:tcW w:type="dxa" w:w="1440"/>
          </w:tcPr>
          <w:p>
            <w:pPr>
              <w:spacing w:line="240" w:lineRule="auto"/>
            </w:pPr>
            <w:r>
              <w:rPr>
                <w:rFonts w:ascii="Times New Roman" w:hAnsi="Times New Roman"/>
                <w:sz w:val="20"/>
              </w:rPr>
              <w:t>–</w:t>
            </w:r>
          </w:p>
        </w:tc>
        <w:tc>
          <w:tcPr>
            <w:tcW w:type="dxa" w:w="1440"/>
          </w:tcPr>
          <w:p>
            <w:pPr>
              <w:spacing w:line="240" w:lineRule="auto"/>
            </w:pPr>
            <w:r>
              <w:rPr>
                <w:rFonts w:ascii="Times New Roman" w:hAnsi="Times New Roman"/>
                <w:sz w:val="20"/>
              </w:rPr>
              <w:t>–</w:t>
            </w:r>
          </w:p>
        </w:tc>
        <w:tc>
          <w:tcPr>
            <w:tcW w:type="dxa" w:w="1440"/>
          </w:tcPr>
          <w:p>
            <w:pPr>
              <w:spacing w:line="240" w:lineRule="auto"/>
            </w:pPr>
            <w:r>
              <w:rPr>
                <w:rFonts w:ascii="Times New Roman" w:hAnsi="Times New Roman"/>
                <w:sz w:val="20"/>
              </w:rPr>
              <w:t>–</w:t>
            </w:r>
          </w:p>
        </w:tc>
        <w:tc>
          <w:tcPr>
            <w:tcW w:type="dxa" w:w="1440"/>
          </w:tcPr>
          <w:p>
            <w:pPr>
              <w:spacing w:line="240" w:lineRule="auto"/>
            </w:pPr>
            <w:r>
              <w:rPr>
                <w:rFonts w:ascii="Times New Roman" w:hAnsi="Times New Roman"/>
                <w:sz w:val="20"/>
              </w:rPr>
              <w:t>–</w:t>
            </w:r>
          </w:p>
        </w:tc>
        <w:tc>
          <w:tcPr>
            <w:tcW w:type="dxa" w:w="1440"/>
          </w:tcPr>
          <w:p>
            <w:pPr>
              <w:spacing w:line="240" w:lineRule="auto"/>
            </w:pPr>
            <w:r>
              <w:rPr>
                <w:rFonts w:ascii="Times New Roman" w:hAnsi="Times New Roman"/>
                <w:sz w:val="20"/>
              </w:rPr>
              <w:t>–</w:t>
            </w:r>
          </w:p>
        </w:tc>
      </w:tr>
      <w:tr>
        <w:tc>
          <w:tcPr>
            <w:tcW w:type="dxa" w:w="1440"/>
          </w:tcPr>
          <w:p>
            <w:pPr>
              <w:spacing w:line="240" w:lineRule="auto"/>
            </w:pPr>
            <w:r>
              <w:rPr>
                <w:rFonts w:ascii="Times New Roman" w:hAnsi="Times New Roman"/>
                <w:sz w:val="20"/>
              </w:rPr>
              <w:t>Set-Aside: WOSB (ref: Unrestricted)</w:t>
            </w:r>
          </w:p>
        </w:tc>
        <w:tc>
          <w:tcPr>
            <w:tcW w:type="dxa" w:w="1440"/>
          </w:tcPr>
          <w:p>
            <w:pPr>
              <w:spacing w:line="240" w:lineRule="auto"/>
            </w:pPr>
            <w:r>
              <w:rPr>
                <w:rFonts w:ascii="Times New Roman" w:hAnsi="Times New Roman"/>
                <w:sz w:val="20"/>
              </w:rPr>
              <w:t>–</w:t>
            </w:r>
          </w:p>
        </w:tc>
        <w:tc>
          <w:tcPr>
            <w:tcW w:type="dxa" w:w="1440"/>
          </w:tcPr>
          <w:p>
            <w:pPr>
              <w:spacing w:line="240" w:lineRule="auto"/>
            </w:pPr>
            <w:r>
              <w:rPr>
                <w:rFonts w:ascii="Times New Roman" w:hAnsi="Times New Roman"/>
                <w:sz w:val="20"/>
              </w:rPr>
              <w:t>–</w:t>
            </w:r>
          </w:p>
        </w:tc>
        <w:tc>
          <w:tcPr>
            <w:tcW w:type="dxa" w:w="1440"/>
          </w:tcPr>
          <w:p>
            <w:pPr>
              <w:spacing w:line="240" w:lineRule="auto"/>
            </w:pPr>
            <w:r>
              <w:rPr>
                <w:rFonts w:ascii="Times New Roman" w:hAnsi="Times New Roman"/>
                <w:sz w:val="20"/>
              </w:rPr>
              <w:t>–</w:t>
            </w:r>
          </w:p>
        </w:tc>
        <w:tc>
          <w:tcPr>
            <w:tcW w:type="dxa" w:w="1440"/>
          </w:tcPr>
          <w:p>
            <w:pPr>
              <w:spacing w:line="240" w:lineRule="auto"/>
            </w:pPr>
            <w:r>
              <w:rPr>
                <w:rFonts w:ascii="Times New Roman" w:hAnsi="Times New Roman"/>
                <w:sz w:val="20"/>
              </w:rPr>
              <w:t>–</w:t>
            </w:r>
          </w:p>
        </w:tc>
        <w:tc>
          <w:tcPr>
            <w:tcW w:type="dxa" w:w="1440"/>
          </w:tcPr>
          <w:p>
            <w:pPr>
              <w:spacing w:line="240" w:lineRule="auto"/>
            </w:pPr>
            <w:r>
              <w:rPr>
                <w:rFonts w:ascii="Times New Roman" w:hAnsi="Times New Roman"/>
                <w:sz w:val="20"/>
              </w:rPr>
              <w:t>–</w:t>
            </w:r>
          </w:p>
        </w:tc>
      </w:tr>
      <w:tr>
        <w:tc>
          <w:tcPr>
            <w:tcW w:type="dxa" w:w="1440"/>
          </w:tcPr>
          <w:p>
            <w:pPr>
              <w:spacing w:line="240" w:lineRule="auto"/>
            </w:pPr>
            <w:r>
              <w:rPr>
                <w:rFonts w:ascii="Times New Roman" w:hAnsi="Times New Roman"/>
                <w:sz w:val="20"/>
              </w:rPr>
              <w:t>Set-Aside: Other (ref: Unrestricted)</w:t>
            </w:r>
          </w:p>
        </w:tc>
        <w:tc>
          <w:tcPr>
            <w:tcW w:type="dxa" w:w="1440"/>
          </w:tcPr>
          <w:p>
            <w:pPr>
              <w:spacing w:line="240" w:lineRule="auto"/>
            </w:pPr>
            <w:r>
              <w:rPr>
                <w:rFonts w:ascii="Times New Roman" w:hAnsi="Times New Roman"/>
                <w:sz w:val="20"/>
              </w:rPr>
              <w:t>–</w:t>
            </w:r>
          </w:p>
        </w:tc>
        <w:tc>
          <w:tcPr>
            <w:tcW w:type="dxa" w:w="1440"/>
          </w:tcPr>
          <w:p>
            <w:pPr>
              <w:spacing w:line="240" w:lineRule="auto"/>
            </w:pPr>
            <w:r>
              <w:rPr>
                <w:rFonts w:ascii="Times New Roman" w:hAnsi="Times New Roman"/>
                <w:sz w:val="20"/>
              </w:rPr>
              <w:t>–</w:t>
            </w:r>
          </w:p>
        </w:tc>
        <w:tc>
          <w:tcPr>
            <w:tcW w:type="dxa" w:w="1440"/>
          </w:tcPr>
          <w:p>
            <w:pPr>
              <w:spacing w:line="240" w:lineRule="auto"/>
            </w:pPr>
            <w:r>
              <w:rPr>
                <w:rFonts w:ascii="Times New Roman" w:hAnsi="Times New Roman"/>
                <w:sz w:val="20"/>
              </w:rPr>
              <w:t>–</w:t>
            </w:r>
          </w:p>
        </w:tc>
        <w:tc>
          <w:tcPr>
            <w:tcW w:type="dxa" w:w="1440"/>
          </w:tcPr>
          <w:p>
            <w:pPr>
              <w:spacing w:line="240" w:lineRule="auto"/>
            </w:pPr>
            <w:r>
              <w:rPr>
                <w:rFonts w:ascii="Times New Roman" w:hAnsi="Times New Roman"/>
                <w:sz w:val="20"/>
              </w:rPr>
              <w:t>–</w:t>
            </w:r>
          </w:p>
        </w:tc>
        <w:tc>
          <w:tcPr>
            <w:tcW w:type="dxa" w:w="1440"/>
          </w:tcPr>
          <w:p>
            <w:pPr>
              <w:spacing w:line="240" w:lineRule="auto"/>
            </w:pPr>
            <w:r>
              <w:rPr>
                <w:rFonts w:ascii="Times New Roman" w:hAnsi="Times New Roman"/>
                <w:sz w:val="20"/>
              </w:rPr>
              <w:t>–</w:t>
            </w:r>
          </w:p>
        </w:tc>
      </w:tr>
      <w:tr>
        <w:tc>
          <w:tcPr>
            <w:tcW w:type="dxa" w:w="1440"/>
          </w:tcPr>
          <w:p>
            <w:pPr>
              <w:spacing w:line="240" w:lineRule="auto"/>
            </w:pPr>
            <w:r>
              <w:rPr>
                <w:rFonts w:ascii="Times New Roman" w:hAnsi="Times New Roman"/>
                <w:sz w:val="20"/>
              </w:rPr>
              <w:t>Agency Fixed Effects</w:t>
            </w:r>
          </w:p>
        </w:tc>
        <w:tc>
          <w:tcPr>
            <w:tcW w:type="dxa" w:w="1440"/>
          </w:tcPr>
          <w:p>
            <w:pPr>
              <w:spacing w:line="240" w:lineRule="auto"/>
            </w:pPr>
            <w:r>
              <w:rPr>
                <w:rFonts w:ascii="Times New Roman" w:hAnsi="Times New Roman"/>
                <w:sz w:val="20"/>
              </w:rPr>
              <w:t>Included</w:t>
            </w:r>
          </w:p>
        </w:tc>
        <w:tc>
          <w:tcPr>
            <w:tcW w:type="dxa" w:w="1440"/>
          </w:tcPr>
          <w:p>
            <w:pPr>
              <w:spacing w:line="240" w:lineRule="auto"/>
            </w:pPr>
            <w:r>
              <w:rPr>
                <w:rFonts w:ascii="Times New Roman" w:hAnsi="Times New Roman"/>
                <w:sz w:val="20"/>
              </w:rPr>
            </w:r>
          </w:p>
        </w:tc>
        <w:tc>
          <w:tcPr>
            <w:tcW w:type="dxa" w:w="1440"/>
          </w:tcPr>
          <w:p>
            <w:pPr>
              <w:spacing w:line="240" w:lineRule="auto"/>
            </w:pPr>
            <w:r>
              <w:rPr>
                <w:rFonts w:ascii="Times New Roman" w:hAnsi="Times New Roman"/>
                <w:sz w:val="20"/>
              </w:rPr>
            </w:r>
          </w:p>
        </w:tc>
        <w:tc>
          <w:tcPr>
            <w:tcW w:type="dxa" w:w="1440"/>
          </w:tcPr>
          <w:p>
            <w:pPr>
              <w:spacing w:line="240" w:lineRule="auto"/>
            </w:pPr>
            <w:r>
              <w:rPr>
                <w:rFonts w:ascii="Times New Roman" w:hAnsi="Times New Roman"/>
                <w:sz w:val="20"/>
              </w:rPr>
            </w:r>
          </w:p>
        </w:tc>
        <w:tc>
          <w:tcPr>
            <w:tcW w:type="dxa" w:w="1440"/>
          </w:tcPr>
          <w:p>
            <w:pPr>
              <w:spacing w:line="240" w:lineRule="auto"/>
            </w:pPr>
            <w:r>
              <w:rPr>
                <w:rFonts w:ascii="Times New Roman" w:hAnsi="Times New Roman"/>
                <w:sz w:val="20"/>
              </w:rPr>
            </w:r>
          </w:p>
        </w:tc>
      </w:tr>
      <w:tr>
        <w:tc>
          <w:tcPr>
            <w:tcW w:type="dxa" w:w="1440"/>
          </w:tcPr>
          <w:p>
            <w:pPr>
              <w:spacing w:line="240" w:lineRule="auto"/>
            </w:pPr>
            <w:r>
              <w:rPr>
                <w:rFonts w:ascii="Times New Roman" w:hAnsi="Times New Roman"/>
                <w:sz w:val="20"/>
              </w:rPr>
              <w:t>Fiscal Year Fixed Effects</w:t>
            </w:r>
          </w:p>
        </w:tc>
        <w:tc>
          <w:tcPr>
            <w:tcW w:type="dxa" w:w="1440"/>
          </w:tcPr>
          <w:p>
            <w:pPr>
              <w:spacing w:line="240" w:lineRule="auto"/>
            </w:pPr>
            <w:r>
              <w:rPr>
                <w:rFonts w:ascii="Times New Roman" w:hAnsi="Times New Roman"/>
                <w:sz w:val="20"/>
              </w:rPr>
              <w:t>Included</w:t>
            </w:r>
          </w:p>
        </w:tc>
        <w:tc>
          <w:tcPr>
            <w:tcW w:type="dxa" w:w="1440"/>
          </w:tcPr>
          <w:p>
            <w:pPr>
              <w:spacing w:line="240" w:lineRule="auto"/>
            </w:pPr>
            <w:r>
              <w:rPr>
                <w:rFonts w:ascii="Times New Roman" w:hAnsi="Times New Roman"/>
                <w:sz w:val="20"/>
              </w:rPr>
            </w:r>
          </w:p>
        </w:tc>
        <w:tc>
          <w:tcPr>
            <w:tcW w:type="dxa" w:w="1440"/>
          </w:tcPr>
          <w:p>
            <w:pPr>
              <w:spacing w:line="240" w:lineRule="auto"/>
            </w:pPr>
            <w:r>
              <w:rPr>
                <w:rFonts w:ascii="Times New Roman" w:hAnsi="Times New Roman"/>
                <w:sz w:val="20"/>
              </w:rPr>
            </w:r>
          </w:p>
        </w:tc>
        <w:tc>
          <w:tcPr>
            <w:tcW w:type="dxa" w:w="1440"/>
          </w:tcPr>
          <w:p>
            <w:pPr>
              <w:spacing w:line="240" w:lineRule="auto"/>
            </w:pPr>
            <w:r>
              <w:rPr>
                <w:rFonts w:ascii="Times New Roman" w:hAnsi="Times New Roman"/>
                <w:sz w:val="20"/>
              </w:rPr>
            </w:r>
          </w:p>
        </w:tc>
        <w:tc>
          <w:tcPr>
            <w:tcW w:type="dxa" w:w="1440"/>
          </w:tcPr>
          <w:p>
            <w:pPr>
              <w:spacing w:line="240" w:lineRule="auto"/>
            </w:pPr>
            <w:r>
              <w:rPr>
                <w:rFonts w:ascii="Times New Roman" w:hAnsi="Times New Roman"/>
                <w:sz w:val="20"/>
              </w:rPr>
            </w:r>
          </w:p>
        </w:tc>
      </w:tr>
      <w:tr>
        <w:tc>
          <w:tcPr>
            <w:tcW w:type="dxa" w:w="1440"/>
          </w:tcPr>
          <w:p>
            <w:pPr>
              <w:spacing w:line="240" w:lineRule="auto"/>
            </w:pPr>
            <w:r>
              <w:rPr>
                <w:rFonts w:ascii="Times New Roman" w:hAnsi="Times New Roman"/>
                <w:sz w:val="20"/>
              </w:rPr>
              <w:t>Constant</w:t>
            </w:r>
          </w:p>
        </w:tc>
        <w:tc>
          <w:tcPr>
            <w:tcW w:type="dxa" w:w="1440"/>
          </w:tcPr>
          <w:p>
            <w:pPr>
              <w:spacing w:line="240" w:lineRule="auto"/>
            </w:pPr>
            <w:r>
              <w:rPr>
                <w:rFonts w:ascii="Times New Roman" w:hAnsi="Times New Roman"/>
                <w:sz w:val="20"/>
              </w:rPr>
              <w:t>–</w:t>
            </w:r>
          </w:p>
        </w:tc>
        <w:tc>
          <w:tcPr>
            <w:tcW w:type="dxa" w:w="1440"/>
          </w:tcPr>
          <w:p>
            <w:pPr>
              <w:spacing w:line="240" w:lineRule="auto"/>
            </w:pPr>
            <w:r>
              <w:rPr>
                <w:rFonts w:ascii="Times New Roman" w:hAnsi="Times New Roman"/>
                <w:sz w:val="20"/>
              </w:rPr>
              <w:t>–</w:t>
            </w:r>
          </w:p>
        </w:tc>
        <w:tc>
          <w:tcPr>
            <w:tcW w:type="dxa" w:w="1440"/>
          </w:tcPr>
          <w:p>
            <w:pPr>
              <w:spacing w:line="240" w:lineRule="auto"/>
            </w:pPr>
            <w:r>
              <w:rPr>
                <w:rFonts w:ascii="Times New Roman" w:hAnsi="Times New Roman"/>
                <w:sz w:val="20"/>
              </w:rPr>
              <w:t>–</w:t>
            </w:r>
          </w:p>
        </w:tc>
        <w:tc>
          <w:tcPr>
            <w:tcW w:type="dxa" w:w="1440"/>
          </w:tcPr>
          <w:p>
            <w:pPr>
              <w:spacing w:line="240" w:lineRule="auto"/>
            </w:pPr>
            <w:r>
              <w:rPr>
                <w:rFonts w:ascii="Times New Roman" w:hAnsi="Times New Roman"/>
                <w:sz w:val="20"/>
              </w:rPr>
              <w:t>–</w:t>
            </w:r>
          </w:p>
        </w:tc>
        <w:tc>
          <w:tcPr>
            <w:tcW w:type="dxa" w:w="1440"/>
          </w:tcPr>
          <w:p>
            <w:pPr>
              <w:spacing w:line="240" w:lineRule="auto"/>
            </w:pPr>
            <w:r>
              <w:rPr>
                <w:rFonts w:ascii="Times New Roman" w:hAnsi="Times New Roman"/>
                <w:sz w:val="20"/>
              </w:rPr>
              <w:t>–</w:t>
            </w:r>
          </w:p>
        </w:tc>
      </w:tr>
      <w:tr>
        <w:tc>
          <w:tcPr>
            <w:tcW w:type="dxa" w:w="1440"/>
          </w:tcPr>
          <w:p>
            <w:pPr>
              <w:spacing w:line="240" w:lineRule="auto"/>
            </w:pPr>
            <w:r>
              <w:rPr>
                <w:rFonts w:ascii="Times New Roman" w:hAnsi="Times New Roman"/>
                <w:sz w:val="20"/>
              </w:rPr>
              <w:t>N</w:t>
            </w:r>
          </w:p>
        </w:tc>
        <w:tc>
          <w:tcPr>
            <w:tcW w:type="dxa" w:w="1440"/>
          </w:tcPr>
          <w:p>
            <w:pPr>
              <w:spacing w:line="240" w:lineRule="auto"/>
            </w:pPr>
            <w:r>
              <w:rPr>
                <w:rFonts w:ascii="Times New Roman" w:hAnsi="Times New Roman"/>
                <w:sz w:val="20"/>
              </w:rPr>
              <w:t>–</w:t>
            </w:r>
          </w:p>
        </w:tc>
        <w:tc>
          <w:tcPr>
            <w:tcW w:type="dxa" w:w="1440"/>
          </w:tcPr>
          <w:p>
            <w:pPr>
              <w:spacing w:line="240" w:lineRule="auto"/>
            </w:pPr>
            <w:r>
              <w:rPr>
                <w:rFonts w:ascii="Times New Roman" w:hAnsi="Times New Roman"/>
                <w:sz w:val="20"/>
              </w:rPr>
            </w:r>
          </w:p>
        </w:tc>
        <w:tc>
          <w:tcPr>
            <w:tcW w:type="dxa" w:w="1440"/>
          </w:tcPr>
          <w:p>
            <w:pPr>
              <w:spacing w:line="240" w:lineRule="auto"/>
            </w:pPr>
            <w:r>
              <w:rPr>
                <w:rFonts w:ascii="Times New Roman" w:hAnsi="Times New Roman"/>
                <w:sz w:val="20"/>
              </w:rPr>
            </w:r>
          </w:p>
        </w:tc>
        <w:tc>
          <w:tcPr>
            <w:tcW w:type="dxa" w:w="1440"/>
          </w:tcPr>
          <w:p>
            <w:pPr>
              <w:spacing w:line="240" w:lineRule="auto"/>
            </w:pPr>
            <w:r>
              <w:rPr>
                <w:rFonts w:ascii="Times New Roman" w:hAnsi="Times New Roman"/>
                <w:sz w:val="20"/>
              </w:rPr>
            </w:r>
          </w:p>
        </w:tc>
        <w:tc>
          <w:tcPr>
            <w:tcW w:type="dxa" w:w="1440"/>
          </w:tcPr>
          <w:p>
            <w:pPr>
              <w:spacing w:line="240" w:lineRule="auto"/>
            </w:pPr>
            <w:r>
              <w:rPr>
                <w:rFonts w:ascii="Times New Roman" w:hAnsi="Times New Roman"/>
                <w:sz w:val="20"/>
              </w:rPr>
            </w:r>
          </w:p>
        </w:tc>
      </w:tr>
      <w:tr>
        <w:tc>
          <w:tcPr>
            <w:tcW w:type="dxa" w:w="1440"/>
          </w:tcPr>
          <w:p>
            <w:pPr>
              <w:spacing w:line="240" w:lineRule="auto"/>
            </w:pPr>
            <w:r>
              <w:rPr>
                <w:rFonts w:ascii="Times New Roman" w:hAnsi="Times New Roman"/>
                <w:sz w:val="20"/>
              </w:rPr>
              <w:t>Log-likelihood</w:t>
            </w:r>
          </w:p>
        </w:tc>
        <w:tc>
          <w:tcPr>
            <w:tcW w:type="dxa" w:w="1440"/>
          </w:tcPr>
          <w:p>
            <w:pPr>
              <w:spacing w:line="240" w:lineRule="auto"/>
            </w:pPr>
            <w:r>
              <w:rPr>
                <w:rFonts w:ascii="Times New Roman" w:hAnsi="Times New Roman"/>
                <w:sz w:val="20"/>
              </w:rPr>
              <w:t>–</w:t>
            </w:r>
          </w:p>
        </w:tc>
        <w:tc>
          <w:tcPr>
            <w:tcW w:type="dxa" w:w="1440"/>
          </w:tcPr>
          <w:p>
            <w:pPr>
              <w:spacing w:line="240" w:lineRule="auto"/>
            </w:pPr>
            <w:r>
              <w:rPr>
                <w:rFonts w:ascii="Times New Roman" w:hAnsi="Times New Roman"/>
                <w:sz w:val="20"/>
              </w:rPr>
            </w:r>
          </w:p>
        </w:tc>
        <w:tc>
          <w:tcPr>
            <w:tcW w:type="dxa" w:w="1440"/>
          </w:tcPr>
          <w:p>
            <w:pPr>
              <w:spacing w:line="240" w:lineRule="auto"/>
            </w:pPr>
            <w:r>
              <w:rPr>
                <w:rFonts w:ascii="Times New Roman" w:hAnsi="Times New Roman"/>
                <w:sz w:val="20"/>
              </w:rPr>
            </w:r>
          </w:p>
        </w:tc>
        <w:tc>
          <w:tcPr>
            <w:tcW w:type="dxa" w:w="1440"/>
          </w:tcPr>
          <w:p>
            <w:pPr>
              <w:spacing w:line="240" w:lineRule="auto"/>
            </w:pPr>
            <w:r>
              <w:rPr>
                <w:rFonts w:ascii="Times New Roman" w:hAnsi="Times New Roman"/>
                <w:sz w:val="20"/>
              </w:rPr>
            </w:r>
          </w:p>
        </w:tc>
        <w:tc>
          <w:tcPr>
            <w:tcW w:type="dxa" w:w="1440"/>
          </w:tcPr>
          <w:p>
            <w:pPr>
              <w:spacing w:line="240" w:lineRule="auto"/>
            </w:pPr>
            <w:r>
              <w:rPr>
                <w:rFonts w:ascii="Times New Roman" w:hAnsi="Times New Roman"/>
                <w:sz w:val="20"/>
              </w:rPr>
            </w:r>
          </w:p>
        </w:tc>
      </w:tr>
      <w:tr>
        <w:tc>
          <w:tcPr>
            <w:tcW w:type="dxa" w:w="1440"/>
          </w:tcPr>
          <w:p>
            <w:pPr>
              <w:spacing w:line="240" w:lineRule="auto"/>
            </w:pPr>
            <w:r>
              <w:rPr>
                <w:rFonts w:ascii="Times New Roman" w:hAnsi="Times New Roman"/>
                <w:sz w:val="20"/>
              </w:rPr>
              <w:t>Overdispersion (alpha)</w:t>
            </w:r>
          </w:p>
        </w:tc>
        <w:tc>
          <w:tcPr>
            <w:tcW w:type="dxa" w:w="1440"/>
          </w:tcPr>
          <w:p>
            <w:pPr>
              <w:spacing w:line="240" w:lineRule="auto"/>
            </w:pPr>
            <w:r>
              <w:rPr>
                <w:rFonts w:ascii="Times New Roman" w:hAnsi="Times New Roman"/>
                <w:sz w:val="20"/>
              </w:rPr>
              <w:t>–</w:t>
            </w:r>
          </w:p>
        </w:tc>
        <w:tc>
          <w:tcPr>
            <w:tcW w:type="dxa" w:w="1440"/>
          </w:tcPr>
          <w:p>
            <w:pPr>
              <w:spacing w:line="240" w:lineRule="auto"/>
            </w:pPr>
            <w:r>
              <w:rPr>
                <w:rFonts w:ascii="Times New Roman" w:hAnsi="Times New Roman"/>
                <w:sz w:val="20"/>
              </w:rPr>
            </w:r>
          </w:p>
        </w:tc>
        <w:tc>
          <w:tcPr>
            <w:tcW w:type="dxa" w:w="1440"/>
          </w:tcPr>
          <w:p>
            <w:pPr>
              <w:spacing w:line="240" w:lineRule="auto"/>
            </w:pPr>
            <w:r>
              <w:rPr>
                <w:rFonts w:ascii="Times New Roman" w:hAnsi="Times New Roman"/>
                <w:sz w:val="20"/>
              </w:rPr>
            </w:r>
          </w:p>
        </w:tc>
        <w:tc>
          <w:tcPr>
            <w:tcW w:type="dxa" w:w="1440"/>
          </w:tcPr>
          <w:p>
            <w:pPr>
              <w:spacing w:line="240" w:lineRule="auto"/>
            </w:pPr>
            <w:r>
              <w:rPr>
                <w:rFonts w:ascii="Times New Roman" w:hAnsi="Times New Roman"/>
                <w:sz w:val="20"/>
              </w:rPr>
            </w:r>
          </w:p>
        </w:tc>
        <w:tc>
          <w:tcPr>
            <w:tcW w:type="dxa" w:w="1440"/>
          </w:tcPr>
          <w:p>
            <w:pPr>
              <w:spacing w:line="240" w:lineRule="auto"/>
            </w:pPr>
            <w:r>
              <w:rPr>
                <w:rFonts w:ascii="Times New Roman" w:hAnsi="Times New Roman"/>
                <w:sz w:val="20"/>
              </w:rPr>
            </w:r>
          </w:p>
        </w:tc>
      </w:tr>
      <w:tr>
        <w:tc>
          <w:tcPr>
            <w:tcW w:type="dxa" w:w="1440"/>
          </w:tcPr>
          <w:p>
            <w:pPr>
              <w:spacing w:line="240" w:lineRule="auto"/>
            </w:pPr>
            <w:r>
              <w:rPr>
                <w:rFonts w:ascii="Times New Roman" w:hAnsi="Times New Roman"/>
                <w:sz w:val="20"/>
              </w:rPr>
              <w:t>LR test vs. Poisson (p)</w:t>
            </w:r>
          </w:p>
        </w:tc>
        <w:tc>
          <w:tcPr>
            <w:tcW w:type="dxa" w:w="1440"/>
          </w:tcPr>
          <w:p>
            <w:pPr>
              <w:spacing w:line="240" w:lineRule="auto"/>
            </w:pPr>
            <w:r>
              <w:rPr>
                <w:rFonts w:ascii="Times New Roman" w:hAnsi="Times New Roman"/>
                <w:sz w:val="20"/>
              </w:rPr>
              <w:t>–</w:t>
            </w:r>
          </w:p>
        </w:tc>
        <w:tc>
          <w:tcPr>
            <w:tcW w:type="dxa" w:w="1440"/>
          </w:tcPr>
          <w:p>
            <w:pPr>
              <w:spacing w:line="240" w:lineRule="auto"/>
            </w:pPr>
            <w:r>
              <w:rPr>
                <w:rFonts w:ascii="Times New Roman" w:hAnsi="Times New Roman"/>
                <w:sz w:val="20"/>
              </w:rPr>
            </w:r>
          </w:p>
        </w:tc>
        <w:tc>
          <w:tcPr>
            <w:tcW w:type="dxa" w:w="1440"/>
          </w:tcPr>
          <w:p>
            <w:pPr>
              <w:spacing w:line="240" w:lineRule="auto"/>
            </w:pPr>
            <w:r>
              <w:rPr>
                <w:rFonts w:ascii="Times New Roman" w:hAnsi="Times New Roman"/>
                <w:sz w:val="20"/>
              </w:rPr>
            </w:r>
          </w:p>
        </w:tc>
        <w:tc>
          <w:tcPr>
            <w:tcW w:type="dxa" w:w="1440"/>
          </w:tcPr>
          <w:p>
            <w:pPr>
              <w:spacing w:line="240" w:lineRule="auto"/>
            </w:pPr>
            <w:r>
              <w:rPr>
                <w:rFonts w:ascii="Times New Roman" w:hAnsi="Times New Roman"/>
                <w:sz w:val="20"/>
              </w:rPr>
            </w:r>
          </w:p>
        </w:tc>
        <w:tc>
          <w:tcPr>
            <w:tcW w:type="dxa" w:w="1440"/>
          </w:tcPr>
          <w:p>
            <w:pPr>
              <w:spacing w:line="240" w:lineRule="auto"/>
            </w:pPr>
            <w:r>
              <w:rPr>
                <w:rFonts w:ascii="Times New Roman" w:hAnsi="Times New Roman"/>
                <w:sz w:val="20"/>
              </w:rPr>
            </w:r>
          </w:p>
        </w:tc>
      </w:tr>
      <w:tr>
        <w:tc>
          <w:tcPr>
            <w:tcW w:type="dxa" w:w="1440"/>
          </w:tcPr>
          <w:p>
            <w:pPr>
              <w:spacing w:line="240" w:lineRule="auto"/>
            </w:pPr>
            <w:r>
              <w:rPr>
                <w:rFonts w:ascii="Times New Roman" w:hAnsi="Times New Roman"/>
                <w:sz w:val="20"/>
              </w:rPr>
              <w:t>AIC</w:t>
            </w:r>
          </w:p>
        </w:tc>
        <w:tc>
          <w:tcPr>
            <w:tcW w:type="dxa" w:w="1440"/>
          </w:tcPr>
          <w:p>
            <w:pPr>
              <w:spacing w:line="240" w:lineRule="auto"/>
            </w:pPr>
            <w:r>
              <w:rPr>
                <w:rFonts w:ascii="Times New Roman" w:hAnsi="Times New Roman"/>
                <w:sz w:val="20"/>
              </w:rPr>
              <w:t>–</w:t>
            </w:r>
          </w:p>
        </w:tc>
        <w:tc>
          <w:tcPr>
            <w:tcW w:type="dxa" w:w="1440"/>
          </w:tcPr>
          <w:p>
            <w:pPr>
              <w:spacing w:line="240" w:lineRule="auto"/>
            </w:pPr>
            <w:r>
              <w:rPr>
                <w:rFonts w:ascii="Times New Roman" w:hAnsi="Times New Roman"/>
                <w:sz w:val="20"/>
              </w:rPr>
            </w:r>
          </w:p>
        </w:tc>
        <w:tc>
          <w:tcPr>
            <w:tcW w:type="dxa" w:w="1440"/>
          </w:tcPr>
          <w:p>
            <w:pPr>
              <w:spacing w:line="240" w:lineRule="auto"/>
            </w:pPr>
            <w:r>
              <w:rPr>
                <w:rFonts w:ascii="Times New Roman" w:hAnsi="Times New Roman"/>
                <w:sz w:val="20"/>
              </w:rPr>
            </w:r>
          </w:p>
        </w:tc>
        <w:tc>
          <w:tcPr>
            <w:tcW w:type="dxa" w:w="1440"/>
          </w:tcPr>
          <w:p>
            <w:pPr>
              <w:spacing w:line="240" w:lineRule="auto"/>
            </w:pPr>
            <w:r>
              <w:rPr>
                <w:rFonts w:ascii="Times New Roman" w:hAnsi="Times New Roman"/>
                <w:sz w:val="20"/>
              </w:rPr>
            </w:r>
          </w:p>
        </w:tc>
        <w:tc>
          <w:tcPr>
            <w:tcW w:type="dxa" w:w="1440"/>
          </w:tcPr>
          <w:p>
            <w:pPr>
              <w:spacing w:line="240" w:lineRule="auto"/>
            </w:pPr>
            <w:r>
              <w:rPr>
                <w:rFonts w:ascii="Times New Roman" w:hAnsi="Times New Roman"/>
                <w:sz w:val="20"/>
              </w:rPr>
            </w:r>
          </w:p>
        </w:tc>
      </w:tr>
      <w:tr>
        <w:tc>
          <w:tcPr>
            <w:tcW w:type="dxa" w:w="1440"/>
          </w:tcPr>
          <w:p>
            <w:pPr>
              <w:spacing w:line="240" w:lineRule="auto"/>
            </w:pPr>
            <w:r>
              <w:rPr>
                <w:rFonts w:ascii="Times New Roman" w:hAnsi="Times New Roman"/>
                <w:sz w:val="20"/>
              </w:rPr>
              <w:t>BIC</w:t>
            </w:r>
          </w:p>
        </w:tc>
        <w:tc>
          <w:tcPr>
            <w:tcW w:type="dxa" w:w="1440"/>
          </w:tcPr>
          <w:p>
            <w:pPr>
              <w:spacing w:line="240" w:lineRule="auto"/>
            </w:pPr>
            <w:r>
              <w:rPr>
                <w:rFonts w:ascii="Times New Roman" w:hAnsi="Times New Roman"/>
                <w:sz w:val="20"/>
              </w:rPr>
              <w:t>–</w:t>
            </w:r>
          </w:p>
        </w:tc>
        <w:tc>
          <w:tcPr>
            <w:tcW w:type="dxa" w:w="1440"/>
          </w:tcPr>
          <w:p>
            <w:pPr>
              <w:spacing w:line="240" w:lineRule="auto"/>
            </w:pPr>
            <w:r>
              <w:rPr>
                <w:rFonts w:ascii="Times New Roman" w:hAnsi="Times New Roman"/>
                <w:sz w:val="20"/>
              </w:rPr>
            </w:r>
          </w:p>
        </w:tc>
        <w:tc>
          <w:tcPr>
            <w:tcW w:type="dxa" w:w="1440"/>
          </w:tcPr>
          <w:p>
            <w:pPr>
              <w:spacing w:line="240" w:lineRule="auto"/>
            </w:pPr>
            <w:r>
              <w:rPr>
                <w:rFonts w:ascii="Times New Roman" w:hAnsi="Times New Roman"/>
                <w:sz w:val="20"/>
              </w:rPr>
            </w:r>
          </w:p>
        </w:tc>
        <w:tc>
          <w:tcPr>
            <w:tcW w:type="dxa" w:w="1440"/>
          </w:tcPr>
          <w:p>
            <w:pPr>
              <w:spacing w:line="240" w:lineRule="auto"/>
            </w:pPr>
            <w:r>
              <w:rPr>
                <w:rFonts w:ascii="Times New Roman" w:hAnsi="Times New Roman"/>
                <w:sz w:val="20"/>
              </w:rPr>
            </w:r>
          </w:p>
        </w:tc>
        <w:tc>
          <w:tcPr>
            <w:tcW w:type="dxa" w:w="1440"/>
          </w:tcPr>
          <w:p>
            <w:pPr>
              <w:spacing w:line="240" w:lineRule="auto"/>
            </w:pPr>
            <w:r>
              <w:rPr>
                <w:rFonts w:ascii="Times New Roman" w:hAnsi="Times New Roman"/>
                <w:sz w:val="20"/>
              </w:rPr>
            </w:r>
          </w:p>
        </w:tc>
      </w:tr>
    </w:tbl>
    <w:p>
      <w:pPr>
        <w:ind w:firstLine="720"/>
      </w:pPr>
      <w:r>
        <w:rPr>
          <w:i/>
        </w:rPr>
        <w:t>IRR = Incidence Rate Ratio. Standard errors clustered at the agency-NAICS level.</w:t>
      </w:r>
    </w:p>
    <w:p>
      <w:pPr>
        <w:pStyle w:val="Heading3"/>
      </w:pPr>
      <w:r>
        <w:rPr>
          <w:rFonts w:ascii="Times New Roman" w:hAnsi="Times New Roman"/>
          <w:color w:val="000000"/>
        </w:rPr>
        <w:t>Table B.4: Competition Intensity (Negative Binomial Regression)</w:t>
      </w:r>
    </w:p>
    <w:p>
      <w:pPr>
        <w:ind w:firstLine="720"/>
      </w:pPr>
      <w:r>
        <w:rPr>
          <w:b/>
        </w:rPr>
        <w:t>Dependent Variable:</w:t>
      </w:r>
      <w:r>
        <w:t xml:space="preserve"> </w:t>
      </w:r>
      <w:r>
        <w:rPr>
          <w:rFonts w:ascii="Courier New" w:hAnsi="Courier New"/>
          <w:sz w:val="20"/>
        </w:rPr>
        <w:t>number_of_offers_received</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pPr>
              <w:spacing w:line="240" w:lineRule="auto"/>
            </w:pPr>
            <w:r>
              <w:rPr>
                <w:rFonts w:ascii="Times New Roman" w:hAnsi="Times New Roman"/>
                <w:b/>
                <w:sz w:val="20"/>
              </w:rPr>
              <w:t>Variable</w:t>
            </w:r>
          </w:p>
        </w:tc>
        <w:tc>
          <w:tcPr>
            <w:tcW w:type="dxa" w:w="1440"/>
          </w:tcPr>
          <w:p>
            <w:pPr>
              <w:spacing w:line="240" w:lineRule="auto"/>
            </w:pPr>
            <w:r>
              <w:rPr>
                <w:rFonts w:ascii="Times New Roman" w:hAnsi="Times New Roman"/>
                <w:b/>
                <w:sz w:val="20"/>
              </w:rPr>
              <w:t>Coefficient</w:t>
            </w:r>
          </w:p>
        </w:tc>
        <w:tc>
          <w:tcPr>
            <w:tcW w:type="dxa" w:w="1440"/>
          </w:tcPr>
          <w:p>
            <w:pPr>
              <w:spacing w:line="240" w:lineRule="auto"/>
            </w:pPr>
            <w:r>
              <w:rPr>
                <w:rFonts w:ascii="Times New Roman" w:hAnsi="Times New Roman"/>
                <w:b/>
                <w:sz w:val="20"/>
              </w:rPr>
              <w:t>SE</w:t>
            </w:r>
          </w:p>
        </w:tc>
        <w:tc>
          <w:tcPr>
            <w:tcW w:type="dxa" w:w="1440"/>
          </w:tcPr>
          <w:p>
            <w:pPr>
              <w:spacing w:line="240" w:lineRule="auto"/>
            </w:pPr>
            <w:r>
              <w:rPr>
                <w:rFonts w:ascii="Times New Roman" w:hAnsi="Times New Roman"/>
                <w:b/>
                <w:sz w:val="20"/>
              </w:rPr>
              <w:t>IRR</w:t>
            </w:r>
          </w:p>
        </w:tc>
        <w:tc>
          <w:tcPr>
            <w:tcW w:type="dxa" w:w="1440"/>
          </w:tcPr>
          <w:p>
            <w:pPr>
              <w:spacing w:line="240" w:lineRule="auto"/>
            </w:pPr>
            <w:r>
              <w:rPr>
                <w:rFonts w:ascii="Times New Roman" w:hAnsi="Times New Roman"/>
                <w:b/>
                <w:sz w:val="20"/>
              </w:rPr>
              <w:t>95% CI (IRR)</w:t>
            </w:r>
          </w:p>
        </w:tc>
        <w:tc>
          <w:tcPr>
            <w:tcW w:type="dxa" w:w="1440"/>
          </w:tcPr>
          <w:p>
            <w:pPr>
              <w:spacing w:line="240" w:lineRule="auto"/>
            </w:pPr>
            <w:r>
              <w:rPr>
                <w:rFonts w:ascii="Times New Roman" w:hAnsi="Times New Roman"/>
                <w:b/>
                <w:sz w:val="20"/>
              </w:rPr>
              <w:t>p-value</w:t>
            </w:r>
          </w:p>
        </w:tc>
      </w:tr>
      <w:tr>
        <w:tc>
          <w:tcPr>
            <w:tcW w:type="dxa" w:w="1440"/>
          </w:tcPr>
          <w:p>
            <w:pPr>
              <w:spacing w:line="240" w:lineRule="auto"/>
            </w:pPr>
            <w:r>
              <w:rPr>
                <w:rFonts w:ascii="Times New Roman" w:hAnsi="Times New Roman"/>
                <w:sz w:val="20"/>
              </w:rPr>
              <w:t>Tradeoff (1 = TO, 0 = LPTA)</w:t>
            </w:r>
          </w:p>
        </w:tc>
        <w:tc>
          <w:tcPr>
            <w:tcW w:type="dxa" w:w="1440"/>
          </w:tcPr>
          <w:p>
            <w:pPr>
              <w:spacing w:line="240" w:lineRule="auto"/>
            </w:pPr>
            <w:r>
              <w:rPr>
                <w:rFonts w:ascii="Times New Roman" w:hAnsi="Times New Roman"/>
                <w:sz w:val="20"/>
              </w:rPr>
              <w:t>–</w:t>
            </w:r>
          </w:p>
        </w:tc>
        <w:tc>
          <w:tcPr>
            <w:tcW w:type="dxa" w:w="1440"/>
          </w:tcPr>
          <w:p>
            <w:pPr>
              <w:spacing w:line="240" w:lineRule="auto"/>
            </w:pPr>
            <w:r>
              <w:rPr>
                <w:rFonts w:ascii="Times New Roman" w:hAnsi="Times New Roman"/>
                <w:sz w:val="20"/>
              </w:rPr>
              <w:t>–</w:t>
            </w:r>
          </w:p>
        </w:tc>
        <w:tc>
          <w:tcPr>
            <w:tcW w:type="dxa" w:w="1440"/>
          </w:tcPr>
          <w:p>
            <w:pPr>
              <w:spacing w:line="240" w:lineRule="auto"/>
            </w:pPr>
            <w:r>
              <w:rPr>
                <w:rFonts w:ascii="Times New Roman" w:hAnsi="Times New Roman"/>
                <w:sz w:val="20"/>
              </w:rPr>
              <w:t>–</w:t>
            </w:r>
          </w:p>
        </w:tc>
        <w:tc>
          <w:tcPr>
            <w:tcW w:type="dxa" w:w="1440"/>
          </w:tcPr>
          <w:p>
            <w:pPr>
              <w:spacing w:line="240" w:lineRule="auto"/>
            </w:pPr>
            <w:r>
              <w:rPr>
                <w:rFonts w:ascii="Times New Roman" w:hAnsi="Times New Roman"/>
                <w:sz w:val="20"/>
              </w:rPr>
              <w:t>–</w:t>
            </w:r>
          </w:p>
        </w:tc>
        <w:tc>
          <w:tcPr>
            <w:tcW w:type="dxa" w:w="1440"/>
          </w:tcPr>
          <w:p>
            <w:pPr>
              <w:spacing w:line="240" w:lineRule="auto"/>
            </w:pPr>
            <w:r>
              <w:rPr>
                <w:rFonts w:ascii="Times New Roman" w:hAnsi="Times New Roman"/>
                <w:sz w:val="20"/>
              </w:rPr>
              <w:t>–</w:t>
            </w:r>
          </w:p>
        </w:tc>
      </w:tr>
      <w:tr>
        <w:tc>
          <w:tcPr>
            <w:tcW w:type="dxa" w:w="1440"/>
          </w:tcPr>
          <w:p>
            <w:pPr>
              <w:spacing w:line="240" w:lineRule="auto"/>
            </w:pPr>
            <w:r>
              <w:rPr>
                <w:rFonts w:ascii="Times New Roman" w:hAnsi="Times New Roman"/>
                <w:sz w:val="20"/>
              </w:rPr>
              <w:t>Log(Award Amount)</w:t>
            </w:r>
          </w:p>
        </w:tc>
        <w:tc>
          <w:tcPr>
            <w:tcW w:type="dxa" w:w="1440"/>
          </w:tcPr>
          <w:p>
            <w:pPr>
              <w:spacing w:line="240" w:lineRule="auto"/>
            </w:pPr>
            <w:r>
              <w:rPr>
                <w:rFonts w:ascii="Times New Roman" w:hAnsi="Times New Roman"/>
                <w:sz w:val="20"/>
              </w:rPr>
              <w:t>–</w:t>
            </w:r>
          </w:p>
        </w:tc>
        <w:tc>
          <w:tcPr>
            <w:tcW w:type="dxa" w:w="1440"/>
          </w:tcPr>
          <w:p>
            <w:pPr>
              <w:spacing w:line="240" w:lineRule="auto"/>
            </w:pPr>
            <w:r>
              <w:rPr>
                <w:rFonts w:ascii="Times New Roman" w:hAnsi="Times New Roman"/>
                <w:sz w:val="20"/>
              </w:rPr>
              <w:t>–</w:t>
            </w:r>
          </w:p>
        </w:tc>
        <w:tc>
          <w:tcPr>
            <w:tcW w:type="dxa" w:w="1440"/>
          </w:tcPr>
          <w:p>
            <w:pPr>
              <w:spacing w:line="240" w:lineRule="auto"/>
            </w:pPr>
            <w:r>
              <w:rPr>
                <w:rFonts w:ascii="Times New Roman" w:hAnsi="Times New Roman"/>
                <w:sz w:val="20"/>
              </w:rPr>
              <w:t>–</w:t>
            </w:r>
          </w:p>
        </w:tc>
        <w:tc>
          <w:tcPr>
            <w:tcW w:type="dxa" w:w="1440"/>
          </w:tcPr>
          <w:p>
            <w:pPr>
              <w:spacing w:line="240" w:lineRule="auto"/>
            </w:pPr>
            <w:r>
              <w:rPr>
                <w:rFonts w:ascii="Times New Roman" w:hAnsi="Times New Roman"/>
                <w:sz w:val="20"/>
              </w:rPr>
              <w:t>–</w:t>
            </w:r>
          </w:p>
        </w:tc>
        <w:tc>
          <w:tcPr>
            <w:tcW w:type="dxa" w:w="1440"/>
          </w:tcPr>
          <w:p>
            <w:pPr>
              <w:spacing w:line="240" w:lineRule="auto"/>
            </w:pPr>
            <w:r>
              <w:rPr>
                <w:rFonts w:ascii="Times New Roman" w:hAnsi="Times New Roman"/>
                <w:sz w:val="20"/>
              </w:rPr>
              <w:t>–</w:t>
            </w:r>
          </w:p>
        </w:tc>
      </w:tr>
      <w:tr>
        <w:tc>
          <w:tcPr>
            <w:tcW w:type="dxa" w:w="1440"/>
          </w:tcPr>
          <w:p>
            <w:pPr>
              <w:spacing w:line="240" w:lineRule="auto"/>
            </w:pPr>
            <w:r>
              <w:rPr>
                <w:rFonts w:ascii="Times New Roman" w:hAnsi="Times New Roman"/>
                <w:sz w:val="20"/>
              </w:rPr>
              <w:t>Contract Type: CPFF (ref: FFP)</w:t>
            </w:r>
          </w:p>
        </w:tc>
        <w:tc>
          <w:tcPr>
            <w:tcW w:type="dxa" w:w="1440"/>
          </w:tcPr>
          <w:p>
            <w:pPr>
              <w:spacing w:line="240" w:lineRule="auto"/>
            </w:pPr>
            <w:r>
              <w:rPr>
                <w:rFonts w:ascii="Times New Roman" w:hAnsi="Times New Roman"/>
                <w:sz w:val="20"/>
              </w:rPr>
              <w:t>–</w:t>
            </w:r>
          </w:p>
        </w:tc>
        <w:tc>
          <w:tcPr>
            <w:tcW w:type="dxa" w:w="1440"/>
          </w:tcPr>
          <w:p>
            <w:pPr>
              <w:spacing w:line="240" w:lineRule="auto"/>
            </w:pPr>
            <w:r>
              <w:rPr>
                <w:rFonts w:ascii="Times New Roman" w:hAnsi="Times New Roman"/>
                <w:sz w:val="20"/>
              </w:rPr>
              <w:t>–</w:t>
            </w:r>
          </w:p>
        </w:tc>
        <w:tc>
          <w:tcPr>
            <w:tcW w:type="dxa" w:w="1440"/>
          </w:tcPr>
          <w:p>
            <w:pPr>
              <w:spacing w:line="240" w:lineRule="auto"/>
            </w:pPr>
            <w:r>
              <w:rPr>
                <w:rFonts w:ascii="Times New Roman" w:hAnsi="Times New Roman"/>
                <w:sz w:val="20"/>
              </w:rPr>
              <w:t>–</w:t>
            </w:r>
          </w:p>
        </w:tc>
        <w:tc>
          <w:tcPr>
            <w:tcW w:type="dxa" w:w="1440"/>
          </w:tcPr>
          <w:p>
            <w:pPr>
              <w:spacing w:line="240" w:lineRule="auto"/>
            </w:pPr>
            <w:r>
              <w:rPr>
                <w:rFonts w:ascii="Times New Roman" w:hAnsi="Times New Roman"/>
                <w:sz w:val="20"/>
              </w:rPr>
              <w:t>–</w:t>
            </w:r>
          </w:p>
        </w:tc>
        <w:tc>
          <w:tcPr>
            <w:tcW w:type="dxa" w:w="1440"/>
          </w:tcPr>
          <w:p>
            <w:pPr>
              <w:spacing w:line="240" w:lineRule="auto"/>
            </w:pPr>
            <w:r>
              <w:rPr>
                <w:rFonts w:ascii="Times New Roman" w:hAnsi="Times New Roman"/>
                <w:sz w:val="20"/>
              </w:rPr>
              <w:t>–</w:t>
            </w:r>
          </w:p>
        </w:tc>
      </w:tr>
      <w:tr>
        <w:tc>
          <w:tcPr>
            <w:tcW w:type="dxa" w:w="1440"/>
          </w:tcPr>
          <w:p>
            <w:pPr>
              <w:spacing w:line="240" w:lineRule="auto"/>
            </w:pPr>
            <w:r>
              <w:rPr>
                <w:rFonts w:ascii="Times New Roman" w:hAnsi="Times New Roman"/>
                <w:sz w:val="20"/>
              </w:rPr>
              <w:t>Contract Type: T&amp;M (ref: FFP)</w:t>
            </w:r>
          </w:p>
        </w:tc>
        <w:tc>
          <w:tcPr>
            <w:tcW w:type="dxa" w:w="1440"/>
          </w:tcPr>
          <w:p>
            <w:pPr>
              <w:spacing w:line="240" w:lineRule="auto"/>
            </w:pPr>
            <w:r>
              <w:rPr>
                <w:rFonts w:ascii="Times New Roman" w:hAnsi="Times New Roman"/>
                <w:sz w:val="20"/>
              </w:rPr>
              <w:t>–</w:t>
            </w:r>
          </w:p>
        </w:tc>
        <w:tc>
          <w:tcPr>
            <w:tcW w:type="dxa" w:w="1440"/>
          </w:tcPr>
          <w:p>
            <w:pPr>
              <w:spacing w:line="240" w:lineRule="auto"/>
            </w:pPr>
            <w:r>
              <w:rPr>
                <w:rFonts w:ascii="Times New Roman" w:hAnsi="Times New Roman"/>
                <w:sz w:val="20"/>
              </w:rPr>
              <w:t>–</w:t>
            </w:r>
          </w:p>
        </w:tc>
        <w:tc>
          <w:tcPr>
            <w:tcW w:type="dxa" w:w="1440"/>
          </w:tcPr>
          <w:p>
            <w:pPr>
              <w:spacing w:line="240" w:lineRule="auto"/>
            </w:pPr>
            <w:r>
              <w:rPr>
                <w:rFonts w:ascii="Times New Roman" w:hAnsi="Times New Roman"/>
                <w:sz w:val="20"/>
              </w:rPr>
              <w:t>–</w:t>
            </w:r>
          </w:p>
        </w:tc>
        <w:tc>
          <w:tcPr>
            <w:tcW w:type="dxa" w:w="1440"/>
          </w:tcPr>
          <w:p>
            <w:pPr>
              <w:spacing w:line="240" w:lineRule="auto"/>
            </w:pPr>
            <w:r>
              <w:rPr>
                <w:rFonts w:ascii="Times New Roman" w:hAnsi="Times New Roman"/>
                <w:sz w:val="20"/>
              </w:rPr>
              <w:t>–</w:t>
            </w:r>
          </w:p>
        </w:tc>
        <w:tc>
          <w:tcPr>
            <w:tcW w:type="dxa" w:w="1440"/>
          </w:tcPr>
          <w:p>
            <w:pPr>
              <w:spacing w:line="240" w:lineRule="auto"/>
            </w:pPr>
            <w:r>
              <w:rPr>
                <w:rFonts w:ascii="Times New Roman" w:hAnsi="Times New Roman"/>
                <w:sz w:val="20"/>
              </w:rPr>
              <w:t>–</w:t>
            </w:r>
          </w:p>
        </w:tc>
      </w:tr>
      <w:tr>
        <w:tc>
          <w:tcPr>
            <w:tcW w:type="dxa" w:w="1440"/>
          </w:tcPr>
          <w:p>
            <w:pPr>
              <w:spacing w:line="240" w:lineRule="auto"/>
            </w:pPr>
            <w:r>
              <w:rPr>
                <w:rFonts w:ascii="Times New Roman" w:hAnsi="Times New Roman"/>
                <w:sz w:val="20"/>
              </w:rPr>
              <w:t>Contract Type: Other (ref: FFP)</w:t>
            </w:r>
          </w:p>
        </w:tc>
        <w:tc>
          <w:tcPr>
            <w:tcW w:type="dxa" w:w="1440"/>
          </w:tcPr>
          <w:p>
            <w:pPr>
              <w:spacing w:line="240" w:lineRule="auto"/>
            </w:pPr>
            <w:r>
              <w:rPr>
                <w:rFonts w:ascii="Times New Roman" w:hAnsi="Times New Roman"/>
                <w:sz w:val="20"/>
              </w:rPr>
              <w:t>–</w:t>
            </w:r>
          </w:p>
        </w:tc>
        <w:tc>
          <w:tcPr>
            <w:tcW w:type="dxa" w:w="1440"/>
          </w:tcPr>
          <w:p>
            <w:pPr>
              <w:spacing w:line="240" w:lineRule="auto"/>
            </w:pPr>
            <w:r>
              <w:rPr>
                <w:rFonts w:ascii="Times New Roman" w:hAnsi="Times New Roman"/>
                <w:sz w:val="20"/>
              </w:rPr>
              <w:t>–</w:t>
            </w:r>
          </w:p>
        </w:tc>
        <w:tc>
          <w:tcPr>
            <w:tcW w:type="dxa" w:w="1440"/>
          </w:tcPr>
          <w:p>
            <w:pPr>
              <w:spacing w:line="240" w:lineRule="auto"/>
            </w:pPr>
            <w:r>
              <w:rPr>
                <w:rFonts w:ascii="Times New Roman" w:hAnsi="Times New Roman"/>
                <w:sz w:val="20"/>
              </w:rPr>
              <w:t>–</w:t>
            </w:r>
          </w:p>
        </w:tc>
        <w:tc>
          <w:tcPr>
            <w:tcW w:type="dxa" w:w="1440"/>
          </w:tcPr>
          <w:p>
            <w:pPr>
              <w:spacing w:line="240" w:lineRule="auto"/>
            </w:pPr>
            <w:r>
              <w:rPr>
                <w:rFonts w:ascii="Times New Roman" w:hAnsi="Times New Roman"/>
                <w:sz w:val="20"/>
              </w:rPr>
              <w:t>–</w:t>
            </w:r>
          </w:p>
        </w:tc>
        <w:tc>
          <w:tcPr>
            <w:tcW w:type="dxa" w:w="1440"/>
          </w:tcPr>
          <w:p>
            <w:pPr>
              <w:spacing w:line="240" w:lineRule="auto"/>
            </w:pPr>
            <w:r>
              <w:rPr>
                <w:rFonts w:ascii="Times New Roman" w:hAnsi="Times New Roman"/>
                <w:sz w:val="20"/>
              </w:rPr>
              <w:t>–</w:t>
            </w:r>
          </w:p>
        </w:tc>
      </w:tr>
      <w:tr>
        <w:tc>
          <w:tcPr>
            <w:tcW w:type="dxa" w:w="1440"/>
          </w:tcPr>
          <w:p>
            <w:pPr>
              <w:spacing w:line="240" w:lineRule="auto"/>
            </w:pPr>
            <w:r>
              <w:rPr>
                <w:rFonts w:ascii="Times New Roman" w:hAnsi="Times New Roman"/>
                <w:sz w:val="20"/>
              </w:rPr>
              <w:t>IDV Indicator</w:t>
            </w:r>
          </w:p>
        </w:tc>
        <w:tc>
          <w:tcPr>
            <w:tcW w:type="dxa" w:w="1440"/>
          </w:tcPr>
          <w:p>
            <w:pPr>
              <w:spacing w:line="240" w:lineRule="auto"/>
            </w:pPr>
            <w:r>
              <w:rPr>
                <w:rFonts w:ascii="Times New Roman" w:hAnsi="Times New Roman"/>
                <w:sz w:val="20"/>
              </w:rPr>
              <w:t>–</w:t>
            </w:r>
          </w:p>
        </w:tc>
        <w:tc>
          <w:tcPr>
            <w:tcW w:type="dxa" w:w="1440"/>
          </w:tcPr>
          <w:p>
            <w:pPr>
              <w:spacing w:line="240" w:lineRule="auto"/>
            </w:pPr>
            <w:r>
              <w:rPr>
                <w:rFonts w:ascii="Times New Roman" w:hAnsi="Times New Roman"/>
                <w:sz w:val="20"/>
              </w:rPr>
              <w:t>–</w:t>
            </w:r>
          </w:p>
        </w:tc>
        <w:tc>
          <w:tcPr>
            <w:tcW w:type="dxa" w:w="1440"/>
          </w:tcPr>
          <w:p>
            <w:pPr>
              <w:spacing w:line="240" w:lineRule="auto"/>
            </w:pPr>
            <w:r>
              <w:rPr>
                <w:rFonts w:ascii="Times New Roman" w:hAnsi="Times New Roman"/>
                <w:sz w:val="20"/>
              </w:rPr>
              <w:t>–</w:t>
            </w:r>
          </w:p>
        </w:tc>
        <w:tc>
          <w:tcPr>
            <w:tcW w:type="dxa" w:w="1440"/>
          </w:tcPr>
          <w:p>
            <w:pPr>
              <w:spacing w:line="240" w:lineRule="auto"/>
            </w:pPr>
            <w:r>
              <w:rPr>
                <w:rFonts w:ascii="Times New Roman" w:hAnsi="Times New Roman"/>
                <w:sz w:val="20"/>
              </w:rPr>
              <w:t>–</w:t>
            </w:r>
          </w:p>
        </w:tc>
        <w:tc>
          <w:tcPr>
            <w:tcW w:type="dxa" w:w="1440"/>
          </w:tcPr>
          <w:p>
            <w:pPr>
              <w:spacing w:line="240" w:lineRule="auto"/>
            </w:pPr>
            <w:r>
              <w:rPr>
                <w:rFonts w:ascii="Times New Roman" w:hAnsi="Times New Roman"/>
                <w:sz w:val="20"/>
              </w:rPr>
              <w:t>–</w:t>
            </w:r>
          </w:p>
        </w:tc>
      </w:tr>
      <w:tr>
        <w:tc>
          <w:tcPr>
            <w:tcW w:type="dxa" w:w="1440"/>
          </w:tcPr>
          <w:p>
            <w:pPr>
              <w:spacing w:line="240" w:lineRule="auto"/>
            </w:pPr>
            <w:r>
              <w:rPr>
                <w:rFonts w:ascii="Times New Roman" w:hAnsi="Times New Roman"/>
                <w:sz w:val="20"/>
              </w:rPr>
              <w:t>Set-Aside controls</w:t>
            </w:r>
          </w:p>
        </w:tc>
        <w:tc>
          <w:tcPr>
            <w:tcW w:type="dxa" w:w="1440"/>
          </w:tcPr>
          <w:p>
            <w:pPr>
              <w:spacing w:line="240" w:lineRule="auto"/>
            </w:pPr>
            <w:r>
              <w:rPr>
                <w:rFonts w:ascii="Times New Roman" w:hAnsi="Times New Roman"/>
                <w:sz w:val="20"/>
              </w:rPr>
              <w:t>Included</w:t>
            </w:r>
          </w:p>
        </w:tc>
        <w:tc>
          <w:tcPr>
            <w:tcW w:type="dxa" w:w="1440"/>
          </w:tcPr>
          <w:p>
            <w:pPr>
              <w:spacing w:line="240" w:lineRule="auto"/>
            </w:pPr>
            <w:r>
              <w:rPr>
                <w:rFonts w:ascii="Times New Roman" w:hAnsi="Times New Roman"/>
                <w:sz w:val="20"/>
              </w:rPr>
            </w:r>
          </w:p>
        </w:tc>
        <w:tc>
          <w:tcPr>
            <w:tcW w:type="dxa" w:w="1440"/>
          </w:tcPr>
          <w:p>
            <w:pPr>
              <w:spacing w:line="240" w:lineRule="auto"/>
            </w:pPr>
            <w:r>
              <w:rPr>
                <w:rFonts w:ascii="Times New Roman" w:hAnsi="Times New Roman"/>
                <w:sz w:val="20"/>
              </w:rPr>
            </w:r>
          </w:p>
        </w:tc>
        <w:tc>
          <w:tcPr>
            <w:tcW w:type="dxa" w:w="1440"/>
          </w:tcPr>
          <w:p>
            <w:pPr>
              <w:spacing w:line="240" w:lineRule="auto"/>
            </w:pPr>
            <w:r>
              <w:rPr>
                <w:rFonts w:ascii="Times New Roman" w:hAnsi="Times New Roman"/>
                <w:sz w:val="20"/>
              </w:rPr>
            </w:r>
          </w:p>
        </w:tc>
        <w:tc>
          <w:tcPr>
            <w:tcW w:type="dxa" w:w="1440"/>
          </w:tcPr>
          <w:p>
            <w:pPr>
              <w:spacing w:line="240" w:lineRule="auto"/>
            </w:pPr>
            <w:r>
              <w:rPr>
                <w:rFonts w:ascii="Times New Roman" w:hAnsi="Times New Roman"/>
                <w:sz w:val="20"/>
              </w:rPr>
            </w:r>
          </w:p>
        </w:tc>
      </w:tr>
      <w:tr>
        <w:tc>
          <w:tcPr>
            <w:tcW w:type="dxa" w:w="1440"/>
          </w:tcPr>
          <w:p>
            <w:pPr>
              <w:spacing w:line="240" w:lineRule="auto"/>
            </w:pPr>
            <w:r>
              <w:rPr>
                <w:rFonts w:ascii="Times New Roman" w:hAnsi="Times New Roman"/>
                <w:sz w:val="20"/>
              </w:rPr>
              <w:t>Agency Fixed Effects</w:t>
            </w:r>
          </w:p>
        </w:tc>
        <w:tc>
          <w:tcPr>
            <w:tcW w:type="dxa" w:w="1440"/>
          </w:tcPr>
          <w:p>
            <w:pPr>
              <w:spacing w:line="240" w:lineRule="auto"/>
            </w:pPr>
            <w:r>
              <w:rPr>
                <w:rFonts w:ascii="Times New Roman" w:hAnsi="Times New Roman"/>
                <w:sz w:val="20"/>
              </w:rPr>
              <w:t>Included</w:t>
            </w:r>
          </w:p>
        </w:tc>
        <w:tc>
          <w:tcPr>
            <w:tcW w:type="dxa" w:w="1440"/>
          </w:tcPr>
          <w:p>
            <w:pPr>
              <w:spacing w:line="240" w:lineRule="auto"/>
            </w:pPr>
            <w:r>
              <w:rPr>
                <w:rFonts w:ascii="Times New Roman" w:hAnsi="Times New Roman"/>
                <w:sz w:val="20"/>
              </w:rPr>
            </w:r>
          </w:p>
        </w:tc>
        <w:tc>
          <w:tcPr>
            <w:tcW w:type="dxa" w:w="1440"/>
          </w:tcPr>
          <w:p>
            <w:pPr>
              <w:spacing w:line="240" w:lineRule="auto"/>
            </w:pPr>
            <w:r>
              <w:rPr>
                <w:rFonts w:ascii="Times New Roman" w:hAnsi="Times New Roman"/>
                <w:sz w:val="20"/>
              </w:rPr>
            </w:r>
          </w:p>
        </w:tc>
        <w:tc>
          <w:tcPr>
            <w:tcW w:type="dxa" w:w="1440"/>
          </w:tcPr>
          <w:p>
            <w:pPr>
              <w:spacing w:line="240" w:lineRule="auto"/>
            </w:pPr>
            <w:r>
              <w:rPr>
                <w:rFonts w:ascii="Times New Roman" w:hAnsi="Times New Roman"/>
                <w:sz w:val="20"/>
              </w:rPr>
            </w:r>
          </w:p>
        </w:tc>
        <w:tc>
          <w:tcPr>
            <w:tcW w:type="dxa" w:w="1440"/>
          </w:tcPr>
          <w:p>
            <w:pPr>
              <w:spacing w:line="240" w:lineRule="auto"/>
            </w:pPr>
            <w:r>
              <w:rPr>
                <w:rFonts w:ascii="Times New Roman" w:hAnsi="Times New Roman"/>
                <w:sz w:val="20"/>
              </w:rPr>
            </w:r>
          </w:p>
        </w:tc>
      </w:tr>
      <w:tr>
        <w:tc>
          <w:tcPr>
            <w:tcW w:type="dxa" w:w="1440"/>
          </w:tcPr>
          <w:p>
            <w:pPr>
              <w:spacing w:line="240" w:lineRule="auto"/>
            </w:pPr>
            <w:r>
              <w:rPr>
                <w:rFonts w:ascii="Times New Roman" w:hAnsi="Times New Roman"/>
                <w:sz w:val="20"/>
              </w:rPr>
              <w:t>Fiscal Year Fixed Effects</w:t>
            </w:r>
          </w:p>
        </w:tc>
        <w:tc>
          <w:tcPr>
            <w:tcW w:type="dxa" w:w="1440"/>
          </w:tcPr>
          <w:p>
            <w:pPr>
              <w:spacing w:line="240" w:lineRule="auto"/>
            </w:pPr>
            <w:r>
              <w:rPr>
                <w:rFonts w:ascii="Times New Roman" w:hAnsi="Times New Roman"/>
                <w:sz w:val="20"/>
              </w:rPr>
              <w:t>Included</w:t>
            </w:r>
          </w:p>
        </w:tc>
        <w:tc>
          <w:tcPr>
            <w:tcW w:type="dxa" w:w="1440"/>
          </w:tcPr>
          <w:p>
            <w:pPr>
              <w:spacing w:line="240" w:lineRule="auto"/>
            </w:pPr>
            <w:r>
              <w:rPr>
                <w:rFonts w:ascii="Times New Roman" w:hAnsi="Times New Roman"/>
                <w:sz w:val="20"/>
              </w:rPr>
            </w:r>
          </w:p>
        </w:tc>
        <w:tc>
          <w:tcPr>
            <w:tcW w:type="dxa" w:w="1440"/>
          </w:tcPr>
          <w:p>
            <w:pPr>
              <w:spacing w:line="240" w:lineRule="auto"/>
            </w:pPr>
            <w:r>
              <w:rPr>
                <w:rFonts w:ascii="Times New Roman" w:hAnsi="Times New Roman"/>
                <w:sz w:val="20"/>
              </w:rPr>
            </w:r>
          </w:p>
        </w:tc>
        <w:tc>
          <w:tcPr>
            <w:tcW w:type="dxa" w:w="1440"/>
          </w:tcPr>
          <w:p>
            <w:pPr>
              <w:spacing w:line="240" w:lineRule="auto"/>
            </w:pPr>
            <w:r>
              <w:rPr>
                <w:rFonts w:ascii="Times New Roman" w:hAnsi="Times New Roman"/>
                <w:sz w:val="20"/>
              </w:rPr>
            </w:r>
          </w:p>
        </w:tc>
        <w:tc>
          <w:tcPr>
            <w:tcW w:type="dxa" w:w="1440"/>
          </w:tcPr>
          <w:p>
            <w:pPr>
              <w:spacing w:line="240" w:lineRule="auto"/>
            </w:pPr>
            <w:r>
              <w:rPr>
                <w:rFonts w:ascii="Times New Roman" w:hAnsi="Times New Roman"/>
                <w:sz w:val="20"/>
              </w:rPr>
            </w:r>
          </w:p>
        </w:tc>
      </w:tr>
      <w:tr>
        <w:tc>
          <w:tcPr>
            <w:tcW w:type="dxa" w:w="1440"/>
          </w:tcPr>
          <w:p>
            <w:pPr>
              <w:spacing w:line="240" w:lineRule="auto"/>
            </w:pPr>
            <w:r>
              <w:rPr>
                <w:rFonts w:ascii="Times New Roman" w:hAnsi="Times New Roman"/>
                <w:sz w:val="20"/>
              </w:rPr>
              <w:t>Constant</w:t>
            </w:r>
          </w:p>
        </w:tc>
        <w:tc>
          <w:tcPr>
            <w:tcW w:type="dxa" w:w="1440"/>
          </w:tcPr>
          <w:p>
            <w:pPr>
              <w:spacing w:line="240" w:lineRule="auto"/>
            </w:pPr>
            <w:r>
              <w:rPr>
                <w:rFonts w:ascii="Times New Roman" w:hAnsi="Times New Roman"/>
                <w:sz w:val="20"/>
              </w:rPr>
              <w:t>–</w:t>
            </w:r>
          </w:p>
        </w:tc>
        <w:tc>
          <w:tcPr>
            <w:tcW w:type="dxa" w:w="1440"/>
          </w:tcPr>
          <w:p>
            <w:pPr>
              <w:spacing w:line="240" w:lineRule="auto"/>
            </w:pPr>
            <w:r>
              <w:rPr>
                <w:rFonts w:ascii="Times New Roman" w:hAnsi="Times New Roman"/>
                <w:sz w:val="20"/>
              </w:rPr>
              <w:t>–</w:t>
            </w:r>
          </w:p>
        </w:tc>
        <w:tc>
          <w:tcPr>
            <w:tcW w:type="dxa" w:w="1440"/>
          </w:tcPr>
          <w:p>
            <w:pPr>
              <w:spacing w:line="240" w:lineRule="auto"/>
            </w:pPr>
            <w:r>
              <w:rPr>
                <w:rFonts w:ascii="Times New Roman" w:hAnsi="Times New Roman"/>
                <w:sz w:val="20"/>
              </w:rPr>
              <w:t>–</w:t>
            </w:r>
          </w:p>
        </w:tc>
        <w:tc>
          <w:tcPr>
            <w:tcW w:type="dxa" w:w="1440"/>
          </w:tcPr>
          <w:p>
            <w:pPr>
              <w:spacing w:line="240" w:lineRule="auto"/>
            </w:pPr>
            <w:r>
              <w:rPr>
                <w:rFonts w:ascii="Times New Roman" w:hAnsi="Times New Roman"/>
                <w:sz w:val="20"/>
              </w:rPr>
              <w:t>–</w:t>
            </w:r>
          </w:p>
        </w:tc>
        <w:tc>
          <w:tcPr>
            <w:tcW w:type="dxa" w:w="1440"/>
          </w:tcPr>
          <w:p>
            <w:pPr>
              <w:spacing w:line="240" w:lineRule="auto"/>
            </w:pPr>
            <w:r>
              <w:rPr>
                <w:rFonts w:ascii="Times New Roman" w:hAnsi="Times New Roman"/>
                <w:sz w:val="20"/>
              </w:rPr>
              <w:t>–</w:t>
            </w:r>
          </w:p>
        </w:tc>
      </w:tr>
      <w:tr>
        <w:tc>
          <w:tcPr>
            <w:tcW w:type="dxa" w:w="1440"/>
          </w:tcPr>
          <w:p>
            <w:pPr>
              <w:spacing w:line="240" w:lineRule="auto"/>
            </w:pPr>
            <w:r>
              <w:rPr>
                <w:rFonts w:ascii="Times New Roman" w:hAnsi="Times New Roman"/>
                <w:sz w:val="20"/>
              </w:rPr>
              <w:t>N</w:t>
            </w:r>
          </w:p>
        </w:tc>
        <w:tc>
          <w:tcPr>
            <w:tcW w:type="dxa" w:w="1440"/>
          </w:tcPr>
          <w:p>
            <w:pPr>
              <w:spacing w:line="240" w:lineRule="auto"/>
            </w:pPr>
            <w:r>
              <w:rPr>
                <w:rFonts w:ascii="Times New Roman" w:hAnsi="Times New Roman"/>
                <w:sz w:val="20"/>
              </w:rPr>
              <w:t>–</w:t>
            </w:r>
          </w:p>
        </w:tc>
        <w:tc>
          <w:tcPr>
            <w:tcW w:type="dxa" w:w="1440"/>
          </w:tcPr>
          <w:p>
            <w:pPr>
              <w:spacing w:line="240" w:lineRule="auto"/>
            </w:pPr>
            <w:r>
              <w:rPr>
                <w:rFonts w:ascii="Times New Roman" w:hAnsi="Times New Roman"/>
                <w:sz w:val="20"/>
              </w:rPr>
            </w:r>
          </w:p>
        </w:tc>
        <w:tc>
          <w:tcPr>
            <w:tcW w:type="dxa" w:w="1440"/>
          </w:tcPr>
          <w:p>
            <w:pPr>
              <w:spacing w:line="240" w:lineRule="auto"/>
            </w:pPr>
            <w:r>
              <w:rPr>
                <w:rFonts w:ascii="Times New Roman" w:hAnsi="Times New Roman"/>
                <w:sz w:val="20"/>
              </w:rPr>
            </w:r>
          </w:p>
        </w:tc>
        <w:tc>
          <w:tcPr>
            <w:tcW w:type="dxa" w:w="1440"/>
          </w:tcPr>
          <w:p>
            <w:pPr>
              <w:spacing w:line="240" w:lineRule="auto"/>
            </w:pPr>
            <w:r>
              <w:rPr>
                <w:rFonts w:ascii="Times New Roman" w:hAnsi="Times New Roman"/>
                <w:sz w:val="20"/>
              </w:rPr>
            </w:r>
          </w:p>
        </w:tc>
        <w:tc>
          <w:tcPr>
            <w:tcW w:type="dxa" w:w="1440"/>
          </w:tcPr>
          <w:p>
            <w:pPr>
              <w:spacing w:line="240" w:lineRule="auto"/>
            </w:pPr>
            <w:r>
              <w:rPr>
                <w:rFonts w:ascii="Times New Roman" w:hAnsi="Times New Roman"/>
                <w:sz w:val="20"/>
              </w:rPr>
            </w:r>
          </w:p>
        </w:tc>
      </w:tr>
      <w:tr>
        <w:tc>
          <w:tcPr>
            <w:tcW w:type="dxa" w:w="1440"/>
          </w:tcPr>
          <w:p>
            <w:pPr>
              <w:spacing w:line="240" w:lineRule="auto"/>
            </w:pPr>
            <w:r>
              <w:rPr>
                <w:rFonts w:ascii="Times New Roman" w:hAnsi="Times New Roman"/>
                <w:sz w:val="20"/>
              </w:rPr>
              <w:t>Log-likelihood</w:t>
            </w:r>
          </w:p>
        </w:tc>
        <w:tc>
          <w:tcPr>
            <w:tcW w:type="dxa" w:w="1440"/>
          </w:tcPr>
          <w:p>
            <w:pPr>
              <w:spacing w:line="240" w:lineRule="auto"/>
            </w:pPr>
            <w:r>
              <w:rPr>
                <w:rFonts w:ascii="Times New Roman" w:hAnsi="Times New Roman"/>
                <w:sz w:val="20"/>
              </w:rPr>
              <w:t>–</w:t>
            </w:r>
          </w:p>
        </w:tc>
        <w:tc>
          <w:tcPr>
            <w:tcW w:type="dxa" w:w="1440"/>
          </w:tcPr>
          <w:p>
            <w:pPr>
              <w:spacing w:line="240" w:lineRule="auto"/>
            </w:pPr>
            <w:r>
              <w:rPr>
                <w:rFonts w:ascii="Times New Roman" w:hAnsi="Times New Roman"/>
                <w:sz w:val="20"/>
              </w:rPr>
            </w:r>
          </w:p>
        </w:tc>
        <w:tc>
          <w:tcPr>
            <w:tcW w:type="dxa" w:w="1440"/>
          </w:tcPr>
          <w:p>
            <w:pPr>
              <w:spacing w:line="240" w:lineRule="auto"/>
            </w:pPr>
            <w:r>
              <w:rPr>
                <w:rFonts w:ascii="Times New Roman" w:hAnsi="Times New Roman"/>
                <w:sz w:val="20"/>
              </w:rPr>
            </w:r>
          </w:p>
        </w:tc>
        <w:tc>
          <w:tcPr>
            <w:tcW w:type="dxa" w:w="1440"/>
          </w:tcPr>
          <w:p>
            <w:pPr>
              <w:spacing w:line="240" w:lineRule="auto"/>
            </w:pPr>
            <w:r>
              <w:rPr>
                <w:rFonts w:ascii="Times New Roman" w:hAnsi="Times New Roman"/>
                <w:sz w:val="20"/>
              </w:rPr>
            </w:r>
          </w:p>
        </w:tc>
        <w:tc>
          <w:tcPr>
            <w:tcW w:type="dxa" w:w="1440"/>
          </w:tcPr>
          <w:p>
            <w:pPr>
              <w:spacing w:line="240" w:lineRule="auto"/>
            </w:pPr>
            <w:r>
              <w:rPr>
                <w:rFonts w:ascii="Times New Roman" w:hAnsi="Times New Roman"/>
                <w:sz w:val="20"/>
              </w:rPr>
            </w:r>
          </w:p>
        </w:tc>
      </w:tr>
      <w:tr>
        <w:tc>
          <w:tcPr>
            <w:tcW w:type="dxa" w:w="1440"/>
          </w:tcPr>
          <w:p>
            <w:pPr>
              <w:spacing w:line="240" w:lineRule="auto"/>
            </w:pPr>
            <w:r>
              <w:rPr>
                <w:rFonts w:ascii="Times New Roman" w:hAnsi="Times New Roman"/>
                <w:sz w:val="20"/>
              </w:rPr>
              <w:t>Overdispersion (alpha)</w:t>
            </w:r>
          </w:p>
        </w:tc>
        <w:tc>
          <w:tcPr>
            <w:tcW w:type="dxa" w:w="1440"/>
          </w:tcPr>
          <w:p>
            <w:pPr>
              <w:spacing w:line="240" w:lineRule="auto"/>
            </w:pPr>
            <w:r>
              <w:rPr>
                <w:rFonts w:ascii="Times New Roman" w:hAnsi="Times New Roman"/>
                <w:sz w:val="20"/>
              </w:rPr>
              <w:t>–</w:t>
            </w:r>
          </w:p>
        </w:tc>
        <w:tc>
          <w:tcPr>
            <w:tcW w:type="dxa" w:w="1440"/>
          </w:tcPr>
          <w:p>
            <w:pPr>
              <w:spacing w:line="240" w:lineRule="auto"/>
            </w:pPr>
            <w:r>
              <w:rPr>
                <w:rFonts w:ascii="Times New Roman" w:hAnsi="Times New Roman"/>
                <w:sz w:val="20"/>
              </w:rPr>
            </w:r>
          </w:p>
        </w:tc>
        <w:tc>
          <w:tcPr>
            <w:tcW w:type="dxa" w:w="1440"/>
          </w:tcPr>
          <w:p>
            <w:pPr>
              <w:spacing w:line="240" w:lineRule="auto"/>
            </w:pPr>
            <w:r>
              <w:rPr>
                <w:rFonts w:ascii="Times New Roman" w:hAnsi="Times New Roman"/>
                <w:sz w:val="20"/>
              </w:rPr>
            </w:r>
          </w:p>
        </w:tc>
        <w:tc>
          <w:tcPr>
            <w:tcW w:type="dxa" w:w="1440"/>
          </w:tcPr>
          <w:p>
            <w:pPr>
              <w:spacing w:line="240" w:lineRule="auto"/>
            </w:pPr>
            <w:r>
              <w:rPr>
                <w:rFonts w:ascii="Times New Roman" w:hAnsi="Times New Roman"/>
                <w:sz w:val="20"/>
              </w:rPr>
            </w:r>
          </w:p>
        </w:tc>
        <w:tc>
          <w:tcPr>
            <w:tcW w:type="dxa" w:w="1440"/>
          </w:tcPr>
          <w:p>
            <w:pPr>
              <w:spacing w:line="240" w:lineRule="auto"/>
            </w:pPr>
            <w:r>
              <w:rPr>
                <w:rFonts w:ascii="Times New Roman" w:hAnsi="Times New Roman"/>
                <w:sz w:val="20"/>
              </w:rPr>
            </w:r>
          </w:p>
        </w:tc>
      </w:tr>
      <w:tr>
        <w:tc>
          <w:tcPr>
            <w:tcW w:type="dxa" w:w="1440"/>
          </w:tcPr>
          <w:p>
            <w:pPr>
              <w:spacing w:line="240" w:lineRule="auto"/>
            </w:pPr>
            <w:r>
              <w:rPr>
                <w:rFonts w:ascii="Times New Roman" w:hAnsi="Times New Roman"/>
                <w:sz w:val="20"/>
              </w:rPr>
              <w:t>AIC</w:t>
            </w:r>
          </w:p>
        </w:tc>
        <w:tc>
          <w:tcPr>
            <w:tcW w:type="dxa" w:w="1440"/>
          </w:tcPr>
          <w:p>
            <w:pPr>
              <w:spacing w:line="240" w:lineRule="auto"/>
            </w:pPr>
            <w:r>
              <w:rPr>
                <w:rFonts w:ascii="Times New Roman" w:hAnsi="Times New Roman"/>
                <w:sz w:val="20"/>
              </w:rPr>
              <w:t>–</w:t>
            </w:r>
          </w:p>
        </w:tc>
        <w:tc>
          <w:tcPr>
            <w:tcW w:type="dxa" w:w="1440"/>
          </w:tcPr>
          <w:p>
            <w:pPr>
              <w:spacing w:line="240" w:lineRule="auto"/>
            </w:pPr>
            <w:r>
              <w:rPr>
                <w:rFonts w:ascii="Times New Roman" w:hAnsi="Times New Roman"/>
                <w:sz w:val="20"/>
              </w:rPr>
            </w:r>
          </w:p>
        </w:tc>
        <w:tc>
          <w:tcPr>
            <w:tcW w:type="dxa" w:w="1440"/>
          </w:tcPr>
          <w:p>
            <w:pPr>
              <w:spacing w:line="240" w:lineRule="auto"/>
            </w:pPr>
            <w:r>
              <w:rPr>
                <w:rFonts w:ascii="Times New Roman" w:hAnsi="Times New Roman"/>
                <w:sz w:val="20"/>
              </w:rPr>
            </w:r>
          </w:p>
        </w:tc>
        <w:tc>
          <w:tcPr>
            <w:tcW w:type="dxa" w:w="1440"/>
          </w:tcPr>
          <w:p>
            <w:pPr>
              <w:spacing w:line="240" w:lineRule="auto"/>
            </w:pPr>
            <w:r>
              <w:rPr>
                <w:rFonts w:ascii="Times New Roman" w:hAnsi="Times New Roman"/>
                <w:sz w:val="20"/>
              </w:rPr>
            </w:r>
          </w:p>
        </w:tc>
        <w:tc>
          <w:tcPr>
            <w:tcW w:type="dxa" w:w="1440"/>
          </w:tcPr>
          <w:p>
            <w:pPr>
              <w:spacing w:line="240" w:lineRule="auto"/>
            </w:pPr>
            <w:r>
              <w:rPr>
                <w:rFonts w:ascii="Times New Roman" w:hAnsi="Times New Roman"/>
                <w:sz w:val="20"/>
              </w:rPr>
            </w:r>
          </w:p>
        </w:tc>
      </w:tr>
    </w:tbl>
    <w:p>
      <w:pPr>
        <w:pStyle w:val="Heading3"/>
      </w:pPr>
      <w:r>
        <w:rPr>
          <w:rFonts w:ascii="Times New Roman" w:hAnsi="Times New Roman"/>
          <w:color w:val="000000"/>
        </w:rPr>
        <w:t>Table B.5: Single-Bid Outcome (Logistic Regression)</w:t>
      </w:r>
    </w:p>
    <w:p>
      <w:pPr>
        <w:ind w:firstLine="720"/>
      </w:pPr>
      <w:r>
        <w:rPr>
          <w:b/>
        </w:rPr>
        <w:t>Dependent Variable:</w:t>
      </w:r>
      <w:r>
        <w:t xml:space="preserve"> </w:t>
      </w:r>
      <w:r>
        <w:rPr>
          <w:rFonts w:ascii="Courier New" w:hAnsi="Courier New"/>
          <w:sz w:val="20"/>
        </w:rPr>
        <w:t>single_bid</w:t>
      </w:r>
      <w:r>
        <w:t xml:space="preserve"> (1 = one offer received; 0 = multiple offers)</w:t>
      </w:r>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pPr>
              <w:spacing w:line="240" w:lineRule="auto"/>
            </w:pPr>
            <w:r>
              <w:rPr>
                <w:rFonts w:ascii="Times New Roman" w:hAnsi="Times New Roman"/>
                <w:b/>
                <w:sz w:val="20"/>
              </w:rPr>
              <w:t>Variable</w:t>
            </w:r>
          </w:p>
        </w:tc>
        <w:tc>
          <w:tcPr>
            <w:tcW w:type="dxa" w:w="1234"/>
          </w:tcPr>
          <w:p>
            <w:pPr>
              <w:spacing w:line="240" w:lineRule="auto"/>
            </w:pPr>
            <w:r>
              <w:rPr>
                <w:rFonts w:ascii="Times New Roman" w:hAnsi="Times New Roman"/>
                <w:b/>
                <w:sz w:val="20"/>
              </w:rPr>
              <w:t>Coefficient</w:t>
            </w:r>
          </w:p>
        </w:tc>
        <w:tc>
          <w:tcPr>
            <w:tcW w:type="dxa" w:w="1234"/>
          </w:tcPr>
          <w:p>
            <w:pPr>
              <w:spacing w:line="240" w:lineRule="auto"/>
            </w:pPr>
            <w:r>
              <w:rPr>
                <w:rFonts w:ascii="Times New Roman" w:hAnsi="Times New Roman"/>
                <w:b/>
                <w:sz w:val="20"/>
              </w:rPr>
              <w:t>SE</w:t>
            </w:r>
          </w:p>
        </w:tc>
        <w:tc>
          <w:tcPr>
            <w:tcW w:type="dxa" w:w="1234"/>
          </w:tcPr>
          <w:p>
            <w:pPr>
              <w:spacing w:line="240" w:lineRule="auto"/>
            </w:pPr>
            <w:r>
              <w:rPr>
                <w:rFonts w:ascii="Times New Roman" w:hAnsi="Times New Roman"/>
                <w:b/>
                <w:sz w:val="20"/>
              </w:rPr>
              <w:t>OR</w:t>
            </w:r>
          </w:p>
        </w:tc>
        <w:tc>
          <w:tcPr>
            <w:tcW w:type="dxa" w:w="1234"/>
          </w:tcPr>
          <w:p>
            <w:pPr>
              <w:spacing w:line="240" w:lineRule="auto"/>
            </w:pPr>
            <w:r>
              <w:rPr>
                <w:rFonts w:ascii="Times New Roman" w:hAnsi="Times New Roman"/>
                <w:b/>
                <w:sz w:val="20"/>
              </w:rPr>
              <w:t>95% CI (OR)</w:t>
            </w:r>
          </w:p>
        </w:tc>
        <w:tc>
          <w:tcPr>
            <w:tcW w:type="dxa" w:w="1234"/>
          </w:tcPr>
          <w:p>
            <w:pPr>
              <w:spacing w:line="240" w:lineRule="auto"/>
            </w:pPr>
            <w:r>
              <w:rPr>
                <w:rFonts w:ascii="Times New Roman" w:hAnsi="Times New Roman"/>
                <w:b/>
                <w:sz w:val="20"/>
              </w:rPr>
              <w:t>p-value</w:t>
            </w:r>
          </w:p>
        </w:tc>
        <w:tc>
          <w:tcPr>
            <w:tcW w:type="dxa" w:w="1234"/>
          </w:tcPr>
          <w:p>
            <w:pPr>
              <w:spacing w:line="240" w:lineRule="auto"/>
            </w:pPr>
            <w:r>
              <w:rPr>
                <w:rFonts w:ascii="Times New Roman" w:hAnsi="Times New Roman"/>
                <w:b/>
                <w:sz w:val="20"/>
              </w:rPr>
              <w:t>AME</w:t>
            </w:r>
          </w:p>
        </w:tc>
      </w:tr>
      <w:tr>
        <w:tc>
          <w:tcPr>
            <w:tcW w:type="dxa" w:w="1234"/>
          </w:tcPr>
          <w:p>
            <w:pPr>
              <w:spacing w:line="240" w:lineRule="auto"/>
            </w:pPr>
            <w:r>
              <w:rPr>
                <w:rFonts w:ascii="Times New Roman" w:hAnsi="Times New Roman"/>
                <w:sz w:val="20"/>
              </w:rPr>
              <w:t>Tradeoff (1 = TO, 0 = LPTA)</w:t>
            </w:r>
          </w:p>
        </w:tc>
        <w:tc>
          <w:tcPr>
            <w:tcW w:type="dxa" w:w="1234"/>
          </w:tcPr>
          <w:p>
            <w:pPr>
              <w:spacing w:line="240" w:lineRule="auto"/>
            </w:pPr>
            <w:r>
              <w:rPr>
                <w:rFonts w:ascii="Times New Roman" w:hAnsi="Times New Roman"/>
                <w:sz w:val="20"/>
              </w:rPr>
              <w:t>–</w:t>
            </w:r>
          </w:p>
        </w:tc>
        <w:tc>
          <w:tcPr>
            <w:tcW w:type="dxa" w:w="1234"/>
          </w:tcPr>
          <w:p>
            <w:pPr>
              <w:spacing w:line="240" w:lineRule="auto"/>
            </w:pPr>
            <w:r>
              <w:rPr>
                <w:rFonts w:ascii="Times New Roman" w:hAnsi="Times New Roman"/>
                <w:sz w:val="20"/>
              </w:rPr>
              <w:t>–</w:t>
            </w:r>
          </w:p>
        </w:tc>
        <w:tc>
          <w:tcPr>
            <w:tcW w:type="dxa" w:w="1234"/>
          </w:tcPr>
          <w:p>
            <w:pPr>
              <w:spacing w:line="240" w:lineRule="auto"/>
            </w:pPr>
            <w:r>
              <w:rPr>
                <w:rFonts w:ascii="Times New Roman" w:hAnsi="Times New Roman"/>
                <w:sz w:val="20"/>
              </w:rPr>
              <w:t>–</w:t>
            </w:r>
          </w:p>
        </w:tc>
        <w:tc>
          <w:tcPr>
            <w:tcW w:type="dxa" w:w="1234"/>
          </w:tcPr>
          <w:p>
            <w:pPr>
              <w:spacing w:line="240" w:lineRule="auto"/>
            </w:pPr>
            <w:r>
              <w:rPr>
                <w:rFonts w:ascii="Times New Roman" w:hAnsi="Times New Roman"/>
                <w:sz w:val="20"/>
              </w:rPr>
              <w:t>–</w:t>
            </w:r>
          </w:p>
        </w:tc>
        <w:tc>
          <w:tcPr>
            <w:tcW w:type="dxa" w:w="1234"/>
          </w:tcPr>
          <w:p>
            <w:pPr>
              <w:spacing w:line="240" w:lineRule="auto"/>
            </w:pPr>
            <w:r>
              <w:rPr>
                <w:rFonts w:ascii="Times New Roman" w:hAnsi="Times New Roman"/>
                <w:sz w:val="20"/>
              </w:rPr>
              <w:t>–</w:t>
            </w:r>
          </w:p>
        </w:tc>
        <w:tc>
          <w:tcPr>
            <w:tcW w:type="dxa" w:w="1234"/>
          </w:tcPr>
          <w:p>
            <w:pPr>
              <w:spacing w:line="240" w:lineRule="auto"/>
            </w:pPr>
            <w:r>
              <w:rPr>
                <w:rFonts w:ascii="Times New Roman" w:hAnsi="Times New Roman"/>
                <w:sz w:val="20"/>
              </w:rPr>
              <w:t>–</w:t>
            </w:r>
          </w:p>
        </w:tc>
      </w:tr>
      <w:tr>
        <w:tc>
          <w:tcPr>
            <w:tcW w:type="dxa" w:w="1234"/>
          </w:tcPr>
          <w:p>
            <w:pPr>
              <w:spacing w:line="240" w:lineRule="auto"/>
            </w:pPr>
            <w:r>
              <w:rPr>
                <w:rFonts w:ascii="Times New Roman" w:hAnsi="Times New Roman"/>
                <w:sz w:val="20"/>
              </w:rPr>
              <w:t>Log(Award Amount)</w:t>
            </w:r>
          </w:p>
        </w:tc>
        <w:tc>
          <w:tcPr>
            <w:tcW w:type="dxa" w:w="1234"/>
          </w:tcPr>
          <w:p>
            <w:pPr>
              <w:spacing w:line="240" w:lineRule="auto"/>
            </w:pPr>
            <w:r>
              <w:rPr>
                <w:rFonts w:ascii="Times New Roman" w:hAnsi="Times New Roman"/>
                <w:sz w:val="20"/>
              </w:rPr>
              <w:t>–</w:t>
            </w:r>
          </w:p>
        </w:tc>
        <w:tc>
          <w:tcPr>
            <w:tcW w:type="dxa" w:w="1234"/>
          </w:tcPr>
          <w:p>
            <w:pPr>
              <w:spacing w:line="240" w:lineRule="auto"/>
            </w:pPr>
            <w:r>
              <w:rPr>
                <w:rFonts w:ascii="Times New Roman" w:hAnsi="Times New Roman"/>
                <w:sz w:val="20"/>
              </w:rPr>
              <w:t>–</w:t>
            </w:r>
          </w:p>
        </w:tc>
        <w:tc>
          <w:tcPr>
            <w:tcW w:type="dxa" w:w="1234"/>
          </w:tcPr>
          <w:p>
            <w:pPr>
              <w:spacing w:line="240" w:lineRule="auto"/>
            </w:pPr>
            <w:r>
              <w:rPr>
                <w:rFonts w:ascii="Times New Roman" w:hAnsi="Times New Roman"/>
                <w:sz w:val="20"/>
              </w:rPr>
              <w:t>–</w:t>
            </w:r>
          </w:p>
        </w:tc>
        <w:tc>
          <w:tcPr>
            <w:tcW w:type="dxa" w:w="1234"/>
          </w:tcPr>
          <w:p>
            <w:pPr>
              <w:spacing w:line="240" w:lineRule="auto"/>
            </w:pPr>
            <w:r>
              <w:rPr>
                <w:rFonts w:ascii="Times New Roman" w:hAnsi="Times New Roman"/>
                <w:sz w:val="20"/>
              </w:rPr>
              <w:t>–</w:t>
            </w:r>
          </w:p>
        </w:tc>
        <w:tc>
          <w:tcPr>
            <w:tcW w:type="dxa" w:w="1234"/>
          </w:tcPr>
          <w:p>
            <w:pPr>
              <w:spacing w:line="240" w:lineRule="auto"/>
            </w:pPr>
            <w:r>
              <w:rPr>
                <w:rFonts w:ascii="Times New Roman" w:hAnsi="Times New Roman"/>
                <w:sz w:val="20"/>
              </w:rPr>
              <w:t>–</w:t>
            </w:r>
          </w:p>
        </w:tc>
        <w:tc>
          <w:tcPr>
            <w:tcW w:type="dxa" w:w="1234"/>
          </w:tcPr>
          <w:p>
            <w:pPr>
              <w:spacing w:line="240" w:lineRule="auto"/>
            </w:pPr>
            <w:r>
              <w:rPr>
                <w:rFonts w:ascii="Times New Roman" w:hAnsi="Times New Roman"/>
                <w:sz w:val="20"/>
              </w:rPr>
              <w:t>–</w:t>
            </w:r>
          </w:p>
        </w:tc>
      </w:tr>
      <w:tr>
        <w:tc>
          <w:tcPr>
            <w:tcW w:type="dxa" w:w="1234"/>
          </w:tcPr>
          <w:p>
            <w:pPr>
              <w:spacing w:line="240" w:lineRule="auto"/>
            </w:pPr>
            <w:r>
              <w:rPr>
                <w:rFonts w:ascii="Times New Roman" w:hAnsi="Times New Roman"/>
                <w:sz w:val="20"/>
              </w:rPr>
              <w:t>Contract Type: CPFF (ref: FFP)</w:t>
            </w:r>
          </w:p>
        </w:tc>
        <w:tc>
          <w:tcPr>
            <w:tcW w:type="dxa" w:w="1234"/>
          </w:tcPr>
          <w:p>
            <w:pPr>
              <w:spacing w:line="240" w:lineRule="auto"/>
            </w:pPr>
            <w:r>
              <w:rPr>
                <w:rFonts w:ascii="Times New Roman" w:hAnsi="Times New Roman"/>
                <w:sz w:val="20"/>
              </w:rPr>
              <w:t>–</w:t>
            </w:r>
          </w:p>
        </w:tc>
        <w:tc>
          <w:tcPr>
            <w:tcW w:type="dxa" w:w="1234"/>
          </w:tcPr>
          <w:p>
            <w:pPr>
              <w:spacing w:line="240" w:lineRule="auto"/>
            </w:pPr>
            <w:r>
              <w:rPr>
                <w:rFonts w:ascii="Times New Roman" w:hAnsi="Times New Roman"/>
                <w:sz w:val="20"/>
              </w:rPr>
              <w:t>–</w:t>
            </w:r>
          </w:p>
        </w:tc>
        <w:tc>
          <w:tcPr>
            <w:tcW w:type="dxa" w:w="1234"/>
          </w:tcPr>
          <w:p>
            <w:pPr>
              <w:spacing w:line="240" w:lineRule="auto"/>
            </w:pPr>
            <w:r>
              <w:rPr>
                <w:rFonts w:ascii="Times New Roman" w:hAnsi="Times New Roman"/>
                <w:sz w:val="20"/>
              </w:rPr>
              <w:t>–</w:t>
            </w:r>
          </w:p>
        </w:tc>
        <w:tc>
          <w:tcPr>
            <w:tcW w:type="dxa" w:w="1234"/>
          </w:tcPr>
          <w:p>
            <w:pPr>
              <w:spacing w:line="240" w:lineRule="auto"/>
            </w:pPr>
            <w:r>
              <w:rPr>
                <w:rFonts w:ascii="Times New Roman" w:hAnsi="Times New Roman"/>
                <w:sz w:val="20"/>
              </w:rPr>
              <w:t>–</w:t>
            </w:r>
          </w:p>
        </w:tc>
        <w:tc>
          <w:tcPr>
            <w:tcW w:type="dxa" w:w="1234"/>
          </w:tcPr>
          <w:p>
            <w:pPr>
              <w:spacing w:line="240" w:lineRule="auto"/>
            </w:pPr>
            <w:r>
              <w:rPr>
                <w:rFonts w:ascii="Times New Roman" w:hAnsi="Times New Roman"/>
                <w:sz w:val="20"/>
              </w:rPr>
              <w:t>–</w:t>
            </w:r>
          </w:p>
        </w:tc>
        <w:tc>
          <w:tcPr>
            <w:tcW w:type="dxa" w:w="1234"/>
          </w:tcPr>
          <w:p>
            <w:pPr>
              <w:spacing w:line="240" w:lineRule="auto"/>
            </w:pPr>
            <w:r>
              <w:rPr>
                <w:rFonts w:ascii="Times New Roman" w:hAnsi="Times New Roman"/>
                <w:sz w:val="20"/>
              </w:rPr>
              <w:t>–</w:t>
            </w:r>
          </w:p>
        </w:tc>
      </w:tr>
      <w:tr>
        <w:tc>
          <w:tcPr>
            <w:tcW w:type="dxa" w:w="1234"/>
          </w:tcPr>
          <w:p>
            <w:pPr>
              <w:spacing w:line="240" w:lineRule="auto"/>
            </w:pPr>
            <w:r>
              <w:rPr>
                <w:rFonts w:ascii="Times New Roman" w:hAnsi="Times New Roman"/>
                <w:sz w:val="20"/>
              </w:rPr>
              <w:t>Contract Type: T&amp;M (ref: FFP)</w:t>
            </w:r>
          </w:p>
        </w:tc>
        <w:tc>
          <w:tcPr>
            <w:tcW w:type="dxa" w:w="1234"/>
          </w:tcPr>
          <w:p>
            <w:pPr>
              <w:spacing w:line="240" w:lineRule="auto"/>
            </w:pPr>
            <w:r>
              <w:rPr>
                <w:rFonts w:ascii="Times New Roman" w:hAnsi="Times New Roman"/>
                <w:sz w:val="20"/>
              </w:rPr>
              <w:t>–</w:t>
            </w:r>
          </w:p>
        </w:tc>
        <w:tc>
          <w:tcPr>
            <w:tcW w:type="dxa" w:w="1234"/>
          </w:tcPr>
          <w:p>
            <w:pPr>
              <w:spacing w:line="240" w:lineRule="auto"/>
            </w:pPr>
            <w:r>
              <w:rPr>
                <w:rFonts w:ascii="Times New Roman" w:hAnsi="Times New Roman"/>
                <w:sz w:val="20"/>
              </w:rPr>
              <w:t>–</w:t>
            </w:r>
          </w:p>
        </w:tc>
        <w:tc>
          <w:tcPr>
            <w:tcW w:type="dxa" w:w="1234"/>
          </w:tcPr>
          <w:p>
            <w:pPr>
              <w:spacing w:line="240" w:lineRule="auto"/>
            </w:pPr>
            <w:r>
              <w:rPr>
                <w:rFonts w:ascii="Times New Roman" w:hAnsi="Times New Roman"/>
                <w:sz w:val="20"/>
              </w:rPr>
              <w:t>–</w:t>
            </w:r>
          </w:p>
        </w:tc>
        <w:tc>
          <w:tcPr>
            <w:tcW w:type="dxa" w:w="1234"/>
          </w:tcPr>
          <w:p>
            <w:pPr>
              <w:spacing w:line="240" w:lineRule="auto"/>
            </w:pPr>
            <w:r>
              <w:rPr>
                <w:rFonts w:ascii="Times New Roman" w:hAnsi="Times New Roman"/>
                <w:sz w:val="20"/>
              </w:rPr>
              <w:t>–</w:t>
            </w:r>
          </w:p>
        </w:tc>
        <w:tc>
          <w:tcPr>
            <w:tcW w:type="dxa" w:w="1234"/>
          </w:tcPr>
          <w:p>
            <w:pPr>
              <w:spacing w:line="240" w:lineRule="auto"/>
            </w:pPr>
            <w:r>
              <w:rPr>
                <w:rFonts w:ascii="Times New Roman" w:hAnsi="Times New Roman"/>
                <w:sz w:val="20"/>
              </w:rPr>
              <w:t>–</w:t>
            </w:r>
          </w:p>
        </w:tc>
        <w:tc>
          <w:tcPr>
            <w:tcW w:type="dxa" w:w="1234"/>
          </w:tcPr>
          <w:p>
            <w:pPr>
              <w:spacing w:line="240" w:lineRule="auto"/>
            </w:pPr>
            <w:r>
              <w:rPr>
                <w:rFonts w:ascii="Times New Roman" w:hAnsi="Times New Roman"/>
                <w:sz w:val="20"/>
              </w:rPr>
              <w:t>–</w:t>
            </w:r>
          </w:p>
        </w:tc>
      </w:tr>
      <w:tr>
        <w:tc>
          <w:tcPr>
            <w:tcW w:type="dxa" w:w="1234"/>
          </w:tcPr>
          <w:p>
            <w:pPr>
              <w:spacing w:line="240" w:lineRule="auto"/>
            </w:pPr>
            <w:r>
              <w:rPr>
                <w:rFonts w:ascii="Times New Roman" w:hAnsi="Times New Roman"/>
                <w:sz w:val="20"/>
              </w:rPr>
              <w:t>Contract Type: Other (ref: FFP)</w:t>
            </w:r>
          </w:p>
        </w:tc>
        <w:tc>
          <w:tcPr>
            <w:tcW w:type="dxa" w:w="1234"/>
          </w:tcPr>
          <w:p>
            <w:pPr>
              <w:spacing w:line="240" w:lineRule="auto"/>
            </w:pPr>
            <w:r>
              <w:rPr>
                <w:rFonts w:ascii="Times New Roman" w:hAnsi="Times New Roman"/>
                <w:sz w:val="20"/>
              </w:rPr>
              <w:t>–</w:t>
            </w:r>
          </w:p>
        </w:tc>
        <w:tc>
          <w:tcPr>
            <w:tcW w:type="dxa" w:w="1234"/>
          </w:tcPr>
          <w:p>
            <w:pPr>
              <w:spacing w:line="240" w:lineRule="auto"/>
            </w:pPr>
            <w:r>
              <w:rPr>
                <w:rFonts w:ascii="Times New Roman" w:hAnsi="Times New Roman"/>
                <w:sz w:val="20"/>
              </w:rPr>
              <w:t>–</w:t>
            </w:r>
          </w:p>
        </w:tc>
        <w:tc>
          <w:tcPr>
            <w:tcW w:type="dxa" w:w="1234"/>
          </w:tcPr>
          <w:p>
            <w:pPr>
              <w:spacing w:line="240" w:lineRule="auto"/>
            </w:pPr>
            <w:r>
              <w:rPr>
                <w:rFonts w:ascii="Times New Roman" w:hAnsi="Times New Roman"/>
                <w:sz w:val="20"/>
              </w:rPr>
              <w:t>–</w:t>
            </w:r>
          </w:p>
        </w:tc>
        <w:tc>
          <w:tcPr>
            <w:tcW w:type="dxa" w:w="1234"/>
          </w:tcPr>
          <w:p>
            <w:pPr>
              <w:spacing w:line="240" w:lineRule="auto"/>
            </w:pPr>
            <w:r>
              <w:rPr>
                <w:rFonts w:ascii="Times New Roman" w:hAnsi="Times New Roman"/>
                <w:sz w:val="20"/>
              </w:rPr>
              <w:t>–</w:t>
            </w:r>
          </w:p>
        </w:tc>
        <w:tc>
          <w:tcPr>
            <w:tcW w:type="dxa" w:w="1234"/>
          </w:tcPr>
          <w:p>
            <w:pPr>
              <w:spacing w:line="240" w:lineRule="auto"/>
            </w:pPr>
            <w:r>
              <w:rPr>
                <w:rFonts w:ascii="Times New Roman" w:hAnsi="Times New Roman"/>
                <w:sz w:val="20"/>
              </w:rPr>
              <w:t>–</w:t>
            </w:r>
          </w:p>
        </w:tc>
        <w:tc>
          <w:tcPr>
            <w:tcW w:type="dxa" w:w="1234"/>
          </w:tcPr>
          <w:p>
            <w:pPr>
              <w:spacing w:line="240" w:lineRule="auto"/>
            </w:pPr>
            <w:r>
              <w:rPr>
                <w:rFonts w:ascii="Times New Roman" w:hAnsi="Times New Roman"/>
                <w:sz w:val="20"/>
              </w:rPr>
              <w:t>–</w:t>
            </w:r>
          </w:p>
        </w:tc>
      </w:tr>
      <w:tr>
        <w:tc>
          <w:tcPr>
            <w:tcW w:type="dxa" w:w="1234"/>
          </w:tcPr>
          <w:p>
            <w:pPr>
              <w:spacing w:line="240" w:lineRule="auto"/>
            </w:pPr>
            <w:r>
              <w:rPr>
                <w:rFonts w:ascii="Times New Roman" w:hAnsi="Times New Roman"/>
                <w:sz w:val="20"/>
              </w:rPr>
              <w:t>IDV Indicator</w:t>
            </w:r>
          </w:p>
        </w:tc>
        <w:tc>
          <w:tcPr>
            <w:tcW w:type="dxa" w:w="1234"/>
          </w:tcPr>
          <w:p>
            <w:pPr>
              <w:spacing w:line="240" w:lineRule="auto"/>
            </w:pPr>
            <w:r>
              <w:rPr>
                <w:rFonts w:ascii="Times New Roman" w:hAnsi="Times New Roman"/>
                <w:sz w:val="20"/>
              </w:rPr>
              <w:t>–</w:t>
            </w:r>
          </w:p>
        </w:tc>
        <w:tc>
          <w:tcPr>
            <w:tcW w:type="dxa" w:w="1234"/>
          </w:tcPr>
          <w:p>
            <w:pPr>
              <w:spacing w:line="240" w:lineRule="auto"/>
            </w:pPr>
            <w:r>
              <w:rPr>
                <w:rFonts w:ascii="Times New Roman" w:hAnsi="Times New Roman"/>
                <w:sz w:val="20"/>
              </w:rPr>
              <w:t>–</w:t>
            </w:r>
          </w:p>
        </w:tc>
        <w:tc>
          <w:tcPr>
            <w:tcW w:type="dxa" w:w="1234"/>
          </w:tcPr>
          <w:p>
            <w:pPr>
              <w:spacing w:line="240" w:lineRule="auto"/>
            </w:pPr>
            <w:r>
              <w:rPr>
                <w:rFonts w:ascii="Times New Roman" w:hAnsi="Times New Roman"/>
                <w:sz w:val="20"/>
              </w:rPr>
              <w:t>–</w:t>
            </w:r>
          </w:p>
        </w:tc>
        <w:tc>
          <w:tcPr>
            <w:tcW w:type="dxa" w:w="1234"/>
          </w:tcPr>
          <w:p>
            <w:pPr>
              <w:spacing w:line="240" w:lineRule="auto"/>
            </w:pPr>
            <w:r>
              <w:rPr>
                <w:rFonts w:ascii="Times New Roman" w:hAnsi="Times New Roman"/>
                <w:sz w:val="20"/>
              </w:rPr>
              <w:t>–</w:t>
            </w:r>
          </w:p>
        </w:tc>
        <w:tc>
          <w:tcPr>
            <w:tcW w:type="dxa" w:w="1234"/>
          </w:tcPr>
          <w:p>
            <w:pPr>
              <w:spacing w:line="240" w:lineRule="auto"/>
            </w:pPr>
            <w:r>
              <w:rPr>
                <w:rFonts w:ascii="Times New Roman" w:hAnsi="Times New Roman"/>
                <w:sz w:val="20"/>
              </w:rPr>
              <w:t>–</w:t>
            </w:r>
          </w:p>
        </w:tc>
        <w:tc>
          <w:tcPr>
            <w:tcW w:type="dxa" w:w="1234"/>
          </w:tcPr>
          <w:p>
            <w:pPr>
              <w:spacing w:line="240" w:lineRule="auto"/>
            </w:pPr>
            <w:r>
              <w:rPr>
                <w:rFonts w:ascii="Times New Roman" w:hAnsi="Times New Roman"/>
                <w:sz w:val="20"/>
              </w:rPr>
              <w:t>–</w:t>
            </w:r>
          </w:p>
        </w:tc>
      </w:tr>
      <w:tr>
        <w:tc>
          <w:tcPr>
            <w:tcW w:type="dxa" w:w="1234"/>
          </w:tcPr>
          <w:p>
            <w:pPr>
              <w:spacing w:line="240" w:lineRule="auto"/>
            </w:pPr>
            <w:r>
              <w:rPr>
                <w:rFonts w:ascii="Times New Roman" w:hAnsi="Times New Roman"/>
                <w:sz w:val="20"/>
              </w:rPr>
              <w:t>Set-Aside controls</w:t>
            </w:r>
          </w:p>
        </w:tc>
        <w:tc>
          <w:tcPr>
            <w:tcW w:type="dxa" w:w="1234"/>
          </w:tcPr>
          <w:p>
            <w:pPr>
              <w:spacing w:line="240" w:lineRule="auto"/>
            </w:pPr>
            <w:r>
              <w:rPr>
                <w:rFonts w:ascii="Times New Roman" w:hAnsi="Times New Roman"/>
                <w:sz w:val="20"/>
              </w:rPr>
              <w:t>Included</w:t>
            </w:r>
          </w:p>
        </w:tc>
        <w:tc>
          <w:tcPr>
            <w:tcW w:type="dxa" w:w="1234"/>
          </w:tcPr>
          <w:p>
            <w:pPr>
              <w:spacing w:line="240" w:lineRule="auto"/>
            </w:pPr>
            <w:r>
              <w:rPr>
                <w:rFonts w:ascii="Times New Roman" w:hAnsi="Times New Roman"/>
                <w:sz w:val="20"/>
              </w:rPr>
            </w:r>
          </w:p>
        </w:tc>
        <w:tc>
          <w:tcPr>
            <w:tcW w:type="dxa" w:w="1234"/>
          </w:tcPr>
          <w:p>
            <w:pPr>
              <w:spacing w:line="240" w:lineRule="auto"/>
            </w:pPr>
            <w:r>
              <w:rPr>
                <w:rFonts w:ascii="Times New Roman" w:hAnsi="Times New Roman"/>
                <w:sz w:val="20"/>
              </w:rPr>
            </w:r>
          </w:p>
        </w:tc>
        <w:tc>
          <w:tcPr>
            <w:tcW w:type="dxa" w:w="1234"/>
          </w:tcPr>
          <w:p>
            <w:pPr>
              <w:spacing w:line="240" w:lineRule="auto"/>
            </w:pPr>
            <w:r>
              <w:rPr>
                <w:rFonts w:ascii="Times New Roman" w:hAnsi="Times New Roman"/>
                <w:sz w:val="20"/>
              </w:rPr>
            </w:r>
          </w:p>
        </w:tc>
        <w:tc>
          <w:tcPr>
            <w:tcW w:type="dxa" w:w="1234"/>
          </w:tcPr>
          <w:p>
            <w:pPr>
              <w:spacing w:line="240" w:lineRule="auto"/>
            </w:pPr>
            <w:r>
              <w:rPr>
                <w:rFonts w:ascii="Times New Roman" w:hAnsi="Times New Roman"/>
                <w:sz w:val="20"/>
              </w:rPr>
            </w:r>
          </w:p>
        </w:tc>
        <w:tc>
          <w:tcPr>
            <w:tcW w:type="dxa" w:w="1234"/>
          </w:tcPr>
          <w:p>
            <w:pPr>
              <w:spacing w:line="240" w:lineRule="auto"/>
            </w:pPr>
            <w:r>
              <w:rPr>
                <w:rFonts w:ascii="Times New Roman" w:hAnsi="Times New Roman"/>
                <w:sz w:val="20"/>
              </w:rPr>
            </w:r>
          </w:p>
        </w:tc>
      </w:tr>
      <w:tr>
        <w:tc>
          <w:tcPr>
            <w:tcW w:type="dxa" w:w="1234"/>
          </w:tcPr>
          <w:p>
            <w:pPr>
              <w:spacing w:line="240" w:lineRule="auto"/>
            </w:pPr>
            <w:r>
              <w:rPr>
                <w:rFonts w:ascii="Times New Roman" w:hAnsi="Times New Roman"/>
                <w:sz w:val="20"/>
              </w:rPr>
              <w:t>Agency Fixed Effects</w:t>
            </w:r>
          </w:p>
        </w:tc>
        <w:tc>
          <w:tcPr>
            <w:tcW w:type="dxa" w:w="1234"/>
          </w:tcPr>
          <w:p>
            <w:pPr>
              <w:spacing w:line="240" w:lineRule="auto"/>
            </w:pPr>
            <w:r>
              <w:rPr>
                <w:rFonts w:ascii="Times New Roman" w:hAnsi="Times New Roman"/>
                <w:sz w:val="20"/>
              </w:rPr>
              <w:t>Included</w:t>
            </w:r>
          </w:p>
        </w:tc>
        <w:tc>
          <w:tcPr>
            <w:tcW w:type="dxa" w:w="1234"/>
          </w:tcPr>
          <w:p>
            <w:pPr>
              <w:spacing w:line="240" w:lineRule="auto"/>
            </w:pPr>
            <w:r>
              <w:rPr>
                <w:rFonts w:ascii="Times New Roman" w:hAnsi="Times New Roman"/>
                <w:sz w:val="20"/>
              </w:rPr>
            </w:r>
          </w:p>
        </w:tc>
        <w:tc>
          <w:tcPr>
            <w:tcW w:type="dxa" w:w="1234"/>
          </w:tcPr>
          <w:p>
            <w:pPr>
              <w:spacing w:line="240" w:lineRule="auto"/>
            </w:pPr>
            <w:r>
              <w:rPr>
                <w:rFonts w:ascii="Times New Roman" w:hAnsi="Times New Roman"/>
                <w:sz w:val="20"/>
              </w:rPr>
            </w:r>
          </w:p>
        </w:tc>
        <w:tc>
          <w:tcPr>
            <w:tcW w:type="dxa" w:w="1234"/>
          </w:tcPr>
          <w:p>
            <w:pPr>
              <w:spacing w:line="240" w:lineRule="auto"/>
            </w:pPr>
            <w:r>
              <w:rPr>
                <w:rFonts w:ascii="Times New Roman" w:hAnsi="Times New Roman"/>
                <w:sz w:val="20"/>
              </w:rPr>
            </w:r>
          </w:p>
        </w:tc>
        <w:tc>
          <w:tcPr>
            <w:tcW w:type="dxa" w:w="1234"/>
          </w:tcPr>
          <w:p>
            <w:pPr>
              <w:spacing w:line="240" w:lineRule="auto"/>
            </w:pPr>
            <w:r>
              <w:rPr>
                <w:rFonts w:ascii="Times New Roman" w:hAnsi="Times New Roman"/>
                <w:sz w:val="20"/>
              </w:rPr>
            </w:r>
          </w:p>
        </w:tc>
        <w:tc>
          <w:tcPr>
            <w:tcW w:type="dxa" w:w="1234"/>
          </w:tcPr>
          <w:p>
            <w:pPr>
              <w:spacing w:line="240" w:lineRule="auto"/>
            </w:pPr>
            <w:r>
              <w:rPr>
                <w:rFonts w:ascii="Times New Roman" w:hAnsi="Times New Roman"/>
                <w:sz w:val="20"/>
              </w:rPr>
            </w:r>
          </w:p>
        </w:tc>
      </w:tr>
      <w:tr>
        <w:tc>
          <w:tcPr>
            <w:tcW w:type="dxa" w:w="1234"/>
          </w:tcPr>
          <w:p>
            <w:pPr>
              <w:spacing w:line="240" w:lineRule="auto"/>
            </w:pPr>
            <w:r>
              <w:rPr>
                <w:rFonts w:ascii="Times New Roman" w:hAnsi="Times New Roman"/>
                <w:sz w:val="20"/>
              </w:rPr>
              <w:t>Fiscal Year Fixed Effects</w:t>
            </w:r>
          </w:p>
        </w:tc>
        <w:tc>
          <w:tcPr>
            <w:tcW w:type="dxa" w:w="1234"/>
          </w:tcPr>
          <w:p>
            <w:pPr>
              <w:spacing w:line="240" w:lineRule="auto"/>
            </w:pPr>
            <w:r>
              <w:rPr>
                <w:rFonts w:ascii="Times New Roman" w:hAnsi="Times New Roman"/>
                <w:sz w:val="20"/>
              </w:rPr>
              <w:t>Included</w:t>
            </w:r>
          </w:p>
        </w:tc>
        <w:tc>
          <w:tcPr>
            <w:tcW w:type="dxa" w:w="1234"/>
          </w:tcPr>
          <w:p>
            <w:pPr>
              <w:spacing w:line="240" w:lineRule="auto"/>
            </w:pPr>
            <w:r>
              <w:rPr>
                <w:rFonts w:ascii="Times New Roman" w:hAnsi="Times New Roman"/>
                <w:sz w:val="20"/>
              </w:rPr>
            </w:r>
          </w:p>
        </w:tc>
        <w:tc>
          <w:tcPr>
            <w:tcW w:type="dxa" w:w="1234"/>
          </w:tcPr>
          <w:p>
            <w:pPr>
              <w:spacing w:line="240" w:lineRule="auto"/>
            </w:pPr>
            <w:r>
              <w:rPr>
                <w:rFonts w:ascii="Times New Roman" w:hAnsi="Times New Roman"/>
                <w:sz w:val="20"/>
              </w:rPr>
            </w:r>
          </w:p>
        </w:tc>
        <w:tc>
          <w:tcPr>
            <w:tcW w:type="dxa" w:w="1234"/>
          </w:tcPr>
          <w:p>
            <w:pPr>
              <w:spacing w:line="240" w:lineRule="auto"/>
            </w:pPr>
            <w:r>
              <w:rPr>
                <w:rFonts w:ascii="Times New Roman" w:hAnsi="Times New Roman"/>
                <w:sz w:val="20"/>
              </w:rPr>
            </w:r>
          </w:p>
        </w:tc>
        <w:tc>
          <w:tcPr>
            <w:tcW w:type="dxa" w:w="1234"/>
          </w:tcPr>
          <w:p>
            <w:pPr>
              <w:spacing w:line="240" w:lineRule="auto"/>
            </w:pPr>
            <w:r>
              <w:rPr>
                <w:rFonts w:ascii="Times New Roman" w:hAnsi="Times New Roman"/>
                <w:sz w:val="20"/>
              </w:rPr>
            </w:r>
          </w:p>
        </w:tc>
        <w:tc>
          <w:tcPr>
            <w:tcW w:type="dxa" w:w="1234"/>
          </w:tcPr>
          <w:p>
            <w:pPr>
              <w:spacing w:line="240" w:lineRule="auto"/>
            </w:pPr>
            <w:r>
              <w:rPr>
                <w:rFonts w:ascii="Times New Roman" w:hAnsi="Times New Roman"/>
                <w:sz w:val="20"/>
              </w:rPr>
            </w:r>
          </w:p>
        </w:tc>
      </w:tr>
      <w:tr>
        <w:tc>
          <w:tcPr>
            <w:tcW w:type="dxa" w:w="1234"/>
          </w:tcPr>
          <w:p>
            <w:pPr>
              <w:spacing w:line="240" w:lineRule="auto"/>
            </w:pPr>
            <w:r>
              <w:rPr>
                <w:rFonts w:ascii="Times New Roman" w:hAnsi="Times New Roman"/>
                <w:sz w:val="20"/>
              </w:rPr>
              <w:t>Constant</w:t>
            </w:r>
          </w:p>
        </w:tc>
        <w:tc>
          <w:tcPr>
            <w:tcW w:type="dxa" w:w="1234"/>
          </w:tcPr>
          <w:p>
            <w:pPr>
              <w:spacing w:line="240" w:lineRule="auto"/>
            </w:pPr>
            <w:r>
              <w:rPr>
                <w:rFonts w:ascii="Times New Roman" w:hAnsi="Times New Roman"/>
                <w:sz w:val="20"/>
              </w:rPr>
              <w:t>–</w:t>
            </w:r>
          </w:p>
        </w:tc>
        <w:tc>
          <w:tcPr>
            <w:tcW w:type="dxa" w:w="1234"/>
          </w:tcPr>
          <w:p>
            <w:pPr>
              <w:spacing w:line="240" w:lineRule="auto"/>
            </w:pPr>
            <w:r>
              <w:rPr>
                <w:rFonts w:ascii="Times New Roman" w:hAnsi="Times New Roman"/>
                <w:sz w:val="20"/>
              </w:rPr>
              <w:t>–</w:t>
            </w:r>
          </w:p>
        </w:tc>
        <w:tc>
          <w:tcPr>
            <w:tcW w:type="dxa" w:w="1234"/>
          </w:tcPr>
          <w:p>
            <w:pPr>
              <w:spacing w:line="240" w:lineRule="auto"/>
            </w:pPr>
            <w:r>
              <w:rPr>
                <w:rFonts w:ascii="Times New Roman" w:hAnsi="Times New Roman"/>
                <w:sz w:val="20"/>
              </w:rPr>
              <w:t>–</w:t>
            </w:r>
          </w:p>
        </w:tc>
        <w:tc>
          <w:tcPr>
            <w:tcW w:type="dxa" w:w="1234"/>
          </w:tcPr>
          <w:p>
            <w:pPr>
              <w:spacing w:line="240" w:lineRule="auto"/>
            </w:pPr>
            <w:r>
              <w:rPr>
                <w:rFonts w:ascii="Times New Roman" w:hAnsi="Times New Roman"/>
                <w:sz w:val="20"/>
              </w:rPr>
              <w:t>–</w:t>
            </w:r>
          </w:p>
        </w:tc>
        <w:tc>
          <w:tcPr>
            <w:tcW w:type="dxa" w:w="1234"/>
          </w:tcPr>
          <w:p>
            <w:pPr>
              <w:spacing w:line="240" w:lineRule="auto"/>
            </w:pPr>
            <w:r>
              <w:rPr>
                <w:rFonts w:ascii="Times New Roman" w:hAnsi="Times New Roman"/>
                <w:sz w:val="20"/>
              </w:rPr>
              <w:t>–</w:t>
            </w:r>
          </w:p>
        </w:tc>
        <w:tc>
          <w:tcPr>
            <w:tcW w:type="dxa" w:w="1234"/>
          </w:tcPr>
          <w:p>
            <w:pPr>
              <w:spacing w:line="240" w:lineRule="auto"/>
            </w:pPr>
            <w:r>
              <w:rPr>
                <w:rFonts w:ascii="Times New Roman" w:hAnsi="Times New Roman"/>
                <w:sz w:val="20"/>
              </w:rPr>
            </w:r>
          </w:p>
        </w:tc>
      </w:tr>
      <w:tr>
        <w:tc>
          <w:tcPr>
            <w:tcW w:type="dxa" w:w="1234"/>
          </w:tcPr>
          <w:p>
            <w:pPr>
              <w:spacing w:line="240" w:lineRule="auto"/>
            </w:pPr>
            <w:r>
              <w:rPr>
                <w:rFonts w:ascii="Times New Roman" w:hAnsi="Times New Roman"/>
                <w:sz w:val="20"/>
              </w:rPr>
              <w:t>N</w:t>
            </w:r>
          </w:p>
        </w:tc>
        <w:tc>
          <w:tcPr>
            <w:tcW w:type="dxa" w:w="1234"/>
          </w:tcPr>
          <w:p>
            <w:pPr>
              <w:spacing w:line="240" w:lineRule="auto"/>
            </w:pPr>
            <w:r>
              <w:rPr>
                <w:rFonts w:ascii="Times New Roman" w:hAnsi="Times New Roman"/>
                <w:sz w:val="20"/>
              </w:rPr>
              <w:t>–</w:t>
            </w:r>
          </w:p>
        </w:tc>
        <w:tc>
          <w:tcPr>
            <w:tcW w:type="dxa" w:w="1234"/>
          </w:tcPr>
          <w:p>
            <w:pPr>
              <w:spacing w:line="240" w:lineRule="auto"/>
            </w:pPr>
            <w:r>
              <w:rPr>
                <w:rFonts w:ascii="Times New Roman" w:hAnsi="Times New Roman"/>
                <w:sz w:val="20"/>
              </w:rPr>
            </w:r>
          </w:p>
        </w:tc>
        <w:tc>
          <w:tcPr>
            <w:tcW w:type="dxa" w:w="1234"/>
          </w:tcPr>
          <w:p>
            <w:pPr>
              <w:spacing w:line="240" w:lineRule="auto"/>
            </w:pPr>
            <w:r>
              <w:rPr>
                <w:rFonts w:ascii="Times New Roman" w:hAnsi="Times New Roman"/>
                <w:sz w:val="20"/>
              </w:rPr>
            </w:r>
          </w:p>
        </w:tc>
        <w:tc>
          <w:tcPr>
            <w:tcW w:type="dxa" w:w="1234"/>
          </w:tcPr>
          <w:p>
            <w:pPr>
              <w:spacing w:line="240" w:lineRule="auto"/>
            </w:pPr>
            <w:r>
              <w:rPr>
                <w:rFonts w:ascii="Times New Roman" w:hAnsi="Times New Roman"/>
                <w:sz w:val="20"/>
              </w:rPr>
            </w:r>
          </w:p>
        </w:tc>
        <w:tc>
          <w:tcPr>
            <w:tcW w:type="dxa" w:w="1234"/>
          </w:tcPr>
          <w:p>
            <w:pPr>
              <w:spacing w:line="240" w:lineRule="auto"/>
            </w:pPr>
            <w:r>
              <w:rPr>
                <w:rFonts w:ascii="Times New Roman" w:hAnsi="Times New Roman"/>
                <w:sz w:val="20"/>
              </w:rPr>
            </w:r>
          </w:p>
        </w:tc>
        <w:tc>
          <w:tcPr>
            <w:tcW w:type="dxa" w:w="1234"/>
          </w:tcPr>
          <w:p>
            <w:pPr>
              <w:spacing w:line="240" w:lineRule="auto"/>
            </w:pPr>
            <w:r>
              <w:rPr>
                <w:rFonts w:ascii="Times New Roman" w:hAnsi="Times New Roman"/>
                <w:sz w:val="20"/>
              </w:rPr>
            </w:r>
          </w:p>
        </w:tc>
      </w:tr>
      <w:tr>
        <w:tc>
          <w:tcPr>
            <w:tcW w:type="dxa" w:w="1234"/>
          </w:tcPr>
          <w:p>
            <w:pPr>
              <w:spacing w:line="240" w:lineRule="auto"/>
            </w:pPr>
            <w:r>
              <w:rPr>
                <w:rFonts w:ascii="Times New Roman" w:hAnsi="Times New Roman"/>
                <w:sz w:val="20"/>
              </w:rPr>
              <w:t>Pseudo R-squared</w:t>
            </w:r>
          </w:p>
        </w:tc>
        <w:tc>
          <w:tcPr>
            <w:tcW w:type="dxa" w:w="1234"/>
          </w:tcPr>
          <w:p>
            <w:pPr>
              <w:spacing w:line="240" w:lineRule="auto"/>
            </w:pPr>
            <w:r>
              <w:rPr>
                <w:rFonts w:ascii="Times New Roman" w:hAnsi="Times New Roman"/>
                <w:sz w:val="20"/>
              </w:rPr>
              <w:t>–</w:t>
            </w:r>
          </w:p>
        </w:tc>
        <w:tc>
          <w:tcPr>
            <w:tcW w:type="dxa" w:w="1234"/>
          </w:tcPr>
          <w:p>
            <w:pPr>
              <w:spacing w:line="240" w:lineRule="auto"/>
            </w:pPr>
            <w:r>
              <w:rPr>
                <w:rFonts w:ascii="Times New Roman" w:hAnsi="Times New Roman"/>
                <w:sz w:val="20"/>
              </w:rPr>
            </w:r>
          </w:p>
        </w:tc>
        <w:tc>
          <w:tcPr>
            <w:tcW w:type="dxa" w:w="1234"/>
          </w:tcPr>
          <w:p>
            <w:pPr>
              <w:spacing w:line="240" w:lineRule="auto"/>
            </w:pPr>
            <w:r>
              <w:rPr>
                <w:rFonts w:ascii="Times New Roman" w:hAnsi="Times New Roman"/>
                <w:sz w:val="20"/>
              </w:rPr>
            </w:r>
          </w:p>
        </w:tc>
        <w:tc>
          <w:tcPr>
            <w:tcW w:type="dxa" w:w="1234"/>
          </w:tcPr>
          <w:p>
            <w:pPr>
              <w:spacing w:line="240" w:lineRule="auto"/>
            </w:pPr>
            <w:r>
              <w:rPr>
                <w:rFonts w:ascii="Times New Roman" w:hAnsi="Times New Roman"/>
                <w:sz w:val="20"/>
              </w:rPr>
            </w:r>
          </w:p>
        </w:tc>
        <w:tc>
          <w:tcPr>
            <w:tcW w:type="dxa" w:w="1234"/>
          </w:tcPr>
          <w:p>
            <w:pPr>
              <w:spacing w:line="240" w:lineRule="auto"/>
            </w:pPr>
            <w:r>
              <w:rPr>
                <w:rFonts w:ascii="Times New Roman" w:hAnsi="Times New Roman"/>
                <w:sz w:val="20"/>
              </w:rPr>
            </w:r>
          </w:p>
        </w:tc>
        <w:tc>
          <w:tcPr>
            <w:tcW w:type="dxa" w:w="1234"/>
          </w:tcPr>
          <w:p>
            <w:pPr>
              <w:spacing w:line="240" w:lineRule="auto"/>
            </w:pPr>
            <w:r>
              <w:rPr>
                <w:rFonts w:ascii="Times New Roman" w:hAnsi="Times New Roman"/>
                <w:sz w:val="20"/>
              </w:rPr>
            </w:r>
          </w:p>
        </w:tc>
      </w:tr>
      <w:tr>
        <w:tc>
          <w:tcPr>
            <w:tcW w:type="dxa" w:w="1234"/>
          </w:tcPr>
          <w:p>
            <w:pPr>
              <w:spacing w:line="240" w:lineRule="auto"/>
            </w:pPr>
            <w:r>
              <w:rPr>
                <w:rFonts w:ascii="Times New Roman" w:hAnsi="Times New Roman"/>
                <w:sz w:val="20"/>
              </w:rPr>
              <w:t>Log-likelihood</w:t>
            </w:r>
          </w:p>
        </w:tc>
        <w:tc>
          <w:tcPr>
            <w:tcW w:type="dxa" w:w="1234"/>
          </w:tcPr>
          <w:p>
            <w:pPr>
              <w:spacing w:line="240" w:lineRule="auto"/>
            </w:pPr>
            <w:r>
              <w:rPr>
                <w:rFonts w:ascii="Times New Roman" w:hAnsi="Times New Roman"/>
                <w:sz w:val="20"/>
              </w:rPr>
              <w:t>–</w:t>
            </w:r>
          </w:p>
        </w:tc>
        <w:tc>
          <w:tcPr>
            <w:tcW w:type="dxa" w:w="1234"/>
          </w:tcPr>
          <w:p>
            <w:pPr>
              <w:spacing w:line="240" w:lineRule="auto"/>
            </w:pPr>
            <w:r>
              <w:rPr>
                <w:rFonts w:ascii="Times New Roman" w:hAnsi="Times New Roman"/>
                <w:sz w:val="20"/>
              </w:rPr>
            </w:r>
          </w:p>
        </w:tc>
        <w:tc>
          <w:tcPr>
            <w:tcW w:type="dxa" w:w="1234"/>
          </w:tcPr>
          <w:p>
            <w:pPr>
              <w:spacing w:line="240" w:lineRule="auto"/>
            </w:pPr>
            <w:r>
              <w:rPr>
                <w:rFonts w:ascii="Times New Roman" w:hAnsi="Times New Roman"/>
                <w:sz w:val="20"/>
              </w:rPr>
            </w:r>
          </w:p>
        </w:tc>
        <w:tc>
          <w:tcPr>
            <w:tcW w:type="dxa" w:w="1234"/>
          </w:tcPr>
          <w:p>
            <w:pPr>
              <w:spacing w:line="240" w:lineRule="auto"/>
            </w:pPr>
            <w:r>
              <w:rPr>
                <w:rFonts w:ascii="Times New Roman" w:hAnsi="Times New Roman"/>
                <w:sz w:val="20"/>
              </w:rPr>
            </w:r>
          </w:p>
        </w:tc>
        <w:tc>
          <w:tcPr>
            <w:tcW w:type="dxa" w:w="1234"/>
          </w:tcPr>
          <w:p>
            <w:pPr>
              <w:spacing w:line="240" w:lineRule="auto"/>
            </w:pPr>
            <w:r>
              <w:rPr>
                <w:rFonts w:ascii="Times New Roman" w:hAnsi="Times New Roman"/>
                <w:sz w:val="20"/>
              </w:rPr>
            </w:r>
          </w:p>
        </w:tc>
        <w:tc>
          <w:tcPr>
            <w:tcW w:type="dxa" w:w="1234"/>
          </w:tcPr>
          <w:p>
            <w:pPr>
              <w:spacing w:line="240" w:lineRule="auto"/>
            </w:pPr>
            <w:r>
              <w:rPr>
                <w:rFonts w:ascii="Times New Roman" w:hAnsi="Times New Roman"/>
                <w:sz w:val="20"/>
              </w:rPr>
            </w:r>
          </w:p>
        </w:tc>
      </w:tr>
      <w:tr>
        <w:tc>
          <w:tcPr>
            <w:tcW w:type="dxa" w:w="1234"/>
          </w:tcPr>
          <w:p>
            <w:pPr>
              <w:spacing w:line="240" w:lineRule="auto"/>
            </w:pPr>
            <w:r>
              <w:rPr>
                <w:rFonts w:ascii="Times New Roman" w:hAnsi="Times New Roman"/>
                <w:sz w:val="20"/>
              </w:rPr>
              <w:t>AIC</w:t>
            </w:r>
          </w:p>
        </w:tc>
        <w:tc>
          <w:tcPr>
            <w:tcW w:type="dxa" w:w="1234"/>
          </w:tcPr>
          <w:p>
            <w:pPr>
              <w:spacing w:line="240" w:lineRule="auto"/>
            </w:pPr>
            <w:r>
              <w:rPr>
                <w:rFonts w:ascii="Times New Roman" w:hAnsi="Times New Roman"/>
                <w:sz w:val="20"/>
              </w:rPr>
              <w:t>–</w:t>
            </w:r>
          </w:p>
        </w:tc>
        <w:tc>
          <w:tcPr>
            <w:tcW w:type="dxa" w:w="1234"/>
          </w:tcPr>
          <w:p>
            <w:pPr>
              <w:spacing w:line="240" w:lineRule="auto"/>
            </w:pPr>
            <w:r>
              <w:rPr>
                <w:rFonts w:ascii="Times New Roman" w:hAnsi="Times New Roman"/>
                <w:sz w:val="20"/>
              </w:rPr>
            </w:r>
          </w:p>
        </w:tc>
        <w:tc>
          <w:tcPr>
            <w:tcW w:type="dxa" w:w="1234"/>
          </w:tcPr>
          <w:p>
            <w:pPr>
              <w:spacing w:line="240" w:lineRule="auto"/>
            </w:pPr>
            <w:r>
              <w:rPr>
                <w:rFonts w:ascii="Times New Roman" w:hAnsi="Times New Roman"/>
                <w:sz w:val="20"/>
              </w:rPr>
            </w:r>
          </w:p>
        </w:tc>
        <w:tc>
          <w:tcPr>
            <w:tcW w:type="dxa" w:w="1234"/>
          </w:tcPr>
          <w:p>
            <w:pPr>
              <w:spacing w:line="240" w:lineRule="auto"/>
            </w:pPr>
            <w:r>
              <w:rPr>
                <w:rFonts w:ascii="Times New Roman" w:hAnsi="Times New Roman"/>
                <w:sz w:val="20"/>
              </w:rPr>
            </w:r>
          </w:p>
        </w:tc>
        <w:tc>
          <w:tcPr>
            <w:tcW w:type="dxa" w:w="1234"/>
          </w:tcPr>
          <w:p>
            <w:pPr>
              <w:spacing w:line="240" w:lineRule="auto"/>
            </w:pPr>
            <w:r>
              <w:rPr>
                <w:rFonts w:ascii="Times New Roman" w:hAnsi="Times New Roman"/>
                <w:sz w:val="20"/>
              </w:rPr>
            </w:r>
          </w:p>
        </w:tc>
        <w:tc>
          <w:tcPr>
            <w:tcW w:type="dxa" w:w="1234"/>
          </w:tcPr>
          <w:p>
            <w:pPr>
              <w:spacing w:line="240" w:lineRule="auto"/>
            </w:pPr>
            <w:r>
              <w:rPr>
                <w:rFonts w:ascii="Times New Roman" w:hAnsi="Times New Roman"/>
                <w:sz w:val="20"/>
              </w:rPr>
            </w:r>
          </w:p>
        </w:tc>
      </w:tr>
      <w:tr>
        <w:tc>
          <w:tcPr>
            <w:tcW w:type="dxa" w:w="1234"/>
          </w:tcPr>
          <w:p>
            <w:pPr>
              <w:spacing w:line="240" w:lineRule="auto"/>
            </w:pPr>
            <w:r>
              <w:rPr>
                <w:rFonts w:ascii="Times New Roman" w:hAnsi="Times New Roman"/>
                <w:sz w:val="20"/>
              </w:rPr>
              <w:t>Hosmer-Lemeshow p</w:t>
            </w:r>
          </w:p>
        </w:tc>
        <w:tc>
          <w:tcPr>
            <w:tcW w:type="dxa" w:w="1234"/>
          </w:tcPr>
          <w:p>
            <w:pPr>
              <w:spacing w:line="240" w:lineRule="auto"/>
            </w:pPr>
            <w:r>
              <w:rPr>
                <w:rFonts w:ascii="Times New Roman" w:hAnsi="Times New Roman"/>
                <w:sz w:val="20"/>
              </w:rPr>
              <w:t>–</w:t>
            </w:r>
          </w:p>
        </w:tc>
        <w:tc>
          <w:tcPr>
            <w:tcW w:type="dxa" w:w="1234"/>
          </w:tcPr>
          <w:p>
            <w:pPr>
              <w:spacing w:line="240" w:lineRule="auto"/>
            </w:pPr>
            <w:r>
              <w:rPr>
                <w:rFonts w:ascii="Times New Roman" w:hAnsi="Times New Roman"/>
                <w:sz w:val="20"/>
              </w:rPr>
            </w:r>
          </w:p>
        </w:tc>
        <w:tc>
          <w:tcPr>
            <w:tcW w:type="dxa" w:w="1234"/>
          </w:tcPr>
          <w:p>
            <w:pPr>
              <w:spacing w:line="240" w:lineRule="auto"/>
            </w:pPr>
            <w:r>
              <w:rPr>
                <w:rFonts w:ascii="Times New Roman" w:hAnsi="Times New Roman"/>
                <w:sz w:val="20"/>
              </w:rPr>
            </w:r>
          </w:p>
        </w:tc>
        <w:tc>
          <w:tcPr>
            <w:tcW w:type="dxa" w:w="1234"/>
          </w:tcPr>
          <w:p>
            <w:pPr>
              <w:spacing w:line="240" w:lineRule="auto"/>
            </w:pPr>
            <w:r>
              <w:rPr>
                <w:rFonts w:ascii="Times New Roman" w:hAnsi="Times New Roman"/>
                <w:sz w:val="20"/>
              </w:rPr>
            </w:r>
          </w:p>
        </w:tc>
        <w:tc>
          <w:tcPr>
            <w:tcW w:type="dxa" w:w="1234"/>
          </w:tcPr>
          <w:p>
            <w:pPr>
              <w:spacing w:line="240" w:lineRule="auto"/>
            </w:pPr>
            <w:r>
              <w:rPr>
                <w:rFonts w:ascii="Times New Roman" w:hAnsi="Times New Roman"/>
                <w:sz w:val="20"/>
              </w:rPr>
            </w:r>
          </w:p>
        </w:tc>
        <w:tc>
          <w:tcPr>
            <w:tcW w:type="dxa" w:w="1234"/>
          </w:tcPr>
          <w:p>
            <w:pPr>
              <w:spacing w:line="240" w:lineRule="auto"/>
            </w:pPr>
            <w:r>
              <w:rPr>
                <w:rFonts w:ascii="Times New Roman" w:hAnsi="Times New Roman"/>
                <w:sz w:val="20"/>
              </w:rPr>
            </w:r>
          </w:p>
        </w:tc>
      </w:tr>
    </w:tbl>
    <w:p>
      <w:pPr>
        <w:ind w:firstLine="720"/>
      </w:pPr>
      <w:r>
        <w:rPr>
          <w:i/>
        </w:rPr>
        <w:t>OR = Odds Ratio. AME = Average Marginal Effect.</w:t>
      </w:r>
    </w:p>
    <w:p>
      <w:pPr>
        <w:pStyle w:val="Heading3"/>
      </w:pPr>
      <w:r>
        <w:rPr>
          <w:rFonts w:ascii="Times New Roman" w:hAnsi="Times New Roman"/>
          <w:color w:val="000000"/>
        </w:rPr>
        <w:t>Table B.6: Moderation — Tradeoff x NAICS Sector Interaction (Cost Growth)</w:t>
      </w:r>
    </w:p>
    <w:p>
      <w:pPr>
        <w:ind w:firstLine="720"/>
      </w:pPr>
      <w:r>
        <w:rPr>
          <w:b/>
        </w:rPr>
        <w:t>Dependent Variable:</w:t>
      </w:r>
      <w:r>
        <w:t xml:space="preserve"> </w:t>
      </w:r>
      <w:r>
        <w:rPr>
          <w:rFonts w:ascii="Courier New" w:hAnsi="Courier New"/>
          <w:sz w:val="20"/>
        </w:rPr>
        <w:t>cost_growth_w</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pPr>
              <w:spacing w:line="240" w:lineRule="auto"/>
            </w:pPr>
            <w:r>
              <w:rPr>
                <w:rFonts w:ascii="Times New Roman" w:hAnsi="Times New Roman"/>
                <w:b/>
                <w:sz w:val="20"/>
              </w:rPr>
              <w:t>Variable</w:t>
            </w:r>
          </w:p>
        </w:tc>
        <w:tc>
          <w:tcPr>
            <w:tcW w:type="dxa" w:w="2160"/>
          </w:tcPr>
          <w:p>
            <w:pPr>
              <w:spacing w:line="240" w:lineRule="auto"/>
            </w:pPr>
            <w:r>
              <w:rPr>
                <w:rFonts w:ascii="Times New Roman" w:hAnsi="Times New Roman"/>
                <w:b/>
                <w:sz w:val="20"/>
              </w:rPr>
              <w:t>Coefficient</w:t>
            </w:r>
          </w:p>
        </w:tc>
        <w:tc>
          <w:tcPr>
            <w:tcW w:type="dxa" w:w="2160"/>
          </w:tcPr>
          <w:p>
            <w:pPr>
              <w:spacing w:line="240" w:lineRule="auto"/>
            </w:pPr>
            <w:r>
              <w:rPr>
                <w:rFonts w:ascii="Times New Roman" w:hAnsi="Times New Roman"/>
                <w:b/>
                <w:sz w:val="20"/>
              </w:rPr>
              <w:t>Robust SE</w:t>
            </w:r>
          </w:p>
        </w:tc>
        <w:tc>
          <w:tcPr>
            <w:tcW w:type="dxa" w:w="2160"/>
          </w:tcPr>
          <w:p>
            <w:pPr>
              <w:spacing w:line="240" w:lineRule="auto"/>
            </w:pPr>
            <w:r>
              <w:rPr>
                <w:rFonts w:ascii="Times New Roman" w:hAnsi="Times New Roman"/>
                <w:b/>
                <w:sz w:val="20"/>
              </w:rPr>
              <w:t>p-value</w:t>
            </w:r>
          </w:p>
        </w:tc>
      </w:tr>
      <w:tr>
        <w:tc>
          <w:tcPr>
            <w:tcW w:type="dxa" w:w="2160"/>
          </w:tcPr>
          <w:p>
            <w:pPr>
              <w:spacing w:line="240" w:lineRule="auto"/>
            </w:pPr>
            <w:r>
              <w:rPr>
                <w:rFonts w:ascii="Times New Roman" w:hAnsi="Times New Roman"/>
                <w:sz w:val="20"/>
              </w:rPr>
              <w:t>Tradeoff</w:t>
            </w:r>
          </w:p>
        </w:tc>
        <w:tc>
          <w:tcPr>
            <w:tcW w:type="dxa" w:w="2160"/>
          </w:tcPr>
          <w:p>
            <w:pPr>
              <w:spacing w:line="240" w:lineRule="auto"/>
            </w:pPr>
            <w:r>
              <w:rPr>
                <w:rFonts w:ascii="Times New Roman" w:hAnsi="Times New Roman"/>
                <w:sz w:val="20"/>
              </w:rPr>
              <w:t>–</w:t>
            </w:r>
          </w:p>
        </w:tc>
        <w:tc>
          <w:tcPr>
            <w:tcW w:type="dxa" w:w="2160"/>
          </w:tcPr>
          <w:p>
            <w:pPr>
              <w:spacing w:line="240" w:lineRule="auto"/>
            </w:pPr>
            <w:r>
              <w:rPr>
                <w:rFonts w:ascii="Times New Roman" w:hAnsi="Times New Roman"/>
                <w:sz w:val="20"/>
              </w:rPr>
              <w:t>–</w:t>
            </w:r>
          </w:p>
        </w:tc>
        <w:tc>
          <w:tcPr>
            <w:tcW w:type="dxa" w:w="2160"/>
          </w:tcPr>
          <w:p>
            <w:pPr>
              <w:spacing w:line="240" w:lineRule="auto"/>
            </w:pPr>
            <w:r>
              <w:rPr>
                <w:rFonts w:ascii="Times New Roman" w:hAnsi="Times New Roman"/>
                <w:sz w:val="20"/>
              </w:rPr>
              <w:t>–</w:t>
            </w:r>
          </w:p>
        </w:tc>
      </w:tr>
      <w:tr>
        <w:tc>
          <w:tcPr>
            <w:tcW w:type="dxa" w:w="2160"/>
          </w:tcPr>
          <w:p>
            <w:pPr>
              <w:spacing w:line="240" w:lineRule="auto"/>
            </w:pPr>
            <w:r>
              <w:rPr>
                <w:rFonts w:ascii="Times New Roman" w:hAnsi="Times New Roman"/>
                <w:sz w:val="20"/>
              </w:rPr>
              <w:t>NAICS: IT Services (ref: Admin Support)</w:t>
            </w:r>
          </w:p>
        </w:tc>
        <w:tc>
          <w:tcPr>
            <w:tcW w:type="dxa" w:w="2160"/>
          </w:tcPr>
          <w:p>
            <w:pPr>
              <w:spacing w:line="240" w:lineRule="auto"/>
            </w:pPr>
            <w:r>
              <w:rPr>
                <w:rFonts w:ascii="Times New Roman" w:hAnsi="Times New Roman"/>
                <w:sz w:val="20"/>
              </w:rPr>
              <w:t>–</w:t>
            </w:r>
          </w:p>
        </w:tc>
        <w:tc>
          <w:tcPr>
            <w:tcW w:type="dxa" w:w="2160"/>
          </w:tcPr>
          <w:p>
            <w:pPr>
              <w:spacing w:line="240" w:lineRule="auto"/>
            </w:pPr>
            <w:r>
              <w:rPr>
                <w:rFonts w:ascii="Times New Roman" w:hAnsi="Times New Roman"/>
                <w:sz w:val="20"/>
              </w:rPr>
              <w:t>–</w:t>
            </w:r>
          </w:p>
        </w:tc>
        <w:tc>
          <w:tcPr>
            <w:tcW w:type="dxa" w:w="2160"/>
          </w:tcPr>
          <w:p>
            <w:pPr>
              <w:spacing w:line="240" w:lineRule="auto"/>
            </w:pPr>
            <w:r>
              <w:rPr>
                <w:rFonts w:ascii="Times New Roman" w:hAnsi="Times New Roman"/>
                <w:sz w:val="20"/>
              </w:rPr>
              <w:t>–</w:t>
            </w:r>
          </w:p>
        </w:tc>
      </w:tr>
      <w:tr>
        <w:tc>
          <w:tcPr>
            <w:tcW w:type="dxa" w:w="2160"/>
          </w:tcPr>
          <w:p>
            <w:pPr>
              <w:spacing w:line="240" w:lineRule="auto"/>
            </w:pPr>
            <w:r>
              <w:rPr>
                <w:rFonts w:ascii="Times New Roman" w:hAnsi="Times New Roman"/>
                <w:sz w:val="20"/>
              </w:rPr>
              <w:t>NAICS: Consulting (ref: Admin Support)</w:t>
            </w:r>
          </w:p>
        </w:tc>
        <w:tc>
          <w:tcPr>
            <w:tcW w:type="dxa" w:w="2160"/>
          </w:tcPr>
          <w:p>
            <w:pPr>
              <w:spacing w:line="240" w:lineRule="auto"/>
            </w:pPr>
            <w:r>
              <w:rPr>
                <w:rFonts w:ascii="Times New Roman" w:hAnsi="Times New Roman"/>
                <w:sz w:val="20"/>
              </w:rPr>
              <w:t>–</w:t>
            </w:r>
          </w:p>
        </w:tc>
        <w:tc>
          <w:tcPr>
            <w:tcW w:type="dxa" w:w="2160"/>
          </w:tcPr>
          <w:p>
            <w:pPr>
              <w:spacing w:line="240" w:lineRule="auto"/>
            </w:pPr>
            <w:r>
              <w:rPr>
                <w:rFonts w:ascii="Times New Roman" w:hAnsi="Times New Roman"/>
                <w:sz w:val="20"/>
              </w:rPr>
              <w:t>–</w:t>
            </w:r>
          </w:p>
        </w:tc>
        <w:tc>
          <w:tcPr>
            <w:tcW w:type="dxa" w:w="2160"/>
          </w:tcPr>
          <w:p>
            <w:pPr>
              <w:spacing w:line="240" w:lineRule="auto"/>
            </w:pPr>
            <w:r>
              <w:rPr>
                <w:rFonts w:ascii="Times New Roman" w:hAnsi="Times New Roman"/>
                <w:sz w:val="20"/>
              </w:rPr>
              <w:t>–</w:t>
            </w:r>
          </w:p>
        </w:tc>
      </w:tr>
      <w:tr>
        <w:tc>
          <w:tcPr>
            <w:tcW w:type="dxa" w:w="2160"/>
          </w:tcPr>
          <w:p>
            <w:pPr>
              <w:spacing w:line="240" w:lineRule="auto"/>
            </w:pPr>
            <w:r>
              <w:rPr>
                <w:rFonts w:ascii="Times New Roman" w:hAnsi="Times New Roman"/>
                <w:sz w:val="20"/>
              </w:rPr>
              <w:t>NAICS: Other Professional (ref: Admin Support)</w:t>
            </w:r>
          </w:p>
        </w:tc>
        <w:tc>
          <w:tcPr>
            <w:tcW w:type="dxa" w:w="2160"/>
          </w:tcPr>
          <w:p>
            <w:pPr>
              <w:spacing w:line="240" w:lineRule="auto"/>
            </w:pPr>
            <w:r>
              <w:rPr>
                <w:rFonts w:ascii="Times New Roman" w:hAnsi="Times New Roman"/>
                <w:sz w:val="20"/>
              </w:rPr>
              <w:t>–</w:t>
            </w:r>
          </w:p>
        </w:tc>
        <w:tc>
          <w:tcPr>
            <w:tcW w:type="dxa" w:w="2160"/>
          </w:tcPr>
          <w:p>
            <w:pPr>
              <w:spacing w:line="240" w:lineRule="auto"/>
            </w:pPr>
            <w:r>
              <w:rPr>
                <w:rFonts w:ascii="Times New Roman" w:hAnsi="Times New Roman"/>
                <w:sz w:val="20"/>
              </w:rPr>
              <w:t>–</w:t>
            </w:r>
          </w:p>
        </w:tc>
        <w:tc>
          <w:tcPr>
            <w:tcW w:type="dxa" w:w="2160"/>
          </w:tcPr>
          <w:p>
            <w:pPr>
              <w:spacing w:line="240" w:lineRule="auto"/>
            </w:pPr>
            <w:r>
              <w:rPr>
                <w:rFonts w:ascii="Times New Roman" w:hAnsi="Times New Roman"/>
                <w:sz w:val="20"/>
              </w:rPr>
              <w:t>–</w:t>
            </w:r>
          </w:p>
        </w:tc>
      </w:tr>
      <w:tr>
        <w:tc>
          <w:tcPr>
            <w:tcW w:type="dxa" w:w="2160"/>
          </w:tcPr>
          <w:p>
            <w:pPr>
              <w:spacing w:line="240" w:lineRule="auto"/>
            </w:pPr>
            <w:r>
              <w:rPr>
                <w:rFonts w:ascii="Times New Roman" w:hAnsi="Times New Roman"/>
                <w:sz w:val="20"/>
              </w:rPr>
              <w:t>Tradeoff x IT Services</w:t>
            </w:r>
          </w:p>
        </w:tc>
        <w:tc>
          <w:tcPr>
            <w:tcW w:type="dxa" w:w="2160"/>
          </w:tcPr>
          <w:p>
            <w:pPr>
              <w:spacing w:line="240" w:lineRule="auto"/>
            </w:pPr>
            <w:r>
              <w:rPr>
                <w:rFonts w:ascii="Times New Roman" w:hAnsi="Times New Roman"/>
                <w:sz w:val="20"/>
              </w:rPr>
              <w:t>–</w:t>
            </w:r>
          </w:p>
        </w:tc>
        <w:tc>
          <w:tcPr>
            <w:tcW w:type="dxa" w:w="2160"/>
          </w:tcPr>
          <w:p>
            <w:pPr>
              <w:spacing w:line="240" w:lineRule="auto"/>
            </w:pPr>
            <w:r>
              <w:rPr>
                <w:rFonts w:ascii="Times New Roman" w:hAnsi="Times New Roman"/>
                <w:sz w:val="20"/>
              </w:rPr>
              <w:t>–</w:t>
            </w:r>
          </w:p>
        </w:tc>
        <w:tc>
          <w:tcPr>
            <w:tcW w:type="dxa" w:w="2160"/>
          </w:tcPr>
          <w:p>
            <w:pPr>
              <w:spacing w:line="240" w:lineRule="auto"/>
            </w:pPr>
            <w:r>
              <w:rPr>
                <w:rFonts w:ascii="Times New Roman" w:hAnsi="Times New Roman"/>
                <w:sz w:val="20"/>
              </w:rPr>
              <w:t>–</w:t>
            </w:r>
          </w:p>
        </w:tc>
      </w:tr>
      <w:tr>
        <w:tc>
          <w:tcPr>
            <w:tcW w:type="dxa" w:w="2160"/>
          </w:tcPr>
          <w:p>
            <w:pPr>
              <w:spacing w:line="240" w:lineRule="auto"/>
            </w:pPr>
            <w:r>
              <w:rPr>
                <w:rFonts w:ascii="Times New Roman" w:hAnsi="Times New Roman"/>
                <w:sz w:val="20"/>
              </w:rPr>
              <w:t>Tradeoff x Consulting</w:t>
            </w:r>
          </w:p>
        </w:tc>
        <w:tc>
          <w:tcPr>
            <w:tcW w:type="dxa" w:w="2160"/>
          </w:tcPr>
          <w:p>
            <w:pPr>
              <w:spacing w:line="240" w:lineRule="auto"/>
            </w:pPr>
            <w:r>
              <w:rPr>
                <w:rFonts w:ascii="Times New Roman" w:hAnsi="Times New Roman"/>
                <w:sz w:val="20"/>
              </w:rPr>
              <w:t>–</w:t>
            </w:r>
          </w:p>
        </w:tc>
        <w:tc>
          <w:tcPr>
            <w:tcW w:type="dxa" w:w="2160"/>
          </w:tcPr>
          <w:p>
            <w:pPr>
              <w:spacing w:line="240" w:lineRule="auto"/>
            </w:pPr>
            <w:r>
              <w:rPr>
                <w:rFonts w:ascii="Times New Roman" w:hAnsi="Times New Roman"/>
                <w:sz w:val="20"/>
              </w:rPr>
              <w:t>–</w:t>
            </w:r>
          </w:p>
        </w:tc>
        <w:tc>
          <w:tcPr>
            <w:tcW w:type="dxa" w:w="2160"/>
          </w:tcPr>
          <w:p>
            <w:pPr>
              <w:spacing w:line="240" w:lineRule="auto"/>
            </w:pPr>
            <w:r>
              <w:rPr>
                <w:rFonts w:ascii="Times New Roman" w:hAnsi="Times New Roman"/>
                <w:sz w:val="20"/>
              </w:rPr>
              <w:t>–</w:t>
            </w:r>
          </w:p>
        </w:tc>
      </w:tr>
      <w:tr>
        <w:tc>
          <w:tcPr>
            <w:tcW w:type="dxa" w:w="2160"/>
          </w:tcPr>
          <w:p>
            <w:pPr>
              <w:spacing w:line="240" w:lineRule="auto"/>
            </w:pPr>
            <w:r>
              <w:rPr>
                <w:rFonts w:ascii="Times New Roman" w:hAnsi="Times New Roman"/>
                <w:sz w:val="20"/>
              </w:rPr>
              <w:t>Tradeoff x Other Professional</w:t>
            </w:r>
          </w:p>
        </w:tc>
        <w:tc>
          <w:tcPr>
            <w:tcW w:type="dxa" w:w="2160"/>
          </w:tcPr>
          <w:p>
            <w:pPr>
              <w:spacing w:line="240" w:lineRule="auto"/>
            </w:pPr>
            <w:r>
              <w:rPr>
                <w:rFonts w:ascii="Times New Roman" w:hAnsi="Times New Roman"/>
                <w:sz w:val="20"/>
              </w:rPr>
              <w:t>–</w:t>
            </w:r>
          </w:p>
        </w:tc>
        <w:tc>
          <w:tcPr>
            <w:tcW w:type="dxa" w:w="2160"/>
          </w:tcPr>
          <w:p>
            <w:pPr>
              <w:spacing w:line="240" w:lineRule="auto"/>
            </w:pPr>
            <w:r>
              <w:rPr>
                <w:rFonts w:ascii="Times New Roman" w:hAnsi="Times New Roman"/>
                <w:sz w:val="20"/>
              </w:rPr>
              <w:t>–</w:t>
            </w:r>
          </w:p>
        </w:tc>
        <w:tc>
          <w:tcPr>
            <w:tcW w:type="dxa" w:w="2160"/>
          </w:tcPr>
          <w:p>
            <w:pPr>
              <w:spacing w:line="240" w:lineRule="auto"/>
            </w:pPr>
            <w:r>
              <w:rPr>
                <w:rFonts w:ascii="Times New Roman" w:hAnsi="Times New Roman"/>
                <w:sz w:val="20"/>
              </w:rPr>
              <w:t>–</w:t>
            </w:r>
          </w:p>
        </w:tc>
      </w:tr>
      <w:tr>
        <w:tc>
          <w:tcPr>
            <w:tcW w:type="dxa" w:w="2160"/>
          </w:tcPr>
          <w:p>
            <w:pPr>
              <w:spacing w:line="240" w:lineRule="auto"/>
            </w:pPr>
            <w:r>
              <w:rPr>
                <w:rFonts w:ascii="Times New Roman" w:hAnsi="Times New Roman"/>
                <w:sz w:val="20"/>
              </w:rPr>
              <w:t>Controls</w:t>
            </w:r>
          </w:p>
        </w:tc>
        <w:tc>
          <w:tcPr>
            <w:tcW w:type="dxa" w:w="2160"/>
          </w:tcPr>
          <w:p>
            <w:pPr>
              <w:spacing w:line="240" w:lineRule="auto"/>
            </w:pPr>
            <w:r>
              <w:rPr>
                <w:rFonts w:ascii="Times New Roman" w:hAnsi="Times New Roman"/>
                <w:sz w:val="20"/>
              </w:rPr>
              <w:t>Included</w:t>
            </w:r>
          </w:p>
        </w:tc>
        <w:tc>
          <w:tcPr>
            <w:tcW w:type="dxa" w:w="2160"/>
          </w:tcPr>
          <w:p>
            <w:pPr>
              <w:spacing w:line="240" w:lineRule="auto"/>
            </w:pPr>
            <w:r>
              <w:rPr>
                <w:rFonts w:ascii="Times New Roman" w:hAnsi="Times New Roman"/>
                <w:sz w:val="20"/>
              </w:rPr>
            </w:r>
          </w:p>
        </w:tc>
        <w:tc>
          <w:tcPr>
            <w:tcW w:type="dxa" w:w="2160"/>
          </w:tcPr>
          <w:p>
            <w:pPr>
              <w:spacing w:line="240" w:lineRule="auto"/>
            </w:pPr>
            <w:r>
              <w:rPr>
                <w:rFonts w:ascii="Times New Roman" w:hAnsi="Times New Roman"/>
                <w:sz w:val="20"/>
              </w:rPr>
            </w:r>
          </w:p>
        </w:tc>
      </w:tr>
      <w:tr>
        <w:tc>
          <w:tcPr>
            <w:tcW w:type="dxa" w:w="2160"/>
          </w:tcPr>
          <w:p>
            <w:pPr>
              <w:spacing w:line="240" w:lineRule="auto"/>
            </w:pPr>
            <w:r>
              <w:rPr>
                <w:rFonts w:ascii="Times New Roman" w:hAnsi="Times New Roman"/>
                <w:sz w:val="20"/>
              </w:rPr>
              <w:t>Agency and Year FE</w:t>
            </w:r>
          </w:p>
        </w:tc>
        <w:tc>
          <w:tcPr>
            <w:tcW w:type="dxa" w:w="2160"/>
          </w:tcPr>
          <w:p>
            <w:pPr>
              <w:spacing w:line="240" w:lineRule="auto"/>
            </w:pPr>
            <w:r>
              <w:rPr>
                <w:rFonts w:ascii="Times New Roman" w:hAnsi="Times New Roman"/>
                <w:sz w:val="20"/>
              </w:rPr>
              <w:t>Included</w:t>
            </w:r>
          </w:p>
        </w:tc>
        <w:tc>
          <w:tcPr>
            <w:tcW w:type="dxa" w:w="2160"/>
          </w:tcPr>
          <w:p>
            <w:pPr>
              <w:spacing w:line="240" w:lineRule="auto"/>
            </w:pPr>
            <w:r>
              <w:rPr>
                <w:rFonts w:ascii="Times New Roman" w:hAnsi="Times New Roman"/>
                <w:sz w:val="20"/>
              </w:rPr>
            </w:r>
          </w:p>
        </w:tc>
        <w:tc>
          <w:tcPr>
            <w:tcW w:type="dxa" w:w="2160"/>
          </w:tcPr>
          <w:p>
            <w:pPr>
              <w:spacing w:line="240" w:lineRule="auto"/>
            </w:pPr>
            <w:r>
              <w:rPr>
                <w:rFonts w:ascii="Times New Roman" w:hAnsi="Times New Roman"/>
                <w:sz w:val="20"/>
              </w:rPr>
            </w:r>
          </w:p>
        </w:tc>
      </w:tr>
      <w:tr>
        <w:tc>
          <w:tcPr>
            <w:tcW w:type="dxa" w:w="2160"/>
          </w:tcPr>
          <w:p>
            <w:pPr>
              <w:spacing w:line="240" w:lineRule="auto"/>
            </w:pPr>
            <w:r>
              <w:rPr>
                <w:rFonts w:ascii="Times New Roman" w:hAnsi="Times New Roman"/>
                <w:sz w:val="20"/>
              </w:rPr>
              <w:t>N</w:t>
            </w:r>
          </w:p>
        </w:tc>
        <w:tc>
          <w:tcPr>
            <w:tcW w:type="dxa" w:w="2160"/>
          </w:tcPr>
          <w:p>
            <w:pPr>
              <w:spacing w:line="240" w:lineRule="auto"/>
            </w:pPr>
            <w:r>
              <w:rPr>
                <w:rFonts w:ascii="Times New Roman" w:hAnsi="Times New Roman"/>
                <w:sz w:val="20"/>
              </w:rPr>
              <w:t>–</w:t>
            </w:r>
          </w:p>
        </w:tc>
        <w:tc>
          <w:tcPr>
            <w:tcW w:type="dxa" w:w="2160"/>
          </w:tcPr>
          <w:p>
            <w:pPr>
              <w:spacing w:line="240" w:lineRule="auto"/>
            </w:pPr>
            <w:r>
              <w:rPr>
                <w:rFonts w:ascii="Times New Roman" w:hAnsi="Times New Roman"/>
                <w:sz w:val="20"/>
              </w:rPr>
            </w:r>
          </w:p>
        </w:tc>
        <w:tc>
          <w:tcPr>
            <w:tcW w:type="dxa" w:w="2160"/>
          </w:tcPr>
          <w:p>
            <w:pPr>
              <w:spacing w:line="240" w:lineRule="auto"/>
            </w:pPr>
            <w:r>
              <w:rPr>
                <w:rFonts w:ascii="Times New Roman" w:hAnsi="Times New Roman"/>
                <w:sz w:val="20"/>
              </w:rPr>
            </w:r>
          </w:p>
        </w:tc>
      </w:tr>
      <w:tr>
        <w:tc>
          <w:tcPr>
            <w:tcW w:type="dxa" w:w="2160"/>
          </w:tcPr>
          <w:p>
            <w:pPr>
              <w:spacing w:line="240" w:lineRule="auto"/>
            </w:pPr>
            <w:r>
              <w:rPr>
                <w:rFonts w:ascii="Times New Roman" w:hAnsi="Times New Roman"/>
                <w:sz w:val="20"/>
              </w:rPr>
              <w:t>R-squared</w:t>
            </w:r>
          </w:p>
        </w:tc>
        <w:tc>
          <w:tcPr>
            <w:tcW w:type="dxa" w:w="2160"/>
          </w:tcPr>
          <w:p>
            <w:pPr>
              <w:spacing w:line="240" w:lineRule="auto"/>
            </w:pPr>
            <w:r>
              <w:rPr>
                <w:rFonts w:ascii="Times New Roman" w:hAnsi="Times New Roman"/>
                <w:sz w:val="20"/>
              </w:rPr>
              <w:t>–</w:t>
            </w:r>
          </w:p>
        </w:tc>
        <w:tc>
          <w:tcPr>
            <w:tcW w:type="dxa" w:w="2160"/>
          </w:tcPr>
          <w:p>
            <w:pPr>
              <w:spacing w:line="240" w:lineRule="auto"/>
            </w:pPr>
            <w:r>
              <w:rPr>
                <w:rFonts w:ascii="Times New Roman" w:hAnsi="Times New Roman"/>
                <w:sz w:val="20"/>
              </w:rPr>
            </w:r>
          </w:p>
        </w:tc>
        <w:tc>
          <w:tcPr>
            <w:tcW w:type="dxa" w:w="2160"/>
          </w:tcPr>
          <w:p>
            <w:pPr>
              <w:spacing w:line="240" w:lineRule="auto"/>
            </w:pPr>
            <w:r>
              <w:rPr>
                <w:rFonts w:ascii="Times New Roman" w:hAnsi="Times New Roman"/>
                <w:sz w:val="20"/>
              </w:rPr>
            </w:r>
          </w:p>
        </w:tc>
      </w:tr>
      <w:tr>
        <w:tc>
          <w:tcPr>
            <w:tcW w:type="dxa" w:w="2160"/>
          </w:tcPr>
          <w:p>
            <w:pPr>
              <w:spacing w:line="240" w:lineRule="auto"/>
            </w:pPr>
            <w:r>
              <w:rPr>
                <w:rFonts w:ascii="Times New Roman" w:hAnsi="Times New Roman"/>
                <w:sz w:val="20"/>
              </w:rPr>
              <w:t>Wald test: joint significance of interactions (p)</w:t>
            </w:r>
          </w:p>
        </w:tc>
        <w:tc>
          <w:tcPr>
            <w:tcW w:type="dxa" w:w="2160"/>
          </w:tcPr>
          <w:p>
            <w:pPr>
              <w:spacing w:line="240" w:lineRule="auto"/>
            </w:pPr>
            <w:r>
              <w:rPr>
                <w:rFonts w:ascii="Times New Roman" w:hAnsi="Times New Roman"/>
                <w:sz w:val="20"/>
              </w:rPr>
              <w:t>–</w:t>
            </w:r>
          </w:p>
        </w:tc>
        <w:tc>
          <w:tcPr>
            <w:tcW w:type="dxa" w:w="2160"/>
          </w:tcPr>
          <w:p>
            <w:pPr>
              <w:spacing w:line="240" w:lineRule="auto"/>
            </w:pPr>
            <w:r>
              <w:rPr>
                <w:rFonts w:ascii="Times New Roman" w:hAnsi="Times New Roman"/>
                <w:sz w:val="20"/>
              </w:rPr>
            </w:r>
          </w:p>
        </w:tc>
        <w:tc>
          <w:tcPr>
            <w:tcW w:type="dxa" w:w="2160"/>
          </w:tcPr>
          <w:p>
            <w:pPr>
              <w:spacing w:line="240" w:lineRule="auto"/>
            </w:pPr>
            <w:r>
              <w:rPr>
                <w:rFonts w:ascii="Times New Roman" w:hAnsi="Times New Roman"/>
                <w:sz w:val="20"/>
              </w:rPr>
            </w:r>
          </w:p>
        </w:tc>
      </w:tr>
    </w:tbl>
    <w:p>
      <w:pPr>
        <w:pStyle w:val="Heading3"/>
      </w:pPr>
      <w:r>
        <w:rPr>
          <w:rFonts w:ascii="Times New Roman" w:hAnsi="Times New Roman"/>
          <w:color w:val="000000"/>
        </w:rPr>
        <w:t>Table B.7: Moderation — Tradeoff x Contract Type Interaction (Cost Growth)</w:t>
      </w:r>
    </w:p>
    <w:p>
      <w:pPr>
        <w:ind w:firstLine="720"/>
      </w:pPr>
      <w:r>
        <w:rPr>
          <w:b/>
        </w:rPr>
        <w:t>Dependent Variable:</w:t>
      </w:r>
      <w:r>
        <w:t xml:space="preserve"> </w:t>
      </w:r>
      <w:r>
        <w:rPr>
          <w:rFonts w:ascii="Courier New" w:hAnsi="Courier New"/>
          <w:sz w:val="20"/>
        </w:rPr>
        <w:t>cost_growth_w</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pPr>
              <w:spacing w:line="240" w:lineRule="auto"/>
            </w:pPr>
            <w:r>
              <w:rPr>
                <w:rFonts w:ascii="Times New Roman" w:hAnsi="Times New Roman"/>
                <w:b/>
                <w:sz w:val="20"/>
              </w:rPr>
              <w:t>Variable</w:t>
            </w:r>
          </w:p>
        </w:tc>
        <w:tc>
          <w:tcPr>
            <w:tcW w:type="dxa" w:w="2160"/>
          </w:tcPr>
          <w:p>
            <w:pPr>
              <w:spacing w:line="240" w:lineRule="auto"/>
            </w:pPr>
            <w:r>
              <w:rPr>
                <w:rFonts w:ascii="Times New Roman" w:hAnsi="Times New Roman"/>
                <w:b/>
                <w:sz w:val="20"/>
              </w:rPr>
              <w:t>Coefficient</w:t>
            </w:r>
          </w:p>
        </w:tc>
        <w:tc>
          <w:tcPr>
            <w:tcW w:type="dxa" w:w="2160"/>
          </w:tcPr>
          <w:p>
            <w:pPr>
              <w:spacing w:line="240" w:lineRule="auto"/>
            </w:pPr>
            <w:r>
              <w:rPr>
                <w:rFonts w:ascii="Times New Roman" w:hAnsi="Times New Roman"/>
                <w:b/>
                <w:sz w:val="20"/>
              </w:rPr>
              <w:t>Robust SE</w:t>
            </w:r>
          </w:p>
        </w:tc>
        <w:tc>
          <w:tcPr>
            <w:tcW w:type="dxa" w:w="2160"/>
          </w:tcPr>
          <w:p>
            <w:pPr>
              <w:spacing w:line="240" w:lineRule="auto"/>
            </w:pPr>
            <w:r>
              <w:rPr>
                <w:rFonts w:ascii="Times New Roman" w:hAnsi="Times New Roman"/>
                <w:b/>
                <w:sz w:val="20"/>
              </w:rPr>
              <w:t>p-value</w:t>
            </w:r>
          </w:p>
        </w:tc>
      </w:tr>
      <w:tr>
        <w:tc>
          <w:tcPr>
            <w:tcW w:type="dxa" w:w="2160"/>
          </w:tcPr>
          <w:p>
            <w:pPr>
              <w:spacing w:line="240" w:lineRule="auto"/>
            </w:pPr>
            <w:r>
              <w:rPr>
                <w:rFonts w:ascii="Times New Roman" w:hAnsi="Times New Roman"/>
                <w:sz w:val="20"/>
              </w:rPr>
              <w:t>Tradeoff</w:t>
            </w:r>
          </w:p>
        </w:tc>
        <w:tc>
          <w:tcPr>
            <w:tcW w:type="dxa" w:w="2160"/>
          </w:tcPr>
          <w:p>
            <w:pPr>
              <w:spacing w:line="240" w:lineRule="auto"/>
            </w:pPr>
            <w:r>
              <w:rPr>
                <w:rFonts w:ascii="Times New Roman" w:hAnsi="Times New Roman"/>
                <w:sz w:val="20"/>
              </w:rPr>
              <w:t>–</w:t>
            </w:r>
          </w:p>
        </w:tc>
        <w:tc>
          <w:tcPr>
            <w:tcW w:type="dxa" w:w="2160"/>
          </w:tcPr>
          <w:p>
            <w:pPr>
              <w:spacing w:line="240" w:lineRule="auto"/>
            </w:pPr>
            <w:r>
              <w:rPr>
                <w:rFonts w:ascii="Times New Roman" w:hAnsi="Times New Roman"/>
                <w:sz w:val="20"/>
              </w:rPr>
              <w:t>–</w:t>
            </w:r>
          </w:p>
        </w:tc>
        <w:tc>
          <w:tcPr>
            <w:tcW w:type="dxa" w:w="2160"/>
          </w:tcPr>
          <w:p>
            <w:pPr>
              <w:spacing w:line="240" w:lineRule="auto"/>
            </w:pPr>
            <w:r>
              <w:rPr>
                <w:rFonts w:ascii="Times New Roman" w:hAnsi="Times New Roman"/>
                <w:sz w:val="20"/>
              </w:rPr>
              <w:t>–</w:t>
            </w:r>
          </w:p>
        </w:tc>
      </w:tr>
      <w:tr>
        <w:tc>
          <w:tcPr>
            <w:tcW w:type="dxa" w:w="2160"/>
          </w:tcPr>
          <w:p>
            <w:pPr>
              <w:spacing w:line="240" w:lineRule="auto"/>
            </w:pPr>
            <w:r>
              <w:rPr>
                <w:rFonts w:ascii="Times New Roman" w:hAnsi="Times New Roman"/>
                <w:sz w:val="20"/>
              </w:rPr>
              <w:t>Contract Type: CPFF (ref: FFP)</w:t>
            </w:r>
          </w:p>
        </w:tc>
        <w:tc>
          <w:tcPr>
            <w:tcW w:type="dxa" w:w="2160"/>
          </w:tcPr>
          <w:p>
            <w:pPr>
              <w:spacing w:line="240" w:lineRule="auto"/>
            </w:pPr>
            <w:r>
              <w:rPr>
                <w:rFonts w:ascii="Times New Roman" w:hAnsi="Times New Roman"/>
                <w:sz w:val="20"/>
              </w:rPr>
              <w:t>–</w:t>
            </w:r>
          </w:p>
        </w:tc>
        <w:tc>
          <w:tcPr>
            <w:tcW w:type="dxa" w:w="2160"/>
          </w:tcPr>
          <w:p>
            <w:pPr>
              <w:spacing w:line="240" w:lineRule="auto"/>
            </w:pPr>
            <w:r>
              <w:rPr>
                <w:rFonts w:ascii="Times New Roman" w:hAnsi="Times New Roman"/>
                <w:sz w:val="20"/>
              </w:rPr>
              <w:t>–</w:t>
            </w:r>
          </w:p>
        </w:tc>
        <w:tc>
          <w:tcPr>
            <w:tcW w:type="dxa" w:w="2160"/>
          </w:tcPr>
          <w:p>
            <w:pPr>
              <w:spacing w:line="240" w:lineRule="auto"/>
            </w:pPr>
            <w:r>
              <w:rPr>
                <w:rFonts w:ascii="Times New Roman" w:hAnsi="Times New Roman"/>
                <w:sz w:val="20"/>
              </w:rPr>
              <w:t>–</w:t>
            </w:r>
          </w:p>
        </w:tc>
      </w:tr>
      <w:tr>
        <w:tc>
          <w:tcPr>
            <w:tcW w:type="dxa" w:w="2160"/>
          </w:tcPr>
          <w:p>
            <w:pPr>
              <w:spacing w:line="240" w:lineRule="auto"/>
            </w:pPr>
            <w:r>
              <w:rPr>
                <w:rFonts w:ascii="Times New Roman" w:hAnsi="Times New Roman"/>
                <w:sz w:val="20"/>
              </w:rPr>
              <w:t>Contract Type: T&amp;M (ref: FFP)</w:t>
            </w:r>
          </w:p>
        </w:tc>
        <w:tc>
          <w:tcPr>
            <w:tcW w:type="dxa" w:w="2160"/>
          </w:tcPr>
          <w:p>
            <w:pPr>
              <w:spacing w:line="240" w:lineRule="auto"/>
            </w:pPr>
            <w:r>
              <w:rPr>
                <w:rFonts w:ascii="Times New Roman" w:hAnsi="Times New Roman"/>
                <w:sz w:val="20"/>
              </w:rPr>
              <w:t>–</w:t>
            </w:r>
          </w:p>
        </w:tc>
        <w:tc>
          <w:tcPr>
            <w:tcW w:type="dxa" w:w="2160"/>
          </w:tcPr>
          <w:p>
            <w:pPr>
              <w:spacing w:line="240" w:lineRule="auto"/>
            </w:pPr>
            <w:r>
              <w:rPr>
                <w:rFonts w:ascii="Times New Roman" w:hAnsi="Times New Roman"/>
                <w:sz w:val="20"/>
              </w:rPr>
              <w:t>–</w:t>
            </w:r>
          </w:p>
        </w:tc>
        <w:tc>
          <w:tcPr>
            <w:tcW w:type="dxa" w:w="2160"/>
          </w:tcPr>
          <w:p>
            <w:pPr>
              <w:spacing w:line="240" w:lineRule="auto"/>
            </w:pPr>
            <w:r>
              <w:rPr>
                <w:rFonts w:ascii="Times New Roman" w:hAnsi="Times New Roman"/>
                <w:sz w:val="20"/>
              </w:rPr>
              <w:t>–</w:t>
            </w:r>
          </w:p>
        </w:tc>
      </w:tr>
      <w:tr>
        <w:tc>
          <w:tcPr>
            <w:tcW w:type="dxa" w:w="2160"/>
          </w:tcPr>
          <w:p>
            <w:pPr>
              <w:spacing w:line="240" w:lineRule="auto"/>
            </w:pPr>
            <w:r>
              <w:rPr>
                <w:rFonts w:ascii="Times New Roman" w:hAnsi="Times New Roman"/>
                <w:sz w:val="20"/>
              </w:rPr>
              <w:t>Tradeoff x CPFF</w:t>
            </w:r>
          </w:p>
        </w:tc>
        <w:tc>
          <w:tcPr>
            <w:tcW w:type="dxa" w:w="2160"/>
          </w:tcPr>
          <w:p>
            <w:pPr>
              <w:spacing w:line="240" w:lineRule="auto"/>
            </w:pPr>
            <w:r>
              <w:rPr>
                <w:rFonts w:ascii="Times New Roman" w:hAnsi="Times New Roman"/>
                <w:sz w:val="20"/>
              </w:rPr>
              <w:t>–</w:t>
            </w:r>
          </w:p>
        </w:tc>
        <w:tc>
          <w:tcPr>
            <w:tcW w:type="dxa" w:w="2160"/>
          </w:tcPr>
          <w:p>
            <w:pPr>
              <w:spacing w:line="240" w:lineRule="auto"/>
            </w:pPr>
            <w:r>
              <w:rPr>
                <w:rFonts w:ascii="Times New Roman" w:hAnsi="Times New Roman"/>
                <w:sz w:val="20"/>
              </w:rPr>
              <w:t>–</w:t>
            </w:r>
          </w:p>
        </w:tc>
        <w:tc>
          <w:tcPr>
            <w:tcW w:type="dxa" w:w="2160"/>
          </w:tcPr>
          <w:p>
            <w:pPr>
              <w:spacing w:line="240" w:lineRule="auto"/>
            </w:pPr>
            <w:r>
              <w:rPr>
                <w:rFonts w:ascii="Times New Roman" w:hAnsi="Times New Roman"/>
                <w:sz w:val="20"/>
              </w:rPr>
              <w:t>–</w:t>
            </w:r>
          </w:p>
        </w:tc>
      </w:tr>
      <w:tr>
        <w:tc>
          <w:tcPr>
            <w:tcW w:type="dxa" w:w="2160"/>
          </w:tcPr>
          <w:p>
            <w:pPr>
              <w:spacing w:line="240" w:lineRule="auto"/>
            </w:pPr>
            <w:r>
              <w:rPr>
                <w:rFonts w:ascii="Times New Roman" w:hAnsi="Times New Roman"/>
                <w:sz w:val="20"/>
              </w:rPr>
              <w:t>Tradeoff x T&amp;M</w:t>
            </w:r>
          </w:p>
        </w:tc>
        <w:tc>
          <w:tcPr>
            <w:tcW w:type="dxa" w:w="2160"/>
          </w:tcPr>
          <w:p>
            <w:pPr>
              <w:spacing w:line="240" w:lineRule="auto"/>
            </w:pPr>
            <w:r>
              <w:rPr>
                <w:rFonts w:ascii="Times New Roman" w:hAnsi="Times New Roman"/>
                <w:sz w:val="20"/>
              </w:rPr>
              <w:t>–</w:t>
            </w:r>
          </w:p>
        </w:tc>
        <w:tc>
          <w:tcPr>
            <w:tcW w:type="dxa" w:w="2160"/>
          </w:tcPr>
          <w:p>
            <w:pPr>
              <w:spacing w:line="240" w:lineRule="auto"/>
            </w:pPr>
            <w:r>
              <w:rPr>
                <w:rFonts w:ascii="Times New Roman" w:hAnsi="Times New Roman"/>
                <w:sz w:val="20"/>
              </w:rPr>
              <w:t>–</w:t>
            </w:r>
          </w:p>
        </w:tc>
        <w:tc>
          <w:tcPr>
            <w:tcW w:type="dxa" w:w="2160"/>
          </w:tcPr>
          <w:p>
            <w:pPr>
              <w:spacing w:line="240" w:lineRule="auto"/>
            </w:pPr>
            <w:r>
              <w:rPr>
                <w:rFonts w:ascii="Times New Roman" w:hAnsi="Times New Roman"/>
                <w:sz w:val="20"/>
              </w:rPr>
              <w:t>–</w:t>
            </w:r>
          </w:p>
        </w:tc>
      </w:tr>
      <w:tr>
        <w:tc>
          <w:tcPr>
            <w:tcW w:type="dxa" w:w="2160"/>
          </w:tcPr>
          <w:p>
            <w:pPr>
              <w:spacing w:line="240" w:lineRule="auto"/>
            </w:pPr>
            <w:r>
              <w:rPr>
                <w:rFonts w:ascii="Times New Roman" w:hAnsi="Times New Roman"/>
                <w:sz w:val="20"/>
              </w:rPr>
              <w:t>Controls</w:t>
            </w:r>
          </w:p>
        </w:tc>
        <w:tc>
          <w:tcPr>
            <w:tcW w:type="dxa" w:w="2160"/>
          </w:tcPr>
          <w:p>
            <w:pPr>
              <w:spacing w:line="240" w:lineRule="auto"/>
            </w:pPr>
            <w:r>
              <w:rPr>
                <w:rFonts w:ascii="Times New Roman" w:hAnsi="Times New Roman"/>
                <w:sz w:val="20"/>
              </w:rPr>
              <w:t>Included</w:t>
            </w:r>
          </w:p>
        </w:tc>
        <w:tc>
          <w:tcPr>
            <w:tcW w:type="dxa" w:w="2160"/>
          </w:tcPr>
          <w:p>
            <w:pPr>
              <w:spacing w:line="240" w:lineRule="auto"/>
            </w:pPr>
            <w:r>
              <w:rPr>
                <w:rFonts w:ascii="Times New Roman" w:hAnsi="Times New Roman"/>
                <w:sz w:val="20"/>
              </w:rPr>
            </w:r>
          </w:p>
        </w:tc>
        <w:tc>
          <w:tcPr>
            <w:tcW w:type="dxa" w:w="2160"/>
          </w:tcPr>
          <w:p>
            <w:pPr>
              <w:spacing w:line="240" w:lineRule="auto"/>
            </w:pPr>
            <w:r>
              <w:rPr>
                <w:rFonts w:ascii="Times New Roman" w:hAnsi="Times New Roman"/>
                <w:sz w:val="20"/>
              </w:rPr>
            </w:r>
          </w:p>
        </w:tc>
      </w:tr>
      <w:tr>
        <w:tc>
          <w:tcPr>
            <w:tcW w:type="dxa" w:w="2160"/>
          </w:tcPr>
          <w:p>
            <w:pPr>
              <w:spacing w:line="240" w:lineRule="auto"/>
            </w:pPr>
            <w:r>
              <w:rPr>
                <w:rFonts w:ascii="Times New Roman" w:hAnsi="Times New Roman"/>
                <w:sz w:val="20"/>
              </w:rPr>
              <w:t>Agency and Year FE</w:t>
            </w:r>
          </w:p>
        </w:tc>
        <w:tc>
          <w:tcPr>
            <w:tcW w:type="dxa" w:w="2160"/>
          </w:tcPr>
          <w:p>
            <w:pPr>
              <w:spacing w:line="240" w:lineRule="auto"/>
            </w:pPr>
            <w:r>
              <w:rPr>
                <w:rFonts w:ascii="Times New Roman" w:hAnsi="Times New Roman"/>
                <w:sz w:val="20"/>
              </w:rPr>
              <w:t>Included</w:t>
            </w:r>
          </w:p>
        </w:tc>
        <w:tc>
          <w:tcPr>
            <w:tcW w:type="dxa" w:w="2160"/>
          </w:tcPr>
          <w:p>
            <w:pPr>
              <w:spacing w:line="240" w:lineRule="auto"/>
            </w:pPr>
            <w:r>
              <w:rPr>
                <w:rFonts w:ascii="Times New Roman" w:hAnsi="Times New Roman"/>
                <w:sz w:val="20"/>
              </w:rPr>
            </w:r>
          </w:p>
        </w:tc>
        <w:tc>
          <w:tcPr>
            <w:tcW w:type="dxa" w:w="2160"/>
          </w:tcPr>
          <w:p>
            <w:pPr>
              <w:spacing w:line="240" w:lineRule="auto"/>
            </w:pPr>
            <w:r>
              <w:rPr>
                <w:rFonts w:ascii="Times New Roman" w:hAnsi="Times New Roman"/>
                <w:sz w:val="20"/>
              </w:rPr>
            </w:r>
          </w:p>
        </w:tc>
      </w:tr>
      <w:tr>
        <w:tc>
          <w:tcPr>
            <w:tcW w:type="dxa" w:w="2160"/>
          </w:tcPr>
          <w:p>
            <w:pPr>
              <w:spacing w:line="240" w:lineRule="auto"/>
            </w:pPr>
            <w:r>
              <w:rPr>
                <w:rFonts w:ascii="Times New Roman" w:hAnsi="Times New Roman"/>
                <w:sz w:val="20"/>
              </w:rPr>
              <w:t>N</w:t>
            </w:r>
          </w:p>
        </w:tc>
        <w:tc>
          <w:tcPr>
            <w:tcW w:type="dxa" w:w="2160"/>
          </w:tcPr>
          <w:p>
            <w:pPr>
              <w:spacing w:line="240" w:lineRule="auto"/>
            </w:pPr>
            <w:r>
              <w:rPr>
                <w:rFonts w:ascii="Times New Roman" w:hAnsi="Times New Roman"/>
                <w:sz w:val="20"/>
              </w:rPr>
              <w:t>–</w:t>
            </w:r>
          </w:p>
        </w:tc>
        <w:tc>
          <w:tcPr>
            <w:tcW w:type="dxa" w:w="2160"/>
          </w:tcPr>
          <w:p>
            <w:pPr>
              <w:spacing w:line="240" w:lineRule="auto"/>
            </w:pPr>
            <w:r>
              <w:rPr>
                <w:rFonts w:ascii="Times New Roman" w:hAnsi="Times New Roman"/>
                <w:sz w:val="20"/>
              </w:rPr>
            </w:r>
          </w:p>
        </w:tc>
        <w:tc>
          <w:tcPr>
            <w:tcW w:type="dxa" w:w="2160"/>
          </w:tcPr>
          <w:p>
            <w:pPr>
              <w:spacing w:line="240" w:lineRule="auto"/>
            </w:pPr>
            <w:r>
              <w:rPr>
                <w:rFonts w:ascii="Times New Roman" w:hAnsi="Times New Roman"/>
                <w:sz w:val="20"/>
              </w:rPr>
            </w:r>
          </w:p>
        </w:tc>
      </w:tr>
      <w:tr>
        <w:tc>
          <w:tcPr>
            <w:tcW w:type="dxa" w:w="2160"/>
          </w:tcPr>
          <w:p>
            <w:pPr>
              <w:spacing w:line="240" w:lineRule="auto"/>
            </w:pPr>
            <w:r>
              <w:rPr>
                <w:rFonts w:ascii="Times New Roman" w:hAnsi="Times New Roman"/>
                <w:sz w:val="20"/>
              </w:rPr>
              <w:t>R-squared</w:t>
            </w:r>
          </w:p>
        </w:tc>
        <w:tc>
          <w:tcPr>
            <w:tcW w:type="dxa" w:w="2160"/>
          </w:tcPr>
          <w:p>
            <w:pPr>
              <w:spacing w:line="240" w:lineRule="auto"/>
            </w:pPr>
            <w:r>
              <w:rPr>
                <w:rFonts w:ascii="Times New Roman" w:hAnsi="Times New Roman"/>
                <w:sz w:val="20"/>
              </w:rPr>
              <w:t>–</w:t>
            </w:r>
          </w:p>
        </w:tc>
        <w:tc>
          <w:tcPr>
            <w:tcW w:type="dxa" w:w="2160"/>
          </w:tcPr>
          <w:p>
            <w:pPr>
              <w:spacing w:line="240" w:lineRule="auto"/>
            </w:pPr>
            <w:r>
              <w:rPr>
                <w:rFonts w:ascii="Times New Roman" w:hAnsi="Times New Roman"/>
                <w:sz w:val="20"/>
              </w:rPr>
            </w:r>
          </w:p>
        </w:tc>
        <w:tc>
          <w:tcPr>
            <w:tcW w:type="dxa" w:w="2160"/>
          </w:tcPr>
          <w:p>
            <w:pPr>
              <w:spacing w:line="240" w:lineRule="auto"/>
            </w:pPr>
            <w:r>
              <w:rPr>
                <w:rFonts w:ascii="Times New Roman" w:hAnsi="Times New Roman"/>
                <w:sz w:val="20"/>
              </w:rPr>
            </w:r>
          </w:p>
        </w:tc>
      </w:tr>
      <w:tr>
        <w:tc>
          <w:tcPr>
            <w:tcW w:type="dxa" w:w="2160"/>
          </w:tcPr>
          <w:p>
            <w:pPr>
              <w:spacing w:line="240" w:lineRule="auto"/>
            </w:pPr>
            <w:r>
              <w:rPr>
                <w:rFonts w:ascii="Times New Roman" w:hAnsi="Times New Roman"/>
                <w:sz w:val="20"/>
              </w:rPr>
              <w:t>Wald test: joint significance of interactions (p)</w:t>
            </w:r>
          </w:p>
        </w:tc>
        <w:tc>
          <w:tcPr>
            <w:tcW w:type="dxa" w:w="2160"/>
          </w:tcPr>
          <w:p>
            <w:pPr>
              <w:spacing w:line="240" w:lineRule="auto"/>
            </w:pPr>
            <w:r>
              <w:rPr>
                <w:rFonts w:ascii="Times New Roman" w:hAnsi="Times New Roman"/>
                <w:sz w:val="20"/>
              </w:rPr>
              <w:t>–</w:t>
            </w:r>
          </w:p>
        </w:tc>
        <w:tc>
          <w:tcPr>
            <w:tcW w:type="dxa" w:w="2160"/>
          </w:tcPr>
          <w:p>
            <w:pPr>
              <w:spacing w:line="240" w:lineRule="auto"/>
            </w:pPr>
            <w:r>
              <w:rPr>
                <w:rFonts w:ascii="Times New Roman" w:hAnsi="Times New Roman"/>
                <w:sz w:val="20"/>
              </w:rPr>
            </w:r>
          </w:p>
        </w:tc>
        <w:tc>
          <w:tcPr>
            <w:tcW w:type="dxa" w:w="2160"/>
          </w:tcPr>
          <w:p>
            <w:pPr>
              <w:spacing w:line="240" w:lineRule="auto"/>
            </w:pPr>
            <w:r>
              <w:rPr>
                <w:rFonts w:ascii="Times New Roman" w:hAnsi="Times New Roman"/>
                <w:sz w:val="20"/>
              </w:rPr>
            </w:r>
          </w:p>
        </w:tc>
      </w:tr>
    </w:tbl>
    <w:p>
      <w:pPr>
        <w:pStyle w:val="Heading3"/>
      </w:pPr>
      <w:r>
        <w:rPr>
          <w:rFonts w:ascii="Times New Roman" w:hAnsi="Times New Roman"/>
          <w:color w:val="000000"/>
        </w:rPr>
        <w:t>Table B.8: Difference-in-Differences Estimates</w:t>
      </w:r>
    </w:p>
    <w:p>
      <w:pPr>
        <w:ind w:firstLine="720"/>
      </w:pPr>
      <w:r>
        <w:rPr>
          <w:b/>
        </w:rPr>
        <w:t>Dependent Variable:</w:t>
      </w:r>
      <w:r>
        <w:t xml:space="preserve"> </w:t>
      </w:r>
      <w:r>
        <w:rPr>
          <w:rFonts w:ascii="Courier New" w:hAnsi="Courier New"/>
          <w:sz w:val="20"/>
        </w:rPr>
        <w:t>cost_growth_w</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pPr>
              <w:spacing w:line="240" w:lineRule="auto"/>
            </w:pPr>
            <w:r>
              <w:rPr>
                <w:rFonts w:ascii="Times New Roman" w:hAnsi="Times New Roman"/>
                <w:b/>
                <w:sz w:val="20"/>
              </w:rPr>
              <w:t>Variable</w:t>
            </w:r>
          </w:p>
        </w:tc>
        <w:tc>
          <w:tcPr>
            <w:tcW w:type="dxa" w:w="2160"/>
          </w:tcPr>
          <w:p>
            <w:pPr>
              <w:spacing w:line="240" w:lineRule="auto"/>
            </w:pPr>
            <w:r>
              <w:rPr>
                <w:rFonts w:ascii="Times New Roman" w:hAnsi="Times New Roman"/>
                <w:b/>
                <w:sz w:val="20"/>
              </w:rPr>
              <w:t>Coefficient</w:t>
            </w:r>
          </w:p>
        </w:tc>
        <w:tc>
          <w:tcPr>
            <w:tcW w:type="dxa" w:w="2160"/>
          </w:tcPr>
          <w:p>
            <w:pPr>
              <w:spacing w:line="240" w:lineRule="auto"/>
            </w:pPr>
            <w:r>
              <w:rPr>
                <w:rFonts w:ascii="Times New Roman" w:hAnsi="Times New Roman"/>
                <w:b/>
                <w:sz w:val="20"/>
              </w:rPr>
              <w:t>Robust SE</w:t>
            </w:r>
          </w:p>
        </w:tc>
        <w:tc>
          <w:tcPr>
            <w:tcW w:type="dxa" w:w="2160"/>
          </w:tcPr>
          <w:p>
            <w:pPr>
              <w:spacing w:line="240" w:lineRule="auto"/>
            </w:pPr>
            <w:r>
              <w:rPr>
                <w:rFonts w:ascii="Times New Roman" w:hAnsi="Times New Roman"/>
                <w:b/>
                <w:sz w:val="20"/>
              </w:rPr>
              <w:t>p-value</w:t>
            </w:r>
          </w:p>
        </w:tc>
      </w:tr>
      <w:tr>
        <w:tc>
          <w:tcPr>
            <w:tcW w:type="dxa" w:w="2160"/>
          </w:tcPr>
          <w:p>
            <w:pPr>
              <w:spacing w:line="240" w:lineRule="auto"/>
            </w:pPr>
            <w:r>
              <w:rPr>
                <w:rFonts w:ascii="Times New Roman" w:hAnsi="Times New Roman"/>
                <w:sz w:val="20"/>
              </w:rPr>
              <w:t>Post x Treat (DiD estimand)</w:t>
            </w:r>
          </w:p>
        </w:tc>
        <w:tc>
          <w:tcPr>
            <w:tcW w:type="dxa" w:w="2160"/>
          </w:tcPr>
          <w:p>
            <w:pPr>
              <w:spacing w:line="240" w:lineRule="auto"/>
            </w:pPr>
            <w:r>
              <w:rPr>
                <w:rFonts w:ascii="Times New Roman" w:hAnsi="Times New Roman"/>
                <w:sz w:val="20"/>
              </w:rPr>
              <w:t>–</w:t>
            </w:r>
          </w:p>
        </w:tc>
        <w:tc>
          <w:tcPr>
            <w:tcW w:type="dxa" w:w="2160"/>
          </w:tcPr>
          <w:p>
            <w:pPr>
              <w:spacing w:line="240" w:lineRule="auto"/>
            </w:pPr>
            <w:r>
              <w:rPr>
                <w:rFonts w:ascii="Times New Roman" w:hAnsi="Times New Roman"/>
                <w:sz w:val="20"/>
              </w:rPr>
              <w:t>–</w:t>
            </w:r>
          </w:p>
        </w:tc>
        <w:tc>
          <w:tcPr>
            <w:tcW w:type="dxa" w:w="2160"/>
          </w:tcPr>
          <w:p>
            <w:pPr>
              <w:spacing w:line="240" w:lineRule="auto"/>
            </w:pPr>
            <w:r>
              <w:rPr>
                <w:rFonts w:ascii="Times New Roman" w:hAnsi="Times New Roman"/>
                <w:sz w:val="20"/>
              </w:rPr>
              <w:t>–</w:t>
            </w:r>
          </w:p>
        </w:tc>
      </w:tr>
      <w:tr>
        <w:tc>
          <w:tcPr>
            <w:tcW w:type="dxa" w:w="2160"/>
          </w:tcPr>
          <w:p>
            <w:pPr>
              <w:spacing w:line="240" w:lineRule="auto"/>
            </w:pPr>
            <w:r>
              <w:rPr>
                <w:rFonts w:ascii="Times New Roman" w:hAnsi="Times New Roman"/>
                <w:sz w:val="20"/>
              </w:rPr>
              <w:t>Post</w:t>
            </w:r>
          </w:p>
        </w:tc>
        <w:tc>
          <w:tcPr>
            <w:tcW w:type="dxa" w:w="2160"/>
          </w:tcPr>
          <w:p>
            <w:pPr>
              <w:spacing w:line="240" w:lineRule="auto"/>
            </w:pPr>
            <w:r>
              <w:rPr>
                <w:rFonts w:ascii="Times New Roman" w:hAnsi="Times New Roman"/>
                <w:sz w:val="20"/>
              </w:rPr>
              <w:t>–</w:t>
            </w:r>
          </w:p>
        </w:tc>
        <w:tc>
          <w:tcPr>
            <w:tcW w:type="dxa" w:w="2160"/>
          </w:tcPr>
          <w:p>
            <w:pPr>
              <w:spacing w:line="240" w:lineRule="auto"/>
            </w:pPr>
            <w:r>
              <w:rPr>
                <w:rFonts w:ascii="Times New Roman" w:hAnsi="Times New Roman"/>
                <w:sz w:val="20"/>
              </w:rPr>
              <w:t>–</w:t>
            </w:r>
          </w:p>
        </w:tc>
        <w:tc>
          <w:tcPr>
            <w:tcW w:type="dxa" w:w="2160"/>
          </w:tcPr>
          <w:p>
            <w:pPr>
              <w:spacing w:line="240" w:lineRule="auto"/>
            </w:pPr>
            <w:r>
              <w:rPr>
                <w:rFonts w:ascii="Times New Roman" w:hAnsi="Times New Roman"/>
                <w:sz w:val="20"/>
              </w:rPr>
              <w:t>–</w:t>
            </w:r>
          </w:p>
        </w:tc>
      </w:tr>
      <w:tr>
        <w:tc>
          <w:tcPr>
            <w:tcW w:type="dxa" w:w="2160"/>
          </w:tcPr>
          <w:p>
            <w:pPr>
              <w:spacing w:line="240" w:lineRule="auto"/>
            </w:pPr>
            <w:r>
              <w:rPr>
                <w:rFonts w:ascii="Times New Roman" w:hAnsi="Times New Roman"/>
                <w:sz w:val="20"/>
              </w:rPr>
              <w:t>Treat</w:t>
            </w:r>
          </w:p>
        </w:tc>
        <w:tc>
          <w:tcPr>
            <w:tcW w:type="dxa" w:w="2160"/>
          </w:tcPr>
          <w:p>
            <w:pPr>
              <w:spacing w:line="240" w:lineRule="auto"/>
            </w:pPr>
            <w:r>
              <w:rPr>
                <w:rFonts w:ascii="Times New Roman" w:hAnsi="Times New Roman"/>
                <w:sz w:val="20"/>
              </w:rPr>
              <w:t>–</w:t>
            </w:r>
          </w:p>
        </w:tc>
        <w:tc>
          <w:tcPr>
            <w:tcW w:type="dxa" w:w="2160"/>
          </w:tcPr>
          <w:p>
            <w:pPr>
              <w:spacing w:line="240" w:lineRule="auto"/>
            </w:pPr>
            <w:r>
              <w:rPr>
                <w:rFonts w:ascii="Times New Roman" w:hAnsi="Times New Roman"/>
                <w:sz w:val="20"/>
              </w:rPr>
              <w:t>–</w:t>
            </w:r>
          </w:p>
        </w:tc>
        <w:tc>
          <w:tcPr>
            <w:tcW w:type="dxa" w:w="2160"/>
          </w:tcPr>
          <w:p>
            <w:pPr>
              <w:spacing w:line="240" w:lineRule="auto"/>
            </w:pPr>
            <w:r>
              <w:rPr>
                <w:rFonts w:ascii="Times New Roman" w:hAnsi="Times New Roman"/>
                <w:sz w:val="20"/>
              </w:rPr>
              <w:t>–</w:t>
            </w:r>
          </w:p>
        </w:tc>
      </w:tr>
      <w:tr>
        <w:tc>
          <w:tcPr>
            <w:tcW w:type="dxa" w:w="2160"/>
          </w:tcPr>
          <w:p>
            <w:pPr>
              <w:spacing w:line="240" w:lineRule="auto"/>
            </w:pPr>
            <w:r>
              <w:rPr>
                <w:rFonts w:ascii="Times New Roman" w:hAnsi="Times New Roman"/>
                <w:sz w:val="20"/>
              </w:rPr>
              <w:t>Controls</w:t>
            </w:r>
          </w:p>
        </w:tc>
        <w:tc>
          <w:tcPr>
            <w:tcW w:type="dxa" w:w="2160"/>
          </w:tcPr>
          <w:p>
            <w:pPr>
              <w:spacing w:line="240" w:lineRule="auto"/>
            </w:pPr>
            <w:r>
              <w:rPr>
                <w:rFonts w:ascii="Times New Roman" w:hAnsi="Times New Roman"/>
                <w:sz w:val="20"/>
              </w:rPr>
              <w:t>Included</w:t>
            </w:r>
          </w:p>
        </w:tc>
        <w:tc>
          <w:tcPr>
            <w:tcW w:type="dxa" w:w="2160"/>
          </w:tcPr>
          <w:p>
            <w:pPr>
              <w:spacing w:line="240" w:lineRule="auto"/>
            </w:pPr>
            <w:r>
              <w:rPr>
                <w:rFonts w:ascii="Times New Roman" w:hAnsi="Times New Roman"/>
                <w:sz w:val="20"/>
              </w:rPr>
            </w:r>
          </w:p>
        </w:tc>
        <w:tc>
          <w:tcPr>
            <w:tcW w:type="dxa" w:w="2160"/>
          </w:tcPr>
          <w:p>
            <w:pPr>
              <w:spacing w:line="240" w:lineRule="auto"/>
            </w:pPr>
            <w:r>
              <w:rPr>
                <w:rFonts w:ascii="Times New Roman" w:hAnsi="Times New Roman"/>
                <w:sz w:val="20"/>
              </w:rPr>
            </w:r>
          </w:p>
        </w:tc>
      </w:tr>
      <w:tr>
        <w:tc>
          <w:tcPr>
            <w:tcW w:type="dxa" w:w="2160"/>
          </w:tcPr>
          <w:p>
            <w:pPr>
              <w:spacing w:line="240" w:lineRule="auto"/>
            </w:pPr>
            <w:r>
              <w:rPr>
                <w:rFonts w:ascii="Times New Roman" w:hAnsi="Times New Roman"/>
                <w:sz w:val="20"/>
              </w:rPr>
              <w:t>Agency-Category FE</w:t>
            </w:r>
          </w:p>
        </w:tc>
        <w:tc>
          <w:tcPr>
            <w:tcW w:type="dxa" w:w="2160"/>
          </w:tcPr>
          <w:p>
            <w:pPr>
              <w:spacing w:line="240" w:lineRule="auto"/>
            </w:pPr>
            <w:r>
              <w:rPr>
                <w:rFonts w:ascii="Times New Roman" w:hAnsi="Times New Roman"/>
                <w:sz w:val="20"/>
              </w:rPr>
              <w:t>Included</w:t>
            </w:r>
          </w:p>
        </w:tc>
        <w:tc>
          <w:tcPr>
            <w:tcW w:type="dxa" w:w="2160"/>
          </w:tcPr>
          <w:p>
            <w:pPr>
              <w:spacing w:line="240" w:lineRule="auto"/>
            </w:pPr>
            <w:r>
              <w:rPr>
                <w:rFonts w:ascii="Times New Roman" w:hAnsi="Times New Roman"/>
                <w:sz w:val="20"/>
              </w:rPr>
            </w:r>
          </w:p>
        </w:tc>
        <w:tc>
          <w:tcPr>
            <w:tcW w:type="dxa" w:w="2160"/>
          </w:tcPr>
          <w:p>
            <w:pPr>
              <w:spacing w:line="240" w:lineRule="auto"/>
            </w:pPr>
            <w:r>
              <w:rPr>
                <w:rFonts w:ascii="Times New Roman" w:hAnsi="Times New Roman"/>
                <w:sz w:val="20"/>
              </w:rPr>
            </w:r>
          </w:p>
        </w:tc>
      </w:tr>
      <w:tr>
        <w:tc>
          <w:tcPr>
            <w:tcW w:type="dxa" w:w="2160"/>
          </w:tcPr>
          <w:p>
            <w:pPr>
              <w:spacing w:line="240" w:lineRule="auto"/>
            </w:pPr>
            <w:r>
              <w:rPr>
                <w:rFonts w:ascii="Times New Roman" w:hAnsi="Times New Roman"/>
                <w:sz w:val="20"/>
              </w:rPr>
              <w:t>Fiscal Year FE</w:t>
            </w:r>
          </w:p>
        </w:tc>
        <w:tc>
          <w:tcPr>
            <w:tcW w:type="dxa" w:w="2160"/>
          </w:tcPr>
          <w:p>
            <w:pPr>
              <w:spacing w:line="240" w:lineRule="auto"/>
            </w:pPr>
            <w:r>
              <w:rPr>
                <w:rFonts w:ascii="Times New Roman" w:hAnsi="Times New Roman"/>
                <w:sz w:val="20"/>
              </w:rPr>
              <w:t>Included</w:t>
            </w:r>
          </w:p>
        </w:tc>
        <w:tc>
          <w:tcPr>
            <w:tcW w:type="dxa" w:w="2160"/>
          </w:tcPr>
          <w:p>
            <w:pPr>
              <w:spacing w:line="240" w:lineRule="auto"/>
            </w:pPr>
            <w:r>
              <w:rPr>
                <w:rFonts w:ascii="Times New Roman" w:hAnsi="Times New Roman"/>
                <w:sz w:val="20"/>
              </w:rPr>
            </w:r>
          </w:p>
        </w:tc>
        <w:tc>
          <w:tcPr>
            <w:tcW w:type="dxa" w:w="2160"/>
          </w:tcPr>
          <w:p>
            <w:pPr>
              <w:spacing w:line="240" w:lineRule="auto"/>
            </w:pPr>
            <w:r>
              <w:rPr>
                <w:rFonts w:ascii="Times New Roman" w:hAnsi="Times New Roman"/>
                <w:sz w:val="20"/>
              </w:rPr>
            </w:r>
          </w:p>
        </w:tc>
      </w:tr>
      <w:tr>
        <w:tc>
          <w:tcPr>
            <w:tcW w:type="dxa" w:w="2160"/>
          </w:tcPr>
          <w:p>
            <w:pPr>
              <w:spacing w:line="240" w:lineRule="auto"/>
            </w:pPr>
            <w:r>
              <w:rPr>
                <w:rFonts w:ascii="Times New Roman" w:hAnsi="Times New Roman"/>
                <w:sz w:val="20"/>
              </w:rPr>
              <w:t>N</w:t>
            </w:r>
          </w:p>
        </w:tc>
        <w:tc>
          <w:tcPr>
            <w:tcW w:type="dxa" w:w="2160"/>
          </w:tcPr>
          <w:p>
            <w:pPr>
              <w:spacing w:line="240" w:lineRule="auto"/>
            </w:pPr>
            <w:r>
              <w:rPr>
                <w:rFonts w:ascii="Times New Roman" w:hAnsi="Times New Roman"/>
                <w:sz w:val="20"/>
              </w:rPr>
              <w:t>–</w:t>
            </w:r>
          </w:p>
        </w:tc>
        <w:tc>
          <w:tcPr>
            <w:tcW w:type="dxa" w:w="2160"/>
          </w:tcPr>
          <w:p>
            <w:pPr>
              <w:spacing w:line="240" w:lineRule="auto"/>
            </w:pPr>
            <w:r>
              <w:rPr>
                <w:rFonts w:ascii="Times New Roman" w:hAnsi="Times New Roman"/>
                <w:sz w:val="20"/>
              </w:rPr>
            </w:r>
          </w:p>
        </w:tc>
        <w:tc>
          <w:tcPr>
            <w:tcW w:type="dxa" w:w="2160"/>
          </w:tcPr>
          <w:p>
            <w:pPr>
              <w:spacing w:line="240" w:lineRule="auto"/>
            </w:pPr>
            <w:r>
              <w:rPr>
                <w:rFonts w:ascii="Times New Roman" w:hAnsi="Times New Roman"/>
                <w:sz w:val="20"/>
              </w:rPr>
            </w:r>
          </w:p>
        </w:tc>
      </w:tr>
      <w:tr>
        <w:tc>
          <w:tcPr>
            <w:tcW w:type="dxa" w:w="2160"/>
          </w:tcPr>
          <w:p>
            <w:pPr>
              <w:spacing w:line="240" w:lineRule="auto"/>
            </w:pPr>
            <w:r>
              <w:rPr>
                <w:rFonts w:ascii="Times New Roman" w:hAnsi="Times New Roman"/>
                <w:sz w:val="20"/>
              </w:rPr>
              <w:t>R-squared</w:t>
            </w:r>
          </w:p>
        </w:tc>
        <w:tc>
          <w:tcPr>
            <w:tcW w:type="dxa" w:w="2160"/>
          </w:tcPr>
          <w:p>
            <w:pPr>
              <w:spacing w:line="240" w:lineRule="auto"/>
            </w:pPr>
            <w:r>
              <w:rPr>
                <w:rFonts w:ascii="Times New Roman" w:hAnsi="Times New Roman"/>
                <w:sz w:val="20"/>
              </w:rPr>
              <w:t>–</w:t>
            </w:r>
          </w:p>
        </w:tc>
        <w:tc>
          <w:tcPr>
            <w:tcW w:type="dxa" w:w="2160"/>
          </w:tcPr>
          <w:p>
            <w:pPr>
              <w:spacing w:line="240" w:lineRule="auto"/>
            </w:pPr>
            <w:r>
              <w:rPr>
                <w:rFonts w:ascii="Times New Roman" w:hAnsi="Times New Roman"/>
                <w:sz w:val="20"/>
              </w:rPr>
            </w:r>
          </w:p>
        </w:tc>
        <w:tc>
          <w:tcPr>
            <w:tcW w:type="dxa" w:w="2160"/>
          </w:tcPr>
          <w:p>
            <w:pPr>
              <w:spacing w:line="240" w:lineRule="auto"/>
            </w:pPr>
            <w:r>
              <w:rPr>
                <w:rFonts w:ascii="Times New Roman" w:hAnsi="Times New Roman"/>
                <w:sz w:val="20"/>
              </w:rPr>
            </w:r>
          </w:p>
        </w:tc>
      </w:tr>
      <w:tr>
        <w:tc>
          <w:tcPr>
            <w:tcW w:type="dxa" w:w="2160"/>
          </w:tcPr>
          <w:p>
            <w:pPr>
              <w:spacing w:line="240" w:lineRule="auto"/>
            </w:pPr>
            <w:r>
              <w:rPr>
                <w:rFonts w:ascii="Times New Roman" w:hAnsi="Times New Roman"/>
                <w:sz w:val="20"/>
              </w:rPr>
              <w:t>Pre-trend test (p)</w:t>
            </w:r>
          </w:p>
        </w:tc>
        <w:tc>
          <w:tcPr>
            <w:tcW w:type="dxa" w:w="2160"/>
          </w:tcPr>
          <w:p>
            <w:pPr>
              <w:spacing w:line="240" w:lineRule="auto"/>
            </w:pPr>
            <w:r>
              <w:rPr>
                <w:rFonts w:ascii="Times New Roman" w:hAnsi="Times New Roman"/>
                <w:sz w:val="20"/>
              </w:rPr>
              <w:t>–</w:t>
            </w:r>
          </w:p>
        </w:tc>
        <w:tc>
          <w:tcPr>
            <w:tcW w:type="dxa" w:w="2160"/>
          </w:tcPr>
          <w:p>
            <w:pPr>
              <w:spacing w:line="240" w:lineRule="auto"/>
            </w:pPr>
            <w:r>
              <w:rPr>
                <w:rFonts w:ascii="Times New Roman" w:hAnsi="Times New Roman"/>
                <w:sz w:val="20"/>
              </w:rPr>
            </w:r>
          </w:p>
        </w:tc>
        <w:tc>
          <w:tcPr>
            <w:tcW w:type="dxa" w:w="2160"/>
          </w:tcPr>
          <w:p>
            <w:pPr>
              <w:spacing w:line="240" w:lineRule="auto"/>
            </w:pPr>
            <w:r>
              <w:rPr>
                <w:rFonts w:ascii="Times New Roman" w:hAnsi="Times New Roman"/>
                <w:sz w:val="20"/>
              </w:rPr>
            </w:r>
          </w:p>
        </w:tc>
      </w:tr>
    </w:tbl>
    <w:p>
      <w:pPr>
        <w:pStyle w:val="Heading2"/>
      </w:pPr>
      <w:r>
        <w:rPr>
          <w:rFonts w:ascii="Times New Roman" w:hAnsi="Times New Roman"/>
          <w:color w:val="000000"/>
        </w:rPr>
        <w:t>Appendix C: Propensity Score Balance Diagnostics</w:t>
      </w:r>
    </w:p>
    <w:p>
      <w:pPr>
        <w:ind w:firstLine="720"/>
      </w:pPr>
      <w:r>
        <w:t>This appendix reports diagnostics for the propensity score matching procedure described in Chapter 3, Section 3.5.3. Balance diagnostics assess whether the matching procedure successfully equalized the distribution of observed covariates between the treated (tradeoff) and control (LPTA) groups, which is a necessary condition for the validity of the propensity score matching estimator.</w:t>
      </w:r>
    </w:p>
    <w:p>
      <w:pPr>
        <w:pStyle w:val="Heading3"/>
      </w:pPr>
      <w:r>
        <w:rPr>
          <w:rFonts w:ascii="Times New Roman" w:hAnsi="Times New Roman"/>
          <w:color w:val="000000"/>
        </w:rPr>
        <w:t>C.1 Balance Table</w:t>
      </w:r>
    </w:p>
    <w:p>
      <w:pPr>
        <w:ind w:firstLine="720"/>
      </w:pPr>
      <w:r>
        <w:rPr>
          <w:i/>
        </w:rPr>
        <w:t>Note: Values will be populated upon completion of the propensity score estimation and matching procedure.</w:t>
      </w:r>
    </w:p>
    <w:tbl>
      <w:tblPr>
        <w:tblStyle w:val="TableGrid"/>
        <w:tblW w:type="auto" w:w="0"/>
        <w:tblLook w:firstColumn="1" w:firstRow="1" w:lastColumn="0" w:lastRow="0" w:noHBand="0" w:noVBand="1" w:val="04A0"/>
      </w:tblPr>
      <w:tblGrid>
        <w:gridCol w:w="1080"/>
        <w:gridCol w:w="1080"/>
        <w:gridCol w:w="1080"/>
        <w:gridCol w:w="1080"/>
        <w:gridCol w:w="1080"/>
        <w:gridCol w:w="1080"/>
        <w:gridCol w:w="1080"/>
        <w:gridCol w:w="1080"/>
      </w:tblGrid>
      <w:tr>
        <w:tc>
          <w:tcPr>
            <w:tcW w:type="dxa" w:w="1080"/>
          </w:tcPr>
          <w:p>
            <w:pPr>
              <w:spacing w:line="240" w:lineRule="auto"/>
            </w:pPr>
            <w:r>
              <w:rPr>
                <w:rFonts w:ascii="Times New Roman" w:hAnsi="Times New Roman"/>
                <w:b/>
                <w:sz w:val="20"/>
              </w:rPr>
              <w:t>Covariate</w:t>
            </w:r>
          </w:p>
        </w:tc>
        <w:tc>
          <w:tcPr>
            <w:tcW w:type="dxa" w:w="1080"/>
          </w:tcPr>
          <w:p>
            <w:pPr>
              <w:spacing w:line="240" w:lineRule="auto"/>
            </w:pPr>
            <w:r>
              <w:rPr>
                <w:rFonts w:ascii="Times New Roman" w:hAnsi="Times New Roman"/>
                <w:b/>
                <w:sz w:val="20"/>
              </w:rPr>
              <w:t>Mean (Tradeoff) Before</w:t>
            </w:r>
          </w:p>
        </w:tc>
        <w:tc>
          <w:tcPr>
            <w:tcW w:type="dxa" w:w="1080"/>
          </w:tcPr>
          <w:p>
            <w:pPr>
              <w:spacing w:line="240" w:lineRule="auto"/>
            </w:pPr>
            <w:r>
              <w:rPr>
                <w:rFonts w:ascii="Times New Roman" w:hAnsi="Times New Roman"/>
                <w:b/>
                <w:sz w:val="20"/>
              </w:rPr>
              <w:t>Mean (LPTA) Before</w:t>
            </w:r>
          </w:p>
        </w:tc>
        <w:tc>
          <w:tcPr>
            <w:tcW w:type="dxa" w:w="1080"/>
          </w:tcPr>
          <w:p>
            <w:pPr>
              <w:spacing w:line="240" w:lineRule="auto"/>
            </w:pPr>
            <w:r>
              <w:rPr>
                <w:rFonts w:ascii="Times New Roman" w:hAnsi="Times New Roman"/>
                <w:b/>
                <w:sz w:val="20"/>
              </w:rPr>
              <w:t>SMD Before</w:t>
            </w:r>
          </w:p>
        </w:tc>
        <w:tc>
          <w:tcPr>
            <w:tcW w:type="dxa" w:w="1080"/>
          </w:tcPr>
          <w:p>
            <w:pPr>
              <w:spacing w:line="240" w:lineRule="auto"/>
            </w:pPr>
            <w:r>
              <w:rPr>
                <w:rFonts w:ascii="Times New Roman" w:hAnsi="Times New Roman"/>
                <w:b/>
                <w:sz w:val="20"/>
              </w:rPr>
              <w:t>Mean (Tradeoff) After</w:t>
            </w:r>
          </w:p>
        </w:tc>
        <w:tc>
          <w:tcPr>
            <w:tcW w:type="dxa" w:w="1080"/>
          </w:tcPr>
          <w:p>
            <w:pPr>
              <w:spacing w:line="240" w:lineRule="auto"/>
            </w:pPr>
            <w:r>
              <w:rPr>
                <w:rFonts w:ascii="Times New Roman" w:hAnsi="Times New Roman"/>
                <w:b/>
                <w:sz w:val="20"/>
              </w:rPr>
              <w:t>Mean (LPTA) After</w:t>
            </w:r>
          </w:p>
        </w:tc>
        <w:tc>
          <w:tcPr>
            <w:tcW w:type="dxa" w:w="1080"/>
          </w:tcPr>
          <w:p>
            <w:pPr>
              <w:spacing w:line="240" w:lineRule="auto"/>
            </w:pPr>
            <w:r>
              <w:rPr>
                <w:rFonts w:ascii="Times New Roman" w:hAnsi="Times New Roman"/>
                <w:b/>
                <w:sz w:val="20"/>
              </w:rPr>
              <w:t>SMD After</w:t>
            </w:r>
          </w:p>
        </w:tc>
        <w:tc>
          <w:tcPr>
            <w:tcW w:type="dxa" w:w="1080"/>
          </w:tcPr>
          <w:p>
            <w:pPr>
              <w:spacing w:line="240" w:lineRule="auto"/>
            </w:pPr>
            <w:r>
              <w:rPr>
                <w:rFonts w:ascii="Times New Roman" w:hAnsi="Times New Roman"/>
                <w:b/>
                <w:sz w:val="20"/>
              </w:rPr>
              <w:t>Variance Ratio (After)</w:t>
            </w:r>
          </w:p>
        </w:tc>
      </w:tr>
      <w:tr>
        <w:tc>
          <w:tcPr>
            <w:tcW w:type="dxa" w:w="1080"/>
          </w:tcPr>
          <w:p>
            <w:pPr>
              <w:spacing w:line="240" w:lineRule="auto"/>
            </w:pPr>
            <w:r>
              <w:rPr>
                <w:rFonts w:ascii="Times New Roman" w:hAnsi="Times New Roman"/>
                <w:sz w:val="20"/>
              </w:rPr>
              <w:t>Log(Award Amount)</w:t>
            </w:r>
          </w:p>
        </w:tc>
        <w:tc>
          <w:tcPr>
            <w:tcW w:type="dxa" w:w="1080"/>
          </w:tcPr>
          <w:p>
            <w:pPr>
              <w:spacing w:line="240" w:lineRule="auto"/>
            </w:pPr>
            <w:r>
              <w:rPr>
                <w:rFonts w:ascii="Times New Roman" w:hAnsi="Times New Roman"/>
                <w:sz w:val="20"/>
              </w:rPr>
              <w:t>–</w:t>
            </w:r>
          </w:p>
        </w:tc>
        <w:tc>
          <w:tcPr>
            <w:tcW w:type="dxa" w:w="1080"/>
          </w:tcPr>
          <w:p>
            <w:pPr>
              <w:spacing w:line="240" w:lineRule="auto"/>
            </w:pPr>
            <w:r>
              <w:rPr>
                <w:rFonts w:ascii="Times New Roman" w:hAnsi="Times New Roman"/>
                <w:sz w:val="20"/>
              </w:rPr>
              <w:t>–</w:t>
            </w:r>
          </w:p>
        </w:tc>
        <w:tc>
          <w:tcPr>
            <w:tcW w:type="dxa" w:w="1080"/>
          </w:tcPr>
          <w:p>
            <w:pPr>
              <w:spacing w:line="240" w:lineRule="auto"/>
            </w:pPr>
            <w:r>
              <w:rPr>
                <w:rFonts w:ascii="Times New Roman" w:hAnsi="Times New Roman"/>
                <w:sz w:val="20"/>
              </w:rPr>
              <w:t>–</w:t>
            </w:r>
          </w:p>
        </w:tc>
        <w:tc>
          <w:tcPr>
            <w:tcW w:type="dxa" w:w="1080"/>
          </w:tcPr>
          <w:p>
            <w:pPr>
              <w:spacing w:line="240" w:lineRule="auto"/>
            </w:pPr>
            <w:r>
              <w:rPr>
                <w:rFonts w:ascii="Times New Roman" w:hAnsi="Times New Roman"/>
                <w:sz w:val="20"/>
              </w:rPr>
              <w:t>–</w:t>
            </w:r>
          </w:p>
        </w:tc>
        <w:tc>
          <w:tcPr>
            <w:tcW w:type="dxa" w:w="1080"/>
          </w:tcPr>
          <w:p>
            <w:pPr>
              <w:spacing w:line="240" w:lineRule="auto"/>
            </w:pPr>
            <w:r>
              <w:rPr>
                <w:rFonts w:ascii="Times New Roman" w:hAnsi="Times New Roman"/>
                <w:sz w:val="20"/>
              </w:rPr>
              <w:t>–</w:t>
            </w:r>
          </w:p>
        </w:tc>
        <w:tc>
          <w:tcPr>
            <w:tcW w:type="dxa" w:w="1080"/>
          </w:tcPr>
          <w:p>
            <w:pPr>
              <w:spacing w:line="240" w:lineRule="auto"/>
            </w:pPr>
            <w:r>
              <w:rPr>
                <w:rFonts w:ascii="Times New Roman" w:hAnsi="Times New Roman"/>
                <w:sz w:val="20"/>
              </w:rPr>
              <w:t>–</w:t>
            </w:r>
          </w:p>
        </w:tc>
        <w:tc>
          <w:tcPr>
            <w:tcW w:type="dxa" w:w="1080"/>
          </w:tcPr>
          <w:p>
            <w:pPr>
              <w:spacing w:line="240" w:lineRule="auto"/>
            </w:pPr>
            <w:r>
              <w:rPr>
                <w:rFonts w:ascii="Times New Roman" w:hAnsi="Times New Roman"/>
                <w:sz w:val="20"/>
              </w:rPr>
              <w:t>–</w:t>
            </w:r>
          </w:p>
        </w:tc>
      </w:tr>
      <w:tr>
        <w:tc>
          <w:tcPr>
            <w:tcW w:type="dxa" w:w="1080"/>
          </w:tcPr>
          <w:p>
            <w:pPr>
              <w:spacing w:line="240" w:lineRule="auto"/>
            </w:pPr>
            <w:r>
              <w:rPr>
                <w:rFonts w:ascii="Times New Roman" w:hAnsi="Times New Roman"/>
                <w:sz w:val="20"/>
              </w:rPr>
              <w:t>FFP (proportion)</w:t>
            </w:r>
          </w:p>
        </w:tc>
        <w:tc>
          <w:tcPr>
            <w:tcW w:type="dxa" w:w="1080"/>
          </w:tcPr>
          <w:p>
            <w:pPr>
              <w:spacing w:line="240" w:lineRule="auto"/>
            </w:pPr>
            <w:r>
              <w:rPr>
                <w:rFonts w:ascii="Times New Roman" w:hAnsi="Times New Roman"/>
                <w:sz w:val="20"/>
              </w:rPr>
              <w:t>–</w:t>
            </w:r>
          </w:p>
        </w:tc>
        <w:tc>
          <w:tcPr>
            <w:tcW w:type="dxa" w:w="1080"/>
          </w:tcPr>
          <w:p>
            <w:pPr>
              <w:spacing w:line="240" w:lineRule="auto"/>
            </w:pPr>
            <w:r>
              <w:rPr>
                <w:rFonts w:ascii="Times New Roman" w:hAnsi="Times New Roman"/>
                <w:sz w:val="20"/>
              </w:rPr>
              <w:t>–</w:t>
            </w:r>
          </w:p>
        </w:tc>
        <w:tc>
          <w:tcPr>
            <w:tcW w:type="dxa" w:w="1080"/>
          </w:tcPr>
          <w:p>
            <w:pPr>
              <w:spacing w:line="240" w:lineRule="auto"/>
            </w:pPr>
            <w:r>
              <w:rPr>
                <w:rFonts w:ascii="Times New Roman" w:hAnsi="Times New Roman"/>
                <w:sz w:val="20"/>
              </w:rPr>
              <w:t>–</w:t>
            </w:r>
          </w:p>
        </w:tc>
        <w:tc>
          <w:tcPr>
            <w:tcW w:type="dxa" w:w="1080"/>
          </w:tcPr>
          <w:p>
            <w:pPr>
              <w:spacing w:line="240" w:lineRule="auto"/>
            </w:pPr>
            <w:r>
              <w:rPr>
                <w:rFonts w:ascii="Times New Roman" w:hAnsi="Times New Roman"/>
                <w:sz w:val="20"/>
              </w:rPr>
              <w:t>–</w:t>
            </w:r>
          </w:p>
        </w:tc>
        <w:tc>
          <w:tcPr>
            <w:tcW w:type="dxa" w:w="1080"/>
          </w:tcPr>
          <w:p>
            <w:pPr>
              <w:spacing w:line="240" w:lineRule="auto"/>
            </w:pPr>
            <w:r>
              <w:rPr>
                <w:rFonts w:ascii="Times New Roman" w:hAnsi="Times New Roman"/>
                <w:sz w:val="20"/>
              </w:rPr>
              <w:t>–</w:t>
            </w:r>
          </w:p>
        </w:tc>
        <w:tc>
          <w:tcPr>
            <w:tcW w:type="dxa" w:w="1080"/>
          </w:tcPr>
          <w:p>
            <w:pPr>
              <w:spacing w:line="240" w:lineRule="auto"/>
            </w:pPr>
            <w:r>
              <w:rPr>
                <w:rFonts w:ascii="Times New Roman" w:hAnsi="Times New Roman"/>
                <w:sz w:val="20"/>
              </w:rPr>
              <w:t>–</w:t>
            </w:r>
          </w:p>
        </w:tc>
        <w:tc>
          <w:tcPr>
            <w:tcW w:type="dxa" w:w="1080"/>
          </w:tcPr>
          <w:p>
            <w:pPr>
              <w:spacing w:line="240" w:lineRule="auto"/>
            </w:pPr>
            <w:r>
              <w:rPr>
                <w:rFonts w:ascii="Times New Roman" w:hAnsi="Times New Roman"/>
                <w:sz w:val="20"/>
              </w:rPr>
              <w:t>–</w:t>
            </w:r>
          </w:p>
        </w:tc>
      </w:tr>
      <w:tr>
        <w:tc>
          <w:tcPr>
            <w:tcW w:type="dxa" w:w="1080"/>
          </w:tcPr>
          <w:p>
            <w:pPr>
              <w:spacing w:line="240" w:lineRule="auto"/>
            </w:pPr>
            <w:r>
              <w:rPr>
                <w:rFonts w:ascii="Times New Roman" w:hAnsi="Times New Roman"/>
                <w:sz w:val="20"/>
              </w:rPr>
              <w:t>CPFF (proportion)</w:t>
            </w:r>
          </w:p>
        </w:tc>
        <w:tc>
          <w:tcPr>
            <w:tcW w:type="dxa" w:w="1080"/>
          </w:tcPr>
          <w:p>
            <w:pPr>
              <w:spacing w:line="240" w:lineRule="auto"/>
            </w:pPr>
            <w:r>
              <w:rPr>
                <w:rFonts w:ascii="Times New Roman" w:hAnsi="Times New Roman"/>
                <w:sz w:val="20"/>
              </w:rPr>
              <w:t>–</w:t>
            </w:r>
          </w:p>
        </w:tc>
        <w:tc>
          <w:tcPr>
            <w:tcW w:type="dxa" w:w="1080"/>
          </w:tcPr>
          <w:p>
            <w:pPr>
              <w:spacing w:line="240" w:lineRule="auto"/>
            </w:pPr>
            <w:r>
              <w:rPr>
                <w:rFonts w:ascii="Times New Roman" w:hAnsi="Times New Roman"/>
                <w:sz w:val="20"/>
              </w:rPr>
              <w:t>–</w:t>
            </w:r>
          </w:p>
        </w:tc>
        <w:tc>
          <w:tcPr>
            <w:tcW w:type="dxa" w:w="1080"/>
          </w:tcPr>
          <w:p>
            <w:pPr>
              <w:spacing w:line="240" w:lineRule="auto"/>
            </w:pPr>
            <w:r>
              <w:rPr>
                <w:rFonts w:ascii="Times New Roman" w:hAnsi="Times New Roman"/>
                <w:sz w:val="20"/>
              </w:rPr>
              <w:t>–</w:t>
            </w:r>
          </w:p>
        </w:tc>
        <w:tc>
          <w:tcPr>
            <w:tcW w:type="dxa" w:w="1080"/>
          </w:tcPr>
          <w:p>
            <w:pPr>
              <w:spacing w:line="240" w:lineRule="auto"/>
            </w:pPr>
            <w:r>
              <w:rPr>
                <w:rFonts w:ascii="Times New Roman" w:hAnsi="Times New Roman"/>
                <w:sz w:val="20"/>
              </w:rPr>
              <w:t>–</w:t>
            </w:r>
          </w:p>
        </w:tc>
        <w:tc>
          <w:tcPr>
            <w:tcW w:type="dxa" w:w="1080"/>
          </w:tcPr>
          <w:p>
            <w:pPr>
              <w:spacing w:line="240" w:lineRule="auto"/>
            </w:pPr>
            <w:r>
              <w:rPr>
                <w:rFonts w:ascii="Times New Roman" w:hAnsi="Times New Roman"/>
                <w:sz w:val="20"/>
              </w:rPr>
              <w:t>–</w:t>
            </w:r>
          </w:p>
        </w:tc>
        <w:tc>
          <w:tcPr>
            <w:tcW w:type="dxa" w:w="1080"/>
          </w:tcPr>
          <w:p>
            <w:pPr>
              <w:spacing w:line="240" w:lineRule="auto"/>
            </w:pPr>
            <w:r>
              <w:rPr>
                <w:rFonts w:ascii="Times New Roman" w:hAnsi="Times New Roman"/>
                <w:sz w:val="20"/>
              </w:rPr>
              <w:t>–</w:t>
            </w:r>
          </w:p>
        </w:tc>
        <w:tc>
          <w:tcPr>
            <w:tcW w:type="dxa" w:w="1080"/>
          </w:tcPr>
          <w:p>
            <w:pPr>
              <w:spacing w:line="240" w:lineRule="auto"/>
            </w:pPr>
            <w:r>
              <w:rPr>
                <w:rFonts w:ascii="Times New Roman" w:hAnsi="Times New Roman"/>
                <w:sz w:val="20"/>
              </w:rPr>
              <w:t>–</w:t>
            </w:r>
          </w:p>
        </w:tc>
      </w:tr>
      <w:tr>
        <w:tc>
          <w:tcPr>
            <w:tcW w:type="dxa" w:w="1080"/>
          </w:tcPr>
          <w:p>
            <w:pPr>
              <w:spacing w:line="240" w:lineRule="auto"/>
            </w:pPr>
            <w:r>
              <w:rPr>
                <w:rFonts w:ascii="Times New Roman" w:hAnsi="Times New Roman"/>
                <w:sz w:val="20"/>
              </w:rPr>
              <w:t>T&amp;M (proportion)</w:t>
            </w:r>
          </w:p>
        </w:tc>
        <w:tc>
          <w:tcPr>
            <w:tcW w:type="dxa" w:w="1080"/>
          </w:tcPr>
          <w:p>
            <w:pPr>
              <w:spacing w:line="240" w:lineRule="auto"/>
            </w:pPr>
            <w:r>
              <w:rPr>
                <w:rFonts w:ascii="Times New Roman" w:hAnsi="Times New Roman"/>
                <w:sz w:val="20"/>
              </w:rPr>
              <w:t>–</w:t>
            </w:r>
          </w:p>
        </w:tc>
        <w:tc>
          <w:tcPr>
            <w:tcW w:type="dxa" w:w="1080"/>
          </w:tcPr>
          <w:p>
            <w:pPr>
              <w:spacing w:line="240" w:lineRule="auto"/>
            </w:pPr>
            <w:r>
              <w:rPr>
                <w:rFonts w:ascii="Times New Roman" w:hAnsi="Times New Roman"/>
                <w:sz w:val="20"/>
              </w:rPr>
              <w:t>–</w:t>
            </w:r>
          </w:p>
        </w:tc>
        <w:tc>
          <w:tcPr>
            <w:tcW w:type="dxa" w:w="1080"/>
          </w:tcPr>
          <w:p>
            <w:pPr>
              <w:spacing w:line="240" w:lineRule="auto"/>
            </w:pPr>
            <w:r>
              <w:rPr>
                <w:rFonts w:ascii="Times New Roman" w:hAnsi="Times New Roman"/>
                <w:sz w:val="20"/>
              </w:rPr>
              <w:t>–</w:t>
            </w:r>
          </w:p>
        </w:tc>
        <w:tc>
          <w:tcPr>
            <w:tcW w:type="dxa" w:w="1080"/>
          </w:tcPr>
          <w:p>
            <w:pPr>
              <w:spacing w:line="240" w:lineRule="auto"/>
            </w:pPr>
            <w:r>
              <w:rPr>
                <w:rFonts w:ascii="Times New Roman" w:hAnsi="Times New Roman"/>
                <w:sz w:val="20"/>
              </w:rPr>
              <w:t>–</w:t>
            </w:r>
          </w:p>
        </w:tc>
        <w:tc>
          <w:tcPr>
            <w:tcW w:type="dxa" w:w="1080"/>
          </w:tcPr>
          <w:p>
            <w:pPr>
              <w:spacing w:line="240" w:lineRule="auto"/>
            </w:pPr>
            <w:r>
              <w:rPr>
                <w:rFonts w:ascii="Times New Roman" w:hAnsi="Times New Roman"/>
                <w:sz w:val="20"/>
              </w:rPr>
              <w:t>–</w:t>
            </w:r>
          </w:p>
        </w:tc>
        <w:tc>
          <w:tcPr>
            <w:tcW w:type="dxa" w:w="1080"/>
          </w:tcPr>
          <w:p>
            <w:pPr>
              <w:spacing w:line="240" w:lineRule="auto"/>
            </w:pPr>
            <w:r>
              <w:rPr>
                <w:rFonts w:ascii="Times New Roman" w:hAnsi="Times New Roman"/>
                <w:sz w:val="20"/>
              </w:rPr>
              <w:t>–</w:t>
            </w:r>
          </w:p>
        </w:tc>
        <w:tc>
          <w:tcPr>
            <w:tcW w:type="dxa" w:w="1080"/>
          </w:tcPr>
          <w:p>
            <w:pPr>
              <w:spacing w:line="240" w:lineRule="auto"/>
            </w:pPr>
            <w:r>
              <w:rPr>
                <w:rFonts w:ascii="Times New Roman" w:hAnsi="Times New Roman"/>
                <w:sz w:val="20"/>
              </w:rPr>
              <w:t>–</w:t>
            </w:r>
          </w:p>
        </w:tc>
      </w:tr>
      <w:tr>
        <w:tc>
          <w:tcPr>
            <w:tcW w:type="dxa" w:w="1080"/>
          </w:tcPr>
          <w:p>
            <w:pPr>
              <w:spacing w:line="240" w:lineRule="auto"/>
            </w:pPr>
            <w:r>
              <w:rPr>
                <w:rFonts w:ascii="Times New Roman" w:hAnsi="Times New Roman"/>
                <w:sz w:val="20"/>
              </w:rPr>
              <w:t>IDV Indicator (proportion)</w:t>
            </w:r>
          </w:p>
        </w:tc>
        <w:tc>
          <w:tcPr>
            <w:tcW w:type="dxa" w:w="1080"/>
          </w:tcPr>
          <w:p>
            <w:pPr>
              <w:spacing w:line="240" w:lineRule="auto"/>
            </w:pPr>
            <w:r>
              <w:rPr>
                <w:rFonts w:ascii="Times New Roman" w:hAnsi="Times New Roman"/>
                <w:sz w:val="20"/>
              </w:rPr>
              <w:t>–</w:t>
            </w:r>
          </w:p>
        </w:tc>
        <w:tc>
          <w:tcPr>
            <w:tcW w:type="dxa" w:w="1080"/>
          </w:tcPr>
          <w:p>
            <w:pPr>
              <w:spacing w:line="240" w:lineRule="auto"/>
            </w:pPr>
            <w:r>
              <w:rPr>
                <w:rFonts w:ascii="Times New Roman" w:hAnsi="Times New Roman"/>
                <w:sz w:val="20"/>
              </w:rPr>
              <w:t>–</w:t>
            </w:r>
          </w:p>
        </w:tc>
        <w:tc>
          <w:tcPr>
            <w:tcW w:type="dxa" w:w="1080"/>
          </w:tcPr>
          <w:p>
            <w:pPr>
              <w:spacing w:line="240" w:lineRule="auto"/>
            </w:pPr>
            <w:r>
              <w:rPr>
                <w:rFonts w:ascii="Times New Roman" w:hAnsi="Times New Roman"/>
                <w:sz w:val="20"/>
              </w:rPr>
              <w:t>–</w:t>
            </w:r>
          </w:p>
        </w:tc>
        <w:tc>
          <w:tcPr>
            <w:tcW w:type="dxa" w:w="1080"/>
          </w:tcPr>
          <w:p>
            <w:pPr>
              <w:spacing w:line="240" w:lineRule="auto"/>
            </w:pPr>
            <w:r>
              <w:rPr>
                <w:rFonts w:ascii="Times New Roman" w:hAnsi="Times New Roman"/>
                <w:sz w:val="20"/>
              </w:rPr>
              <w:t>–</w:t>
            </w:r>
          </w:p>
        </w:tc>
        <w:tc>
          <w:tcPr>
            <w:tcW w:type="dxa" w:w="1080"/>
          </w:tcPr>
          <w:p>
            <w:pPr>
              <w:spacing w:line="240" w:lineRule="auto"/>
            </w:pPr>
            <w:r>
              <w:rPr>
                <w:rFonts w:ascii="Times New Roman" w:hAnsi="Times New Roman"/>
                <w:sz w:val="20"/>
              </w:rPr>
              <w:t>–</w:t>
            </w:r>
          </w:p>
        </w:tc>
        <w:tc>
          <w:tcPr>
            <w:tcW w:type="dxa" w:w="1080"/>
          </w:tcPr>
          <w:p>
            <w:pPr>
              <w:spacing w:line="240" w:lineRule="auto"/>
            </w:pPr>
            <w:r>
              <w:rPr>
                <w:rFonts w:ascii="Times New Roman" w:hAnsi="Times New Roman"/>
                <w:sz w:val="20"/>
              </w:rPr>
              <w:t>–</w:t>
            </w:r>
          </w:p>
        </w:tc>
        <w:tc>
          <w:tcPr>
            <w:tcW w:type="dxa" w:w="1080"/>
          </w:tcPr>
          <w:p>
            <w:pPr>
              <w:spacing w:line="240" w:lineRule="auto"/>
            </w:pPr>
            <w:r>
              <w:rPr>
                <w:rFonts w:ascii="Times New Roman" w:hAnsi="Times New Roman"/>
                <w:sz w:val="20"/>
              </w:rPr>
              <w:t>–</w:t>
            </w:r>
          </w:p>
        </w:tc>
      </w:tr>
      <w:tr>
        <w:tc>
          <w:tcPr>
            <w:tcW w:type="dxa" w:w="1080"/>
          </w:tcPr>
          <w:p>
            <w:pPr>
              <w:spacing w:line="240" w:lineRule="auto"/>
            </w:pPr>
            <w:r>
              <w:rPr>
                <w:rFonts w:ascii="Times New Roman" w:hAnsi="Times New Roman"/>
                <w:sz w:val="20"/>
              </w:rPr>
              <w:t>NAICS: IT Services (proportion)</w:t>
            </w:r>
          </w:p>
        </w:tc>
        <w:tc>
          <w:tcPr>
            <w:tcW w:type="dxa" w:w="1080"/>
          </w:tcPr>
          <w:p>
            <w:pPr>
              <w:spacing w:line="240" w:lineRule="auto"/>
            </w:pPr>
            <w:r>
              <w:rPr>
                <w:rFonts w:ascii="Times New Roman" w:hAnsi="Times New Roman"/>
                <w:sz w:val="20"/>
              </w:rPr>
              <w:t>–</w:t>
            </w:r>
          </w:p>
        </w:tc>
        <w:tc>
          <w:tcPr>
            <w:tcW w:type="dxa" w:w="1080"/>
          </w:tcPr>
          <w:p>
            <w:pPr>
              <w:spacing w:line="240" w:lineRule="auto"/>
            </w:pPr>
            <w:r>
              <w:rPr>
                <w:rFonts w:ascii="Times New Roman" w:hAnsi="Times New Roman"/>
                <w:sz w:val="20"/>
              </w:rPr>
              <w:t>–</w:t>
            </w:r>
          </w:p>
        </w:tc>
        <w:tc>
          <w:tcPr>
            <w:tcW w:type="dxa" w:w="1080"/>
          </w:tcPr>
          <w:p>
            <w:pPr>
              <w:spacing w:line="240" w:lineRule="auto"/>
            </w:pPr>
            <w:r>
              <w:rPr>
                <w:rFonts w:ascii="Times New Roman" w:hAnsi="Times New Roman"/>
                <w:sz w:val="20"/>
              </w:rPr>
              <w:t>–</w:t>
            </w:r>
          </w:p>
        </w:tc>
        <w:tc>
          <w:tcPr>
            <w:tcW w:type="dxa" w:w="1080"/>
          </w:tcPr>
          <w:p>
            <w:pPr>
              <w:spacing w:line="240" w:lineRule="auto"/>
            </w:pPr>
            <w:r>
              <w:rPr>
                <w:rFonts w:ascii="Times New Roman" w:hAnsi="Times New Roman"/>
                <w:sz w:val="20"/>
              </w:rPr>
              <w:t>–</w:t>
            </w:r>
          </w:p>
        </w:tc>
        <w:tc>
          <w:tcPr>
            <w:tcW w:type="dxa" w:w="1080"/>
          </w:tcPr>
          <w:p>
            <w:pPr>
              <w:spacing w:line="240" w:lineRule="auto"/>
            </w:pPr>
            <w:r>
              <w:rPr>
                <w:rFonts w:ascii="Times New Roman" w:hAnsi="Times New Roman"/>
                <w:sz w:val="20"/>
              </w:rPr>
              <w:t>–</w:t>
            </w:r>
          </w:p>
        </w:tc>
        <w:tc>
          <w:tcPr>
            <w:tcW w:type="dxa" w:w="1080"/>
          </w:tcPr>
          <w:p>
            <w:pPr>
              <w:spacing w:line="240" w:lineRule="auto"/>
            </w:pPr>
            <w:r>
              <w:rPr>
                <w:rFonts w:ascii="Times New Roman" w:hAnsi="Times New Roman"/>
                <w:sz w:val="20"/>
              </w:rPr>
              <w:t>–</w:t>
            </w:r>
          </w:p>
        </w:tc>
        <w:tc>
          <w:tcPr>
            <w:tcW w:type="dxa" w:w="1080"/>
          </w:tcPr>
          <w:p>
            <w:pPr>
              <w:spacing w:line="240" w:lineRule="auto"/>
            </w:pPr>
            <w:r>
              <w:rPr>
                <w:rFonts w:ascii="Times New Roman" w:hAnsi="Times New Roman"/>
                <w:sz w:val="20"/>
              </w:rPr>
              <w:t>–</w:t>
            </w:r>
          </w:p>
        </w:tc>
      </w:tr>
      <w:tr>
        <w:tc>
          <w:tcPr>
            <w:tcW w:type="dxa" w:w="1080"/>
          </w:tcPr>
          <w:p>
            <w:pPr>
              <w:spacing w:line="240" w:lineRule="auto"/>
            </w:pPr>
            <w:r>
              <w:rPr>
                <w:rFonts w:ascii="Times New Roman" w:hAnsi="Times New Roman"/>
                <w:sz w:val="20"/>
              </w:rPr>
              <w:t>NAICS: Consulting (proportion)</w:t>
            </w:r>
          </w:p>
        </w:tc>
        <w:tc>
          <w:tcPr>
            <w:tcW w:type="dxa" w:w="1080"/>
          </w:tcPr>
          <w:p>
            <w:pPr>
              <w:spacing w:line="240" w:lineRule="auto"/>
            </w:pPr>
            <w:r>
              <w:rPr>
                <w:rFonts w:ascii="Times New Roman" w:hAnsi="Times New Roman"/>
                <w:sz w:val="20"/>
              </w:rPr>
              <w:t>–</w:t>
            </w:r>
          </w:p>
        </w:tc>
        <w:tc>
          <w:tcPr>
            <w:tcW w:type="dxa" w:w="1080"/>
          </w:tcPr>
          <w:p>
            <w:pPr>
              <w:spacing w:line="240" w:lineRule="auto"/>
            </w:pPr>
            <w:r>
              <w:rPr>
                <w:rFonts w:ascii="Times New Roman" w:hAnsi="Times New Roman"/>
                <w:sz w:val="20"/>
              </w:rPr>
              <w:t>–</w:t>
            </w:r>
          </w:p>
        </w:tc>
        <w:tc>
          <w:tcPr>
            <w:tcW w:type="dxa" w:w="1080"/>
          </w:tcPr>
          <w:p>
            <w:pPr>
              <w:spacing w:line="240" w:lineRule="auto"/>
            </w:pPr>
            <w:r>
              <w:rPr>
                <w:rFonts w:ascii="Times New Roman" w:hAnsi="Times New Roman"/>
                <w:sz w:val="20"/>
              </w:rPr>
              <w:t>–</w:t>
            </w:r>
          </w:p>
        </w:tc>
        <w:tc>
          <w:tcPr>
            <w:tcW w:type="dxa" w:w="1080"/>
          </w:tcPr>
          <w:p>
            <w:pPr>
              <w:spacing w:line="240" w:lineRule="auto"/>
            </w:pPr>
            <w:r>
              <w:rPr>
                <w:rFonts w:ascii="Times New Roman" w:hAnsi="Times New Roman"/>
                <w:sz w:val="20"/>
              </w:rPr>
              <w:t>–</w:t>
            </w:r>
          </w:p>
        </w:tc>
        <w:tc>
          <w:tcPr>
            <w:tcW w:type="dxa" w:w="1080"/>
          </w:tcPr>
          <w:p>
            <w:pPr>
              <w:spacing w:line="240" w:lineRule="auto"/>
            </w:pPr>
            <w:r>
              <w:rPr>
                <w:rFonts w:ascii="Times New Roman" w:hAnsi="Times New Roman"/>
                <w:sz w:val="20"/>
              </w:rPr>
              <w:t>–</w:t>
            </w:r>
          </w:p>
        </w:tc>
        <w:tc>
          <w:tcPr>
            <w:tcW w:type="dxa" w:w="1080"/>
          </w:tcPr>
          <w:p>
            <w:pPr>
              <w:spacing w:line="240" w:lineRule="auto"/>
            </w:pPr>
            <w:r>
              <w:rPr>
                <w:rFonts w:ascii="Times New Roman" w:hAnsi="Times New Roman"/>
                <w:sz w:val="20"/>
              </w:rPr>
              <w:t>–</w:t>
            </w:r>
          </w:p>
        </w:tc>
        <w:tc>
          <w:tcPr>
            <w:tcW w:type="dxa" w:w="1080"/>
          </w:tcPr>
          <w:p>
            <w:pPr>
              <w:spacing w:line="240" w:lineRule="auto"/>
            </w:pPr>
            <w:r>
              <w:rPr>
                <w:rFonts w:ascii="Times New Roman" w:hAnsi="Times New Roman"/>
                <w:sz w:val="20"/>
              </w:rPr>
              <w:t>–</w:t>
            </w:r>
          </w:p>
        </w:tc>
      </w:tr>
      <w:tr>
        <w:tc>
          <w:tcPr>
            <w:tcW w:type="dxa" w:w="1080"/>
          </w:tcPr>
          <w:p>
            <w:pPr>
              <w:spacing w:line="240" w:lineRule="auto"/>
            </w:pPr>
            <w:r>
              <w:rPr>
                <w:rFonts w:ascii="Times New Roman" w:hAnsi="Times New Roman"/>
                <w:sz w:val="20"/>
              </w:rPr>
              <w:t>NAICS: Other Professional (proportion)</w:t>
            </w:r>
          </w:p>
        </w:tc>
        <w:tc>
          <w:tcPr>
            <w:tcW w:type="dxa" w:w="1080"/>
          </w:tcPr>
          <w:p>
            <w:pPr>
              <w:spacing w:line="240" w:lineRule="auto"/>
            </w:pPr>
            <w:r>
              <w:rPr>
                <w:rFonts w:ascii="Times New Roman" w:hAnsi="Times New Roman"/>
                <w:sz w:val="20"/>
              </w:rPr>
              <w:t>–</w:t>
            </w:r>
          </w:p>
        </w:tc>
        <w:tc>
          <w:tcPr>
            <w:tcW w:type="dxa" w:w="1080"/>
          </w:tcPr>
          <w:p>
            <w:pPr>
              <w:spacing w:line="240" w:lineRule="auto"/>
            </w:pPr>
            <w:r>
              <w:rPr>
                <w:rFonts w:ascii="Times New Roman" w:hAnsi="Times New Roman"/>
                <w:sz w:val="20"/>
              </w:rPr>
              <w:t>–</w:t>
            </w:r>
          </w:p>
        </w:tc>
        <w:tc>
          <w:tcPr>
            <w:tcW w:type="dxa" w:w="1080"/>
          </w:tcPr>
          <w:p>
            <w:pPr>
              <w:spacing w:line="240" w:lineRule="auto"/>
            </w:pPr>
            <w:r>
              <w:rPr>
                <w:rFonts w:ascii="Times New Roman" w:hAnsi="Times New Roman"/>
                <w:sz w:val="20"/>
              </w:rPr>
              <w:t>–</w:t>
            </w:r>
          </w:p>
        </w:tc>
        <w:tc>
          <w:tcPr>
            <w:tcW w:type="dxa" w:w="1080"/>
          </w:tcPr>
          <w:p>
            <w:pPr>
              <w:spacing w:line="240" w:lineRule="auto"/>
            </w:pPr>
            <w:r>
              <w:rPr>
                <w:rFonts w:ascii="Times New Roman" w:hAnsi="Times New Roman"/>
                <w:sz w:val="20"/>
              </w:rPr>
              <w:t>–</w:t>
            </w:r>
          </w:p>
        </w:tc>
        <w:tc>
          <w:tcPr>
            <w:tcW w:type="dxa" w:w="1080"/>
          </w:tcPr>
          <w:p>
            <w:pPr>
              <w:spacing w:line="240" w:lineRule="auto"/>
            </w:pPr>
            <w:r>
              <w:rPr>
                <w:rFonts w:ascii="Times New Roman" w:hAnsi="Times New Roman"/>
                <w:sz w:val="20"/>
              </w:rPr>
              <w:t>–</w:t>
            </w:r>
          </w:p>
        </w:tc>
        <w:tc>
          <w:tcPr>
            <w:tcW w:type="dxa" w:w="1080"/>
          </w:tcPr>
          <w:p>
            <w:pPr>
              <w:spacing w:line="240" w:lineRule="auto"/>
            </w:pPr>
            <w:r>
              <w:rPr>
                <w:rFonts w:ascii="Times New Roman" w:hAnsi="Times New Roman"/>
                <w:sz w:val="20"/>
              </w:rPr>
              <w:t>–</w:t>
            </w:r>
          </w:p>
        </w:tc>
        <w:tc>
          <w:tcPr>
            <w:tcW w:type="dxa" w:w="1080"/>
          </w:tcPr>
          <w:p>
            <w:pPr>
              <w:spacing w:line="240" w:lineRule="auto"/>
            </w:pPr>
            <w:r>
              <w:rPr>
                <w:rFonts w:ascii="Times New Roman" w:hAnsi="Times New Roman"/>
                <w:sz w:val="20"/>
              </w:rPr>
              <w:t>–</w:t>
            </w:r>
          </w:p>
        </w:tc>
      </w:tr>
      <w:tr>
        <w:tc>
          <w:tcPr>
            <w:tcW w:type="dxa" w:w="1080"/>
          </w:tcPr>
          <w:p>
            <w:pPr>
              <w:spacing w:line="240" w:lineRule="auto"/>
            </w:pPr>
            <w:r>
              <w:rPr>
                <w:rFonts w:ascii="Times New Roman" w:hAnsi="Times New Roman"/>
                <w:sz w:val="20"/>
              </w:rPr>
              <w:t>NAICS: Admin Support (proportion)</w:t>
            </w:r>
          </w:p>
        </w:tc>
        <w:tc>
          <w:tcPr>
            <w:tcW w:type="dxa" w:w="1080"/>
          </w:tcPr>
          <w:p>
            <w:pPr>
              <w:spacing w:line="240" w:lineRule="auto"/>
            </w:pPr>
            <w:r>
              <w:rPr>
                <w:rFonts w:ascii="Times New Roman" w:hAnsi="Times New Roman"/>
                <w:sz w:val="20"/>
              </w:rPr>
              <w:t>–</w:t>
            </w:r>
          </w:p>
        </w:tc>
        <w:tc>
          <w:tcPr>
            <w:tcW w:type="dxa" w:w="1080"/>
          </w:tcPr>
          <w:p>
            <w:pPr>
              <w:spacing w:line="240" w:lineRule="auto"/>
            </w:pPr>
            <w:r>
              <w:rPr>
                <w:rFonts w:ascii="Times New Roman" w:hAnsi="Times New Roman"/>
                <w:sz w:val="20"/>
              </w:rPr>
              <w:t>–</w:t>
            </w:r>
          </w:p>
        </w:tc>
        <w:tc>
          <w:tcPr>
            <w:tcW w:type="dxa" w:w="1080"/>
          </w:tcPr>
          <w:p>
            <w:pPr>
              <w:spacing w:line="240" w:lineRule="auto"/>
            </w:pPr>
            <w:r>
              <w:rPr>
                <w:rFonts w:ascii="Times New Roman" w:hAnsi="Times New Roman"/>
                <w:sz w:val="20"/>
              </w:rPr>
              <w:t>–</w:t>
            </w:r>
          </w:p>
        </w:tc>
        <w:tc>
          <w:tcPr>
            <w:tcW w:type="dxa" w:w="1080"/>
          </w:tcPr>
          <w:p>
            <w:pPr>
              <w:spacing w:line="240" w:lineRule="auto"/>
            </w:pPr>
            <w:r>
              <w:rPr>
                <w:rFonts w:ascii="Times New Roman" w:hAnsi="Times New Roman"/>
                <w:sz w:val="20"/>
              </w:rPr>
              <w:t>–</w:t>
            </w:r>
          </w:p>
        </w:tc>
        <w:tc>
          <w:tcPr>
            <w:tcW w:type="dxa" w:w="1080"/>
          </w:tcPr>
          <w:p>
            <w:pPr>
              <w:spacing w:line="240" w:lineRule="auto"/>
            </w:pPr>
            <w:r>
              <w:rPr>
                <w:rFonts w:ascii="Times New Roman" w:hAnsi="Times New Roman"/>
                <w:sz w:val="20"/>
              </w:rPr>
              <w:t>–</w:t>
            </w:r>
          </w:p>
        </w:tc>
        <w:tc>
          <w:tcPr>
            <w:tcW w:type="dxa" w:w="1080"/>
          </w:tcPr>
          <w:p>
            <w:pPr>
              <w:spacing w:line="240" w:lineRule="auto"/>
            </w:pPr>
            <w:r>
              <w:rPr>
                <w:rFonts w:ascii="Times New Roman" w:hAnsi="Times New Roman"/>
                <w:sz w:val="20"/>
              </w:rPr>
              <w:t>–</w:t>
            </w:r>
          </w:p>
        </w:tc>
        <w:tc>
          <w:tcPr>
            <w:tcW w:type="dxa" w:w="1080"/>
          </w:tcPr>
          <w:p>
            <w:pPr>
              <w:spacing w:line="240" w:lineRule="auto"/>
            </w:pPr>
            <w:r>
              <w:rPr>
                <w:rFonts w:ascii="Times New Roman" w:hAnsi="Times New Roman"/>
                <w:sz w:val="20"/>
              </w:rPr>
              <w:t>–</w:t>
            </w:r>
          </w:p>
        </w:tc>
      </w:tr>
      <w:tr>
        <w:tc>
          <w:tcPr>
            <w:tcW w:type="dxa" w:w="1080"/>
          </w:tcPr>
          <w:p>
            <w:pPr>
              <w:spacing w:line="240" w:lineRule="auto"/>
            </w:pPr>
            <w:r>
              <w:rPr>
                <w:rFonts w:ascii="Times New Roman" w:hAnsi="Times New Roman"/>
                <w:sz w:val="20"/>
              </w:rPr>
              <w:t>Set-Aside: Unrestricted (proportion)</w:t>
            </w:r>
          </w:p>
        </w:tc>
        <w:tc>
          <w:tcPr>
            <w:tcW w:type="dxa" w:w="1080"/>
          </w:tcPr>
          <w:p>
            <w:pPr>
              <w:spacing w:line="240" w:lineRule="auto"/>
            </w:pPr>
            <w:r>
              <w:rPr>
                <w:rFonts w:ascii="Times New Roman" w:hAnsi="Times New Roman"/>
                <w:sz w:val="20"/>
              </w:rPr>
              <w:t>–</w:t>
            </w:r>
          </w:p>
        </w:tc>
        <w:tc>
          <w:tcPr>
            <w:tcW w:type="dxa" w:w="1080"/>
          </w:tcPr>
          <w:p>
            <w:pPr>
              <w:spacing w:line="240" w:lineRule="auto"/>
            </w:pPr>
            <w:r>
              <w:rPr>
                <w:rFonts w:ascii="Times New Roman" w:hAnsi="Times New Roman"/>
                <w:sz w:val="20"/>
              </w:rPr>
              <w:t>–</w:t>
            </w:r>
          </w:p>
        </w:tc>
        <w:tc>
          <w:tcPr>
            <w:tcW w:type="dxa" w:w="1080"/>
          </w:tcPr>
          <w:p>
            <w:pPr>
              <w:spacing w:line="240" w:lineRule="auto"/>
            </w:pPr>
            <w:r>
              <w:rPr>
                <w:rFonts w:ascii="Times New Roman" w:hAnsi="Times New Roman"/>
                <w:sz w:val="20"/>
              </w:rPr>
              <w:t>–</w:t>
            </w:r>
          </w:p>
        </w:tc>
        <w:tc>
          <w:tcPr>
            <w:tcW w:type="dxa" w:w="1080"/>
          </w:tcPr>
          <w:p>
            <w:pPr>
              <w:spacing w:line="240" w:lineRule="auto"/>
            </w:pPr>
            <w:r>
              <w:rPr>
                <w:rFonts w:ascii="Times New Roman" w:hAnsi="Times New Roman"/>
                <w:sz w:val="20"/>
              </w:rPr>
              <w:t>–</w:t>
            </w:r>
          </w:p>
        </w:tc>
        <w:tc>
          <w:tcPr>
            <w:tcW w:type="dxa" w:w="1080"/>
          </w:tcPr>
          <w:p>
            <w:pPr>
              <w:spacing w:line="240" w:lineRule="auto"/>
            </w:pPr>
            <w:r>
              <w:rPr>
                <w:rFonts w:ascii="Times New Roman" w:hAnsi="Times New Roman"/>
                <w:sz w:val="20"/>
              </w:rPr>
              <w:t>–</w:t>
            </w:r>
          </w:p>
        </w:tc>
        <w:tc>
          <w:tcPr>
            <w:tcW w:type="dxa" w:w="1080"/>
          </w:tcPr>
          <w:p>
            <w:pPr>
              <w:spacing w:line="240" w:lineRule="auto"/>
            </w:pPr>
            <w:r>
              <w:rPr>
                <w:rFonts w:ascii="Times New Roman" w:hAnsi="Times New Roman"/>
                <w:sz w:val="20"/>
              </w:rPr>
              <w:t>–</w:t>
            </w:r>
          </w:p>
        </w:tc>
        <w:tc>
          <w:tcPr>
            <w:tcW w:type="dxa" w:w="1080"/>
          </w:tcPr>
          <w:p>
            <w:pPr>
              <w:spacing w:line="240" w:lineRule="auto"/>
            </w:pPr>
            <w:r>
              <w:rPr>
                <w:rFonts w:ascii="Times New Roman" w:hAnsi="Times New Roman"/>
                <w:sz w:val="20"/>
              </w:rPr>
              <w:t>–</w:t>
            </w:r>
          </w:p>
        </w:tc>
      </w:tr>
      <w:tr>
        <w:tc>
          <w:tcPr>
            <w:tcW w:type="dxa" w:w="1080"/>
          </w:tcPr>
          <w:p>
            <w:pPr>
              <w:spacing w:line="240" w:lineRule="auto"/>
            </w:pPr>
            <w:r>
              <w:rPr>
                <w:rFonts w:ascii="Times New Roman" w:hAnsi="Times New Roman"/>
                <w:sz w:val="20"/>
              </w:rPr>
              <w:t>Set-Aside: Small Business (proportion)</w:t>
            </w:r>
          </w:p>
        </w:tc>
        <w:tc>
          <w:tcPr>
            <w:tcW w:type="dxa" w:w="1080"/>
          </w:tcPr>
          <w:p>
            <w:pPr>
              <w:spacing w:line="240" w:lineRule="auto"/>
            </w:pPr>
            <w:r>
              <w:rPr>
                <w:rFonts w:ascii="Times New Roman" w:hAnsi="Times New Roman"/>
                <w:sz w:val="20"/>
              </w:rPr>
              <w:t>–</w:t>
            </w:r>
          </w:p>
        </w:tc>
        <w:tc>
          <w:tcPr>
            <w:tcW w:type="dxa" w:w="1080"/>
          </w:tcPr>
          <w:p>
            <w:pPr>
              <w:spacing w:line="240" w:lineRule="auto"/>
            </w:pPr>
            <w:r>
              <w:rPr>
                <w:rFonts w:ascii="Times New Roman" w:hAnsi="Times New Roman"/>
                <w:sz w:val="20"/>
              </w:rPr>
              <w:t>–</w:t>
            </w:r>
          </w:p>
        </w:tc>
        <w:tc>
          <w:tcPr>
            <w:tcW w:type="dxa" w:w="1080"/>
          </w:tcPr>
          <w:p>
            <w:pPr>
              <w:spacing w:line="240" w:lineRule="auto"/>
            </w:pPr>
            <w:r>
              <w:rPr>
                <w:rFonts w:ascii="Times New Roman" w:hAnsi="Times New Roman"/>
                <w:sz w:val="20"/>
              </w:rPr>
              <w:t>–</w:t>
            </w:r>
          </w:p>
        </w:tc>
        <w:tc>
          <w:tcPr>
            <w:tcW w:type="dxa" w:w="1080"/>
          </w:tcPr>
          <w:p>
            <w:pPr>
              <w:spacing w:line="240" w:lineRule="auto"/>
            </w:pPr>
            <w:r>
              <w:rPr>
                <w:rFonts w:ascii="Times New Roman" w:hAnsi="Times New Roman"/>
                <w:sz w:val="20"/>
              </w:rPr>
              <w:t>–</w:t>
            </w:r>
          </w:p>
        </w:tc>
        <w:tc>
          <w:tcPr>
            <w:tcW w:type="dxa" w:w="1080"/>
          </w:tcPr>
          <w:p>
            <w:pPr>
              <w:spacing w:line="240" w:lineRule="auto"/>
            </w:pPr>
            <w:r>
              <w:rPr>
                <w:rFonts w:ascii="Times New Roman" w:hAnsi="Times New Roman"/>
                <w:sz w:val="20"/>
              </w:rPr>
              <w:t>–</w:t>
            </w:r>
          </w:p>
        </w:tc>
        <w:tc>
          <w:tcPr>
            <w:tcW w:type="dxa" w:w="1080"/>
          </w:tcPr>
          <w:p>
            <w:pPr>
              <w:spacing w:line="240" w:lineRule="auto"/>
            </w:pPr>
            <w:r>
              <w:rPr>
                <w:rFonts w:ascii="Times New Roman" w:hAnsi="Times New Roman"/>
                <w:sz w:val="20"/>
              </w:rPr>
              <w:t>–</w:t>
            </w:r>
          </w:p>
        </w:tc>
        <w:tc>
          <w:tcPr>
            <w:tcW w:type="dxa" w:w="1080"/>
          </w:tcPr>
          <w:p>
            <w:pPr>
              <w:spacing w:line="240" w:lineRule="auto"/>
            </w:pPr>
            <w:r>
              <w:rPr>
                <w:rFonts w:ascii="Times New Roman" w:hAnsi="Times New Roman"/>
                <w:sz w:val="20"/>
              </w:rPr>
              <w:t>–</w:t>
            </w:r>
          </w:p>
        </w:tc>
      </w:tr>
      <w:tr>
        <w:tc>
          <w:tcPr>
            <w:tcW w:type="dxa" w:w="1080"/>
          </w:tcPr>
          <w:p>
            <w:pPr>
              <w:spacing w:line="240" w:lineRule="auto"/>
            </w:pPr>
            <w:r>
              <w:rPr>
                <w:rFonts w:ascii="Times New Roman" w:hAnsi="Times New Roman"/>
                <w:sz w:val="20"/>
              </w:rPr>
              <w:t>Set-Aside: 8(a) (proportion)</w:t>
            </w:r>
          </w:p>
        </w:tc>
        <w:tc>
          <w:tcPr>
            <w:tcW w:type="dxa" w:w="1080"/>
          </w:tcPr>
          <w:p>
            <w:pPr>
              <w:spacing w:line="240" w:lineRule="auto"/>
            </w:pPr>
            <w:r>
              <w:rPr>
                <w:rFonts w:ascii="Times New Roman" w:hAnsi="Times New Roman"/>
                <w:sz w:val="20"/>
              </w:rPr>
              <w:t>–</w:t>
            </w:r>
          </w:p>
        </w:tc>
        <w:tc>
          <w:tcPr>
            <w:tcW w:type="dxa" w:w="1080"/>
          </w:tcPr>
          <w:p>
            <w:pPr>
              <w:spacing w:line="240" w:lineRule="auto"/>
            </w:pPr>
            <w:r>
              <w:rPr>
                <w:rFonts w:ascii="Times New Roman" w:hAnsi="Times New Roman"/>
                <w:sz w:val="20"/>
              </w:rPr>
              <w:t>–</w:t>
            </w:r>
          </w:p>
        </w:tc>
        <w:tc>
          <w:tcPr>
            <w:tcW w:type="dxa" w:w="1080"/>
          </w:tcPr>
          <w:p>
            <w:pPr>
              <w:spacing w:line="240" w:lineRule="auto"/>
            </w:pPr>
            <w:r>
              <w:rPr>
                <w:rFonts w:ascii="Times New Roman" w:hAnsi="Times New Roman"/>
                <w:sz w:val="20"/>
              </w:rPr>
              <w:t>–</w:t>
            </w:r>
          </w:p>
        </w:tc>
        <w:tc>
          <w:tcPr>
            <w:tcW w:type="dxa" w:w="1080"/>
          </w:tcPr>
          <w:p>
            <w:pPr>
              <w:spacing w:line="240" w:lineRule="auto"/>
            </w:pPr>
            <w:r>
              <w:rPr>
                <w:rFonts w:ascii="Times New Roman" w:hAnsi="Times New Roman"/>
                <w:sz w:val="20"/>
              </w:rPr>
              <w:t>–</w:t>
            </w:r>
          </w:p>
        </w:tc>
        <w:tc>
          <w:tcPr>
            <w:tcW w:type="dxa" w:w="1080"/>
          </w:tcPr>
          <w:p>
            <w:pPr>
              <w:spacing w:line="240" w:lineRule="auto"/>
            </w:pPr>
            <w:r>
              <w:rPr>
                <w:rFonts w:ascii="Times New Roman" w:hAnsi="Times New Roman"/>
                <w:sz w:val="20"/>
              </w:rPr>
              <w:t>–</w:t>
            </w:r>
          </w:p>
        </w:tc>
        <w:tc>
          <w:tcPr>
            <w:tcW w:type="dxa" w:w="1080"/>
          </w:tcPr>
          <w:p>
            <w:pPr>
              <w:spacing w:line="240" w:lineRule="auto"/>
            </w:pPr>
            <w:r>
              <w:rPr>
                <w:rFonts w:ascii="Times New Roman" w:hAnsi="Times New Roman"/>
                <w:sz w:val="20"/>
              </w:rPr>
              <w:t>–</w:t>
            </w:r>
          </w:p>
        </w:tc>
        <w:tc>
          <w:tcPr>
            <w:tcW w:type="dxa" w:w="1080"/>
          </w:tcPr>
          <w:p>
            <w:pPr>
              <w:spacing w:line="240" w:lineRule="auto"/>
            </w:pPr>
            <w:r>
              <w:rPr>
                <w:rFonts w:ascii="Times New Roman" w:hAnsi="Times New Roman"/>
                <w:sz w:val="20"/>
              </w:rPr>
              <w:t>–</w:t>
            </w:r>
          </w:p>
        </w:tc>
      </w:tr>
      <w:tr>
        <w:tc>
          <w:tcPr>
            <w:tcW w:type="dxa" w:w="1080"/>
          </w:tcPr>
          <w:p>
            <w:pPr>
              <w:spacing w:line="240" w:lineRule="auto"/>
            </w:pPr>
            <w:r>
              <w:rPr>
                <w:rFonts w:ascii="Times New Roman" w:hAnsi="Times New Roman"/>
                <w:sz w:val="20"/>
              </w:rPr>
              <w:t>Set-Aside: HUBZone (proportion)</w:t>
            </w:r>
          </w:p>
        </w:tc>
        <w:tc>
          <w:tcPr>
            <w:tcW w:type="dxa" w:w="1080"/>
          </w:tcPr>
          <w:p>
            <w:pPr>
              <w:spacing w:line="240" w:lineRule="auto"/>
            </w:pPr>
            <w:r>
              <w:rPr>
                <w:rFonts w:ascii="Times New Roman" w:hAnsi="Times New Roman"/>
                <w:sz w:val="20"/>
              </w:rPr>
              <w:t>–</w:t>
            </w:r>
          </w:p>
        </w:tc>
        <w:tc>
          <w:tcPr>
            <w:tcW w:type="dxa" w:w="1080"/>
          </w:tcPr>
          <w:p>
            <w:pPr>
              <w:spacing w:line="240" w:lineRule="auto"/>
            </w:pPr>
            <w:r>
              <w:rPr>
                <w:rFonts w:ascii="Times New Roman" w:hAnsi="Times New Roman"/>
                <w:sz w:val="20"/>
              </w:rPr>
              <w:t>–</w:t>
            </w:r>
          </w:p>
        </w:tc>
        <w:tc>
          <w:tcPr>
            <w:tcW w:type="dxa" w:w="1080"/>
          </w:tcPr>
          <w:p>
            <w:pPr>
              <w:spacing w:line="240" w:lineRule="auto"/>
            </w:pPr>
            <w:r>
              <w:rPr>
                <w:rFonts w:ascii="Times New Roman" w:hAnsi="Times New Roman"/>
                <w:sz w:val="20"/>
              </w:rPr>
              <w:t>–</w:t>
            </w:r>
          </w:p>
        </w:tc>
        <w:tc>
          <w:tcPr>
            <w:tcW w:type="dxa" w:w="1080"/>
          </w:tcPr>
          <w:p>
            <w:pPr>
              <w:spacing w:line="240" w:lineRule="auto"/>
            </w:pPr>
            <w:r>
              <w:rPr>
                <w:rFonts w:ascii="Times New Roman" w:hAnsi="Times New Roman"/>
                <w:sz w:val="20"/>
              </w:rPr>
              <w:t>–</w:t>
            </w:r>
          </w:p>
        </w:tc>
        <w:tc>
          <w:tcPr>
            <w:tcW w:type="dxa" w:w="1080"/>
          </w:tcPr>
          <w:p>
            <w:pPr>
              <w:spacing w:line="240" w:lineRule="auto"/>
            </w:pPr>
            <w:r>
              <w:rPr>
                <w:rFonts w:ascii="Times New Roman" w:hAnsi="Times New Roman"/>
                <w:sz w:val="20"/>
              </w:rPr>
              <w:t>–</w:t>
            </w:r>
          </w:p>
        </w:tc>
        <w:tc>
          <w:tcPr>
            <w:tcW w:type="dxa" w:w="1080"/>
          </w:tcPr>
          <w:p>
            <w:pPr>
              <w:spacing w:line="240" w:lineRule="auto"/>
            </w:pPr>
            <w:r>
              <w:rPr>
                <w:rFonts w:ascii="Times New Roman" w:hAnsi="Times New Roman"/>
                <w:sz w:val="20"/>
              </w:rPr>
              <w:t>–</w:t>
            </w:r>
          </w:p>
        </w:tc>
        <w:tc>
          <w:tcPr>
            <w:tcW w:type="dxa" w:w="1080"/>
          </w:tcPr>
          <w:p>
            <w:pPr>
              <w:spacing w:line="240" w:lineRule="auto"/>
            </w:pPr>
            <w:r>
              <w:rPr>
                <w:rFonts w:ascii="Times New Roman" w:hAnsi="Times New Roman"/>
                <w:sz w:val="20"/>
              </w:rPr>
              <w:t>–</w:t>
            </w:r>
          </w:p>
        </w:tc>
      </w:tr>
      <w:tr>
        <w:tc>
          <w:tcPr>
            <w:tcW w:type="dxa" w:w="1080"/>
          </w:tcPr>
          <w:p>
            <w:pPr>
              <w:spacing w:line="240" w:lineRule="auto"/>
            </w:pPr>
            <w:r>
              <w:rPr>
                <w:rFonts w:ascii="Times New Roman" w:hAnsi="Times New Roman"/>
                <w:sz w:val="20"/>
              </w:rPr>
              <w:t>Set-Aside: SDVOSB (proportion)</w:t>
            </w:r>
          </w:p>
        </w:tc>
        <w:tc>
          <w:tcPr>
            <w:tcW w:type="dxa" w:w="1080"/>
          </w:tcPr>
          <w:p>
            <w:pPr>
              <w:spacing w:line="240" w:lineRule="auto"/>
            </w:pPr>
            <w:r>
              <w:rPr>
                <w:rFonts w:ascii="Times New Roman" w:hAnsi="Times New Roman"/>
                <w:sz w:val="20"/>
              </w:rPr>
              <w:t>–</w:t>
            </w:r>
          </w:p>
        </w:tc>
        <w:tc>
          <w:tcPr>
            <w:tcW w:type="dxa" w:w="1080"/>
          </w:tcPr>
          <w:p>
            <w:pPr>
              <w:spacing w:line="240" w:lineRule="auto"/>
            </w:pPr>
            <w:r>
              <w:rPr>
                <w:rFonts w:ascii="Times New Roman" w:hAnsi="Times New Roman"/>
                <w:sz w:val="20"/>
              </w:rPr>
              <w:t>–</w:t>
            </w:r>
          </w:p>
        </w:tc>
        <w:tc>
          <w:tcPr>
            <w:tcW w:type="dxa" w:w="1080"/>
          </w:tcPr>
          <w:p>
            <w:pPr>
              <w:spacing w:line="240" w:lineRule="auto"/>
            </w:pPr>
            <w:r>
              <w:rPr>
                <w:rFonts w:ascii="Times New Roman" w:hAnsi="Times New Roman"/>
                <w:sz w:val="20"/>
              </w:rPr>
              <w:t>–</w:t>
            </w:r>
          </w:p>
        </w:tc>
        <w:tc>
          <w:tcPr>
            <w:tcW w:type="dxa" w:w="1080"/>
          </w:tcPr>
          <w:p>
            <w:pPr>
              <w:spacing w:line="240" w:lineRule="auto"/>
            </w:pPr>
            <w:r>
              <w:rPr>
                <w:rFonts w:ascii="Times New Roman" w:hAnsi="Times New Roman"/>
                <w:sz w:val="20"/>
              </w:rPr>
              <w:t>–</w:t>
            </w:r>
          </w:p>
        </w:tc>
        <w:tc>
          <w:tcPr>
            <w:tcW w:type="dxa" w:w="1080"/>
          </w:tcPr>
          <w:p>
            <w:pPr>
              <w:spacing w:line="240" w:lineRule="auto"/>
            </w:pPr>
            <w:r>
              <w:rPr>
                <w:rFonts w:ascii="Times New Roman" w:hAnsi="Times New Roman"/>
                <w:sz w:val="20"/>
              </w:rPr>
              <w:t>–</w:t>
            </w:r>
          </w:p>
        </w:tc>
        <w:tc>
          <w:tcPr>
            <w:tcW w:type="dxa" w:w="1080"/>
          </w:tcPr>
          <w:p>
            <w:pPr>
              <w:spacing w:line="240" w:lineRule="auto"/>
            </w:pPr>
            <w:r>
              <w:rPr>
                <w:rFonts w:ascii="Times New Roman" w:hAnsi="Times New Roman"/>
                <w:sz w:val="20"/>
              </w:rPr>
              <w:t>–</w:t>
            </w:r>
          </w:p>
        </w:tc>
        <w:tc>
          <w:tcPr>
            <w:tcW w:type="dxa" w:w="1080"/>
          </w:tcPr>
          <w:p>
            <w:pPr>
              <w:spacing w:line="240" w:lineRule="auto"/>
            </w:pPr>
            <w:r>
              <w:rPr>
                <w:rFonts w:ascii="Times New Roman" w:hAnsi="Times New Roman"/>
                <w:sz w:val="20"/>
              </w:rPr>
              <w:t>–</w:t>
            </w:r>
          </w:p>
        </w:tc>
      </w:tr>
      <w:tr>
        <w:tc>
          <w:tcPr>
            <w:tcW w:type="dxa" w:w="1080"/>
          </w:tcPr>
          <w:p>
            <w:pPr>
              <w:spacing w:line="240" w:lineRule="auto"/>
            </w:pPr>
            <w:r>
              <w:rPr>
                <w:rFonts w:ascii="Times New Roman" w:hAnsi="Times New Roman"/>
                <w:sz w:val="20"/>
              </w:rPr>
              <w:t>Set-Aside: WOSB (proportion)</w:t>
            </w:r>
          </w:p>
        </w:tc>
        <w:tc>
          <w:tcPr>
            <w:tcW w:type="dxa" w:w="1080"/>
          </w:tcPr>
          <w:p>
            <w:pPr>
              <w:spacing w:line="240" w:lineRule="auto"/>
            </w:pPr>
            <w:r>
              <w:rPr>
                <w:rFonts w:ascii="Times New Roman" w:hAnsi="Times New Roman"/>
                <w:sz w:val="20"/>
              </w:rPr>
              <w:t>–</w:t>
            </w:r>
          </w:p>
        </w:tc>
        <w:tc>
          <w:tcPr>
            <w:tcW w:type="dxa" w:w="1080"/>
          </w:tcPr>
          <w:p>
            <w:pPr>
              <w:spacing w:line="240" w:lineRule="auto"/>
            </w:pPr>
            <w:r>
              <w:rPr>
                <w:rFonts w:ascii="Times New Roman" w:hAnsi="Times New Roman"/>
                <w:sz w:val="20"/>
              </w:rPr>
              <w:t>–</w:t>
            </w:r>
          </w:p>
        </w:tc>
        <w:tc>
          <w:tcPr>
            <w:tcW w:type="dxa" w:w="1080"/>
          </w:tcPr>
          <w:p>
            <w:pPr>
              <w:spacing w:line="240" w:lineRule="auto"/>
            </w:pPr>
            <w:r>
              <w:rPr>
                <w:rFonts w:ascii="Times New Roman" w:hAnsi="Times New Roman"/>
                <w:sz w:val="20"/>
              </w:rPr>
              <w:t>–</w:t>
            </w:r>
          </w:p>
        </w:tc>
        <w:tc>
          <w:tcPr>
            <w:tcW w:type="dxa" w:w="1080"/>
          </w:tcPr>
          <w:p>
            <w:pPr>
              <w:spacing w:line="240" w:lineRule="auto"/>
            </w:pPr>
            <w:r>
              <w:rPr>
                <w:rFonts w:ascii="Times New Roman" w:hAnsi="Times New Roman"/>
                <w:sz w:val="20"/>
              </w:rPr>
              <w:t>–</w:t>
            </w:r>
          </w:p>
        </w:tc>
        <w:tc>
          <w:tcPr>
            <w:tcW w:type="dxa" w:w="1080"/>
          </w:tcPr>
          <w:p>
            <w:pPr>
              <w:spacing w:line="240" w:lineRule="auto"/>
            </w:pPr>
            <w:r>
              <w:rPr>
                <w:rFonts w:ascii="Times New Roman" w:hAnsi="Times New Roman"/>
                <w:sz w:val="20"/>
              </w:rPr>
              <w:t>–</w:t>
            </w:r>
          </w:p>
        </w:tc>
        <w:tc>
          <w:tcPr>
            <w:tcW w:type="dxa" w:w="1080"/>
          </w:tcPr>
          <w:p>
            <w:pPr>
              <w:spacing w:line="240" w:lineRule="auto"/>
            </w:pPr>
            <w:r>
              <w:rPr>
                <w:rFonts w:ascii="Times New Roman" w:hAnsi="Times New Roman"/>
                <w:sz w:val="20"/>
              </w:rPr>
              <w:t>–</w:t>
            </w:r>
          </w:p>
        </w:tc>
        <w:tc>
          <w:tcPr>
            <w:tcW w:type="dxa" w:w="1080"/>
          </w:tcPr>
          <w:p>
            <w:pPr>
              <w:spacing w:line="240" w:lineRule="auto"/>
            </w:pPr>
            <w:r>
              <w:rPr>
                <w:rFonts w:ascii="Times New Roman" w:hAnsi="Times New Roman"/>
                <w:sz w:val="20"/>
              </w:rPr>
              <w:t>–</w:t>
            </w:r>
          </w:p>
        </w:tc>
      </w:tr>
      <w:tr>
        <w:tc>
          <w:tcPr>
            <w:tcW w:type="dxa" w:w="1080"/>
          </w:tcPr>
          <w:p>
            <w:pPr>
              <w:spacing w:line="240" w:lineRule="auto"/>
            </w:pPr>
            <w:r>
              <w:rPr>
                <w:rFonts w:ascii="Times New Roman" w:hAnsi="Times New Roman"/>
                <w:sz w:val="20"/>
              </w:rPr>
              <w:t>DoD (proportion)</w:t>
            </w:r>
          </w:p>
        </w:tc>
        <w:tc>
          <w:tcPr>
            <w:tcW w:type="dxa" w:w="1080"/>
          </w:tcPr>
          <w:p>
            <w:pPr>
              <w:spacing w:line="240" w:lineRule="auto"/>
            </w:pPr>
            <w:r>
              <w:rPr>
                <w:rFonts w:ascii="Times New Roman" w:hAnsi="Times New Roman"/>
                <w:sz w:val="20"/>
              </w:rPr>
              <w:t>–</w:t>
            </w:r>
          </w:p>
        </w:tc>
        <w:tc>
          <w:tcPr>
            <w:tcW w:type="dxa" w:w="1080"/>
          </w:tcPr>
          <w:p>
            <w:pPr>
              <w:spacing w:line="240" w:lineRule="auto"/>
            </w:pPr>
            <w:r>
              <w:rPr>
                <w:rFonts w:ascii="Times New Roman" w:hAnsi="Times New Roman"/>
                <w:sz w:val="20"/>
              </w:rPr>
              <w:t>–</w:t>
            </w:r>
          </w:p>
        </w:tc>
        <w:tc>
          <w:tcPr>
            <w:tcW w:type="dxa" w:w="1080"/>
          </w:tcPr>
          <w:p>
            <w:pPr>
              <w:spacing w:line="240" w:lineRule="auto"/>
            </w:pPr>
            <w:r>
              <w:rPr>
                <w:rFonts w:ascii="Times New Roman" w:hAnsi="Times New Roman"/>
                <w:sz w:val="20"/>
              </w:rPr>
              <w:t>–</w:t>
            </w:r>
          </w:p>
        </w:tc>
        <w:tc>
          <w:tcPr>
            <w:tcW w:type="dxa" w:w="1080"/>
          </w:tcPr>
          <w:p>
            <w:pPr>
              <w:spacing w:line="240" w:lineRule="auto"/>
            </w:pPr>
            <w:r>
              <w:rPr>
                <w:rFonts w:ascii="Times New Roman" w:hAnsi="Times New Roman"/>
                <w:sz w:val="20"/>
              </w:rPr>
              <w:t>–</w:t>
            </w:r>
          </w:p>
        </w:tc>
        <w:tc>
          <w:tcPr>
            <w:tcW w:type="dxa" w:w="1080"/>
          </w:tcPr>
          <w:p>
            <w:pPr>
              <w:spacing w:line="240" w:lineRule="auto"/>
            </w:pPr>
            <w:r>
              <w:rPr>
                <w:rFonts w:ascii="Times New Roman" w:hAnsi="Times New Roman"/>
                <w:sz w:val="20"/>
              </w:rPr>
              <w:t>–</w:t>
            </w:r>
          </w:p>
        </w:tc>
        <w:tc>
          <w:tcPr>
            <w:tcW w:type="dxa" w:w="1080"/>
          </w:tcPr>
          <w:p>
            <w:pPr>
              <w:spacing w:line="240" w:lineRule="auto"/>
            </w:pPr>
            <w:r>
              <w:rPr>
                <w:rFonts w:ascii="Times New Roman" w:hAnsi="Times New Roman"/>
                <w:sz w:val="20"/>
              </w:rPr>
              <w:t>–</w:t>
            </w:r>
          </w:p>
        </w:tc>
        <w:tc>
          <w:tcPr>
            <w:tcW w:type="dxa" w:w="1080"/>
          </w:tcPr>
          <w:p>
            <w:pPr>
              <w:spacing w:line="240" w:lineRule="auto"/>
            </w:pPr>
            <w:r>
              <w:rPr>
                <w:rFonts w:ascii="Times New Roman" w:hAnsi="Times New Roman"/>
                <w:sz w:val="20"/>
              </w:rPr>
              <w:t>–</w:t>
            </w:r>
          </w:p>
        </w:tc>
      </w:tr>
      <w:tr>
        <w:tc>
          <w:tcPr>
            <w:tcW w:type="dxa" w:w="1080"/>
          </w:tcPr>
          <w:p>
            <w:pPr>
              <w:spacing w:line="240" w:lineRule="auto"/>
            </w:pPr>
            <w:r>
              <w:rPr>
                <w:rFonts w:ascii="Times New Roman" w:hAnsi="Times New Roman"/>
                <w:sz w:val="20"/>
              </w:rPr>
              <w:t>FY2020 (proportion)</w:t>
            </w:r>
          </w:p>
        </w:tc>
        <w:tc>
          <w:tcPr>
            <w:tcW w:type="dxa" w:w="1080"/>
          </w:tcPr>
          <w:p>
            <w:pPr>
              <w:spacing w:line="240" w:lineRule="auto"/>
            </w:pPr>
            <w:r>
              <w:rPr>
                <w:rFonts w:ascii="Times New Roman" w:hAnsi="Times New Roman"/>
                <w:sz w:val="20"/>
              </w:rPr>
              <w:t>–</w:t>
            </w:r>
          </w:p>
        </w:tc>
        <w:tc>
          <w:tcPr>
            <w:tcW w:type="dxa" w:w="1080"/>
          </w:tcPr>
          <w:p>
            <w:pPr>
              <w:spacing w:line="240" w:lineRule="auto"/>
            </w:pPr>
            <w:r>
              <w:rPr>
                <w:rFonts w:ascii="Times New Roman" w:hAnsi="Times New Roman"/>
                <w:sz w:val="20"/>
              </w:rPr>
              <w:t>–</w:t>
            </w:r>
          </w:p>
        </w:tc>
        <w:tc>
          <w:tcPr>
            <w:tcW w:type="dxa" w:w="1080"/>
          </w:tcPr>
          <w:p>
            <w:pPr>
              <w:spacing w:line="240" w:lineRule="auto"/>
            </w:pPr>
            <w:r>
              <w:rPr>
                <w:rFonts w:ascii="Times New Roman" w:hAnsi="Times New Roman"/>
                <w:sz w:val="20"/>
              </w:rPr>
              <w:t>–</w:t>
            </w:r>
          </w:p>
        </w:tc>
        <w:tc>
          <w:tcPr>
            <w:tcW w:type="dxa" w:w="1080"/>
          </w:tcPr>
          <w:p>
            <w:pPr>
              <w:spacing w:line="240" w:lineRule="auto"/>
            </w:pPr>
            <w:r>
              <w:rPr>
                <w:rFonts w:ascii="Times New Roman" w:hAnsi="Times New Roman"/>
                <w:sz w:val="20"/>
              </w:rPr>
              <w:t>–</w:t>
            </w:r>
          </w:p>
        </w:tc>
        <w:tc>
          <w:tcPr>
            <w:tcW w:type="dxa" w:w="1080"/>
          </w:tcPr>
          <w:p>
            <w:pPr>
              <w:spacing w:line="240" w:lineRule="auto"/>
            </w:pPr>
            <w:r>
              <w:rPr>
                <w:rFonts w:ascii="Times New Roman" w:hAnsi="Times New Roman"/>
                <w:sz w:val="20"/>
              </w:rPr>
              <w:t>–</w:t>
            </w:r>
          </w:p>
        </w:tc>
        <w:tc>
          <w:tcPr>
            <w:tcW w:type="dxa" w:w="1080"/>
          </w:tcPr>
          <w:p>
            <w:pPr>
              <w:spacing w:line="240" w:lineRule="auto"/>
            </w:pPr>
            <w:r>
              <w:rPr>
                <w:rFonts w:ascii="Times New Roman" w:hAnsi="Times New Roman"/>
                <w:sz w:val="20"/>
              </w:rPr>
              <w:t>–</w:t>
            </w:r>
          </w:p>
        </w:tc>
        <w:tc>
          <w:tcPr>
            <w:tcW w:type="dxa" w:w="1080"/>
          </w:tcPr>
          <w:p>
            <w:pPr>
              <w:spacing w:line="240" w:lineRule="auto"/>
            </w:pPr>
            <w:r>
              <w:rPr>
                <w:rFonts w:ascii="Times New Roman" w:hAnsi="Times New Roman"/>
                <w:sz w:val="20"/>
              </w:rPr>
              <w:t>–</w:t>
            </w:r>
          </w:p>
        </w:tc>
      </w:tr>
      <w:tr>
        <w:tc>
          <w:tcPr>
            <w:tcW w:type="dxa" w:w="1080"/>
          </w:tcPr>
          <w:p>
            <w:pPr>
              <w:spacing w:line="240" w:lineRule="auto"/>
            </w:pPr>
            <w:r>
              <w:rPr>
                <w:rFonts w:ascii="Times New Roman" w:hAnsi="Times New Roman"/>
                <w:sz w:val="20"/>
              </w:rPr>
              <w:t>FY2021 (proportion)</w:t>
            </w:r>
          </w:p>
        </w:tc>
        <w:tc>
          <w:tcPr>
            <w:tcW w:type="dxa" w:w="1080"/>
          </w:tcPr>
          <w:p>
            <w:pPr>
              <w:spacing w:line="240" w:lineRule="auto"/>
            </w:pPr>
            <w:r>
              <w:rPr>
                <w:rFonts w:ascii="Times New Roman" w:hAnsi="Times New Roman"/>
                <w:sz w:val="20"/>
              </w:rPr>
              <w:t>–</w:t>
            </w:r>
          </w:p>
        </w:tc>
        <w:tc>
          <w:tcPr>
            <w:tcW w:type="dxa" w:w="1080"/>
          </w:tcPr>
          <w:p>
            <w:pPr>
              <w:spacing w:line="240" w:lineRule="auto"/>
            </w:pPr>
            <w:r>
              <w:rPr>
                <w:rFonts w:ascii="Times New Roman" w:hAnsi="Times New Roman"/>
                <w:sz w:val="20"/>
              </w:rPr>
              <w:t>–</w:t>
            </w:r>
          </w:p>
        </w:tc>
        <w:tc>
          <w:tcPr>
            <w:tcW w:type="dxa" w:w="1080"/>
          </w:tcPr>
          <w:p>
            <w:pPr>
              <w:spacing w:line="240" w:lineRule="auto"/>
            </w:pPr>
            <w:r>
              <w:rPr>
                <w:rFonts w:ascii="Times New Roman" w:hAnsi="Times New Roman"/>
                <w:sz w:val="20"/>
              </w:rPr>
              <w:t>–</w:t>
            </w:r>
          </w:p>
        </w:tc>
        <w:tc>
          <w:tcPr>
            <w:tcW w:type="dxa" w:w="1080"/>
          </w:tcPr>
          <w:p>
            <w:pPr>
              <w:spacing w:line="240" w:lineRule="auto"/>
            </w:pPr>
            <w:r>
              <w:rPr>
                <w:rFonts w:ascii="Times New Roman" w:hAnsi="Times New Roman"/>
                <w:sz w:val="20"/>
              </w:rPr>
              <w:t>–</w:t>
            </w:r>
          </w:p>
        </w:tc>
        <w:tc>
          <w:tcPr>
            <w:tcW w:type="dxa" w:w="1080"/>
          </w:tcPr>
          <w:p>
            <w:pPr>
              <w:spacing w:line="240" w:lineRule="auto"/>
            </w:pPr>
            <w:r>
              <w:rPr>
                <w:rFonts w:ascii="Times New Roman" w:hAnsi="Times New Roman"/>
                <w:sz w:val="20"/>
              </w:rPr>
              <w:t>–</w:t>
            </w:r>
          </w:p>
        </w:tc>
        <w:tc>
          <w:tcPr>
            <w:tcW w:type="dxa" w:w="1080"/>
          </w:tcPr>
          <w:p>
            <w:pPr>
              <w:spacing w:line="240" w:lineRule="auto"/>
            </w:pPr>
            <w:r>
              <w:rPr>
                <w:rFonts w:ascii="Times New Roman" w:hAnsi="Times New Roman"/>
                <w:sz w:val="20"/>
              </w:rPr>
              <w:t>–</w:t>
            </w:r>
          </w:p>
        </w:tc>
        <w:tc>
          <w:tcPr>
            <w:tcW w:type="dxa" w:w="1080"/>
          </w:tcPr>
          <w:p>
            <w:pPr>
              <w:spacing w:line="240" w:lineRule="auto"/>
            </w:pPr>
            <w:r>
              <w:rPr>
                <w:rFonts w:ascii="Times New Roman" w:hAnsi="Times New Roman"/>
                <w:sz w:val="20"/>
              </w:rPr>
              <w:t>–</w:t>
            </w:r>
          </w:p>
        </w:tc>
      </w:tr>
      <w:tr>
        <w:tc>
          <w:tcPr>
            <w:tcW w:type="dxa" w:w="1080"/>
          </w:tcPr>
          <w:p>
            <w:pPr>
              <w:spacing w:line="240" w:lineRule="auto"/>
            </w:pPr>
            <w:r>
              <w:rPr>
                <w:rFonts w:ascii="Times New Roman" w:hAnsi="Times New Roman"/>
                <w:sz w:val="20"/>
              </w:rPr>
              <w:t>FY2022 (proportion)</w:t>
            </w:r>
          </w:p>
        </w:tc>
        <w:tc>
          <w:tcPr>
            <w:tcW w:type="dxa" w:w="1080"/>
          </w:tcPr>
          <w:p>
            <w:pPr>
              <w:spacing w:line="240" w:lineRule="auto"/>
            </w:pPr>
            <w:r>
              <w:rPr>
                <w:rFonts w:ascii="Times New Roman" w:hAnsi="Times New Roman"/>
                <w:sz w:val="20"/>
              </w:rPr>
              <w:t>–</w:t>
            </w:r>
          </w:p>
        </w:tc>
        <w:tc>
          <w:tcPr>
            <w:tcW w:type="dxa" w:w="1080"/>
          </w:tcPr>
          <w:p>
            <w:pPr>
              <w:spacing w:line="240" w:lineRule="auto"/>
            </w:pPr>
            <w:r>
              <w:rPr>
                <w:rFonts w:ascii="Times New Roman" w:hAnsi="Times New Roman"/>
                <w:sz w:val="20"/>
              </w:rPr>
              <w:t>–</w:t>
            </w:r>
          </w:p>
        </w:tc>
        <w:tc>
          <w:tcPr>
            <w:tcW w:type="dxa" w:w="1080"/>
          </w:tcPr>
          <w:p>
            <w:pPr>
              <w:spacing w:line="240" w:lineRule="auto"/>
            </w:pPr>
            <w:r>
              <w:rPr>
                <w:rFonts w:ascii="Times New Roman" w:hAnsi="Times New Roman"/>
                <w:sz w:val="20"/>
              </w:rPr>
              <w:t>–</w:t>
            </w:r>
          </w:p>
        </w:tc>
        <w:tc>
          <w:tcPr>
            <w:tcW w:type="dxa" w:w="1080"/>
          </w:tcPr>
          <w:p>
            <w:pPr>
              <w:spacing w:line="240" w:lineRule="auto"/>
            </w:pPr>
            <w:r>
              <w:rPr>
                <w:rFonts w:ascii="Times New Roman" w:hAnsi="Times New Roman"/>
                <w:sz w:val="20"/>
              </w:rPr>
              <w:t>–</w:t>
            </w:r>
          </w:p>
        </w:tc>
        <w:tc>
          <w:tcPr>
            <w:tcW w:type="dxa" w:w="1080"/>
          </w:tcPr>
          <w:p>
            <w:pPr>
              <w:spacing w:line="240" w:lineRule="auto"/>
            </w:pPr>
            <w:r>
              <w:rPr>
                <w:rFonts w:ascii="Times New Roman" w:hAnsi="Times New Roman"/>
                <w:sz w:val="20"/>
              </w:rPr>
              <w:t>–</w:t>
            </w:r>
          </w:p>
        </w:tc>
        <w:tc>
          <w:tcPr>
            <w:tcW w:type="dxa" w:w="1080"/>
          </w:tcPr>
          <w:p>
            <w:pPr>
              <w:spacing w:line="240" w:lineRule="auto"/>
            </w:pPr>
            <w:r>
              <w:rPr>
                <w:rFonts w:ascii="Times New Roman" w:hAnsi="Times New Roman"/>
                <w:sz w:val="20"/>
              </w:rPr>
              <w:t>–</w:t>
            </w:r>
          </w:p>
        </w:tc>
        <w:tc>
          <w:tcPr>
            <w:tcW w:type="dxa" w:w="1080"/>
          </w:tcPr>
          <w:p>
            <w:pPr>
              <w:spacing w:line="240" w:lineRule="auto"/>
            </w:pPr>
            <w:r>
              <w:rPr>
                <w:rFonts w:ascii="Times New Roman" w:hAnsi="Times New Roman"/>
                <w:sz w:val="20"/>
              </w:rPr>
              <w:t>–</w:t>
            </w:r>
          </w:p>
        </w:tc>
      </w:tr>
      <w:tr>
        <w:tc>
          <w:tcPr>
            <w:tcW w:type="dxa" w:w="1080"/>
          </w:tcPr>
          <w:p>
            <w:pPr>
              <w:spacing w:line="240" w:lineRule="auto"/>
            </w:pPr>
            <w:r>
              <w:rPr>
                <w:rFonts w:ascii="Times New Roman" w:hAnsi="Times New Roman"/>
                <w:sz w:val="20"/>
              </w:rPr>
              <w:t>FY2023 (proportion)</w:t>
            </w:r>
          </w:p>
        </w:tc>
        <w:tc>
          <w:tcPr>
            <w:tcW w:type="dxa" w:w="1080"/>
          </w:tcPr>
          <w:p>
            <w:pPr>
              <w:spacing w:line="240" w:lineRule="auto"/>
            </w:pPr>
            <w:r>
              <w:rPr>
                <w:rFonts w:ascii="Times New Roman" w:hAnsi="Times New Roman"/>
                <w:sz w:val="20"/>
              </w:rPr>
              <w:t>–</w:t>
            </w:r>
          </w:p>
        </w:tc>
        <w:tc>
          <w:tcPr>
            <w:tcW w:type="dxa" w:w="1080"/>
          </w:tcPr>
          <w:p>
            <w:pPr>
              <w:spacing w:line="240" w:lineRule="auto"/>
            </w:pPr>
            <w:r>
              <w:rPr>
                <w:rFonts w:ascii="Times New Roman" w:hAnsi="Times New Roman"/>
                <w:sz w:val="20"/>
              </w:rPr>
              <w:t>–</w:t>
            </w:r>
          </w:p>
        </w:tc>
        <w:tc>
          <w:tcPr>
            <w:tcW w:type="dxa" w:w="1080"/>
          </w:tcPr>
          <w:p>
            <w:pPr>
              <w:spacing w:line="240" w:lineRule="auto"/>
            </w:pPr>
            <w:r>
              <w:rPr>
                <w:rFonts w:ascii="Times New Roman" w:hAnsi="Times New Roman"/>
                <w:sz w:val="20"/>
              </w:rPr>
              <w:t>–</w:t>
            </w:r>
          </w:p>
        </w:tc>
        <w:tc>
          <w:tcPr>
            <w:tcW w:type="dxa" w:w="1080"/>
          </w:tcPr>
          <w:p>
            <w:pPr>
              <w:spacing w:line="240" w:lineRule="auto"/>
            </w:pPr>
            <w:r>
              <w:rPr>
                <w:rFonts w:ascii="Times New Roman" w:hAnsi="Times New Roman"/>
                <w:sz w:val="20"/>
              </w:rPr>
              <w:t>–</w:t>
            </w:r>
          </w:p>
        </w:tc>
        <w:tc>
          <w:tcPr>
            <w:tcW w:type="dxa" w:w="1080"/>
          </w:tcPr>
          <w:p>
            <w:pPr>
              <w:spacing w:line="240" w:lineRule="auto"/>
            </w:pPr>
            <w:r>
              <w:rPr>
                <w:rFonts w:ascii="Times New Roman" w:hAnsi="Times New Roman"/>
                <w:sz w:val="20"/>
              </w:rPr>
              <w:t>–</w:t>
            </w:r>
          </w:p>
        </w:tc>
        <w:tc>
          <w:tcPr>
            <w:tcW w:type="dxa" w:w="1080"/>
          </w:tcPr>
          <w:p>
            <w:pPr>
              <w:spacing w:line="240" w:lineRule="auto"/>
            </w:pPr>
            <w:r>
              <w:rPr>
                <w:rFonts w:ascii="Times New Roman" w:hAnsi="Times New Roman"/>
                <w:sz w:val="20"/>
              </w:rPr>
              <w:t>–</w:t>
            </w:r>
          </w:p>
        </w:tc>
        <w:tc>
          <w:tcPr>
            <w:tcW w:type="dxa" w:w="1080"/>
          </w:tcPr>
          <w:p>
            <w:pPr>
              <w:spacing w:line="240" w:lineRule="auto"/>
            </w:pPr>
            <w:r>
              <w:rPr>
                <w:rFonts w:ascii="Times New Roman" w:hAnsi="Times New Roman"/>
                <w:sz w:val="20"/>
              </w:rPr>
              <w:t>–</w:t>
            </w:r>
          </w:p>
        </w:tc>
      </w:tr>
      <w:tr>
        <w:tc>
          <w:tcPr>
            <w:tcW w:type="dxa" w:w="1080"/>
          </w:tcPr>
          <w:p>
            <w:pPr>
              <w:spacing w:line="240" w:lineRule="auto"/>
            </w:pPr>
            <w:r>
              <w:rPr>
                <w:rFonts w:ascii="Times New Roman" w:hAnsi="Times New Roman"/>
                <w:sz w:val="20"/>
              </w:rPr>
              <w:t>FY2024 (proportion)</w:t>
            </w:r>
          </w:p>
        </w:tc>
        <w:tc>
          <w:tcPr>
            <w:tcW w:type="dxa" w:w="1080"/>
          </w:tcPr>
          <w:p>
            <w:pPr>
              <w:spacing w:line="240" w:lineRule="auto"/>
            </w:pPr>
            <w:r>
              <w:rPr>
                <w:rFonts w:ascii="Times New Roman" w:hAnsi="Times New Roman"/>
                <w:sz w:val="20"/>
              </w:rPr>
              <w:t>–</w:t>
            </w:r>
          </w:p>
        </w:tc>
        <w:tc>
          <w:tcPr>
            <w:tcW w:type="dxa" w:w="1080"/>
          </w:tcPr>
          <w:p>
            <w:pPr>
              <w:spacing w:line="240" w:lineRule="auto"/>
            </w:pPr>
            <w:r>
              <w:rPr>
                <w:rFonts w:ascii="Times New Roman" w:hAnsi="Times New Roman"/>
                <w:sz w:val="20"/>
              </w:rPr>
              <w:t>–</w:t>
            </w:r>
          </w:p>
        </w:tc>
        <w:tc>
          <w:tcPr>
            <w:tcW w:type="dxa" w:w="1080"/>
          </w:tcPr>
          <w:p>
            <w:pPr>
              <w:spacing w:line="240" w:lineRule="auto"/>
            </w:pPr>
            <w:r>
              <w:rPr>
                <w:rFonts w:ascii="Times New Roman" w:hAnsi="Times New Roman"/>
                <w:sz w:val="20"/>
              </w:rPr>
              <w:t>–</w:t>
            </w:r>
          </w:p>
        </w:tc>
        <w:tc>
          <w:tcPr>
            <w:tcW w:type="dxa" w:w="1080"/>
          </w:tcPr>
          <w:p>
            <w:pPr>
              <w:spacing w:line="240" w:lineRule="auto"/>
            </w:pPr>
            <w:r>
              <w:rPr>
                <w:rFonts w:ascii="Times New Roman" w:hAnsi="Times New Roman"/>
                <w:sz w:val="20"/>
              </w:rPr>
              <w:t>–</w:t>
            </w:r>
          </w:p>
        </w:tc>
        <w:tc>
          <w:tcPr>
            <w:tcW w:type="dxa" w:w="1080"/>
          </w:tcPr>
          <w:p>
            <w:pPr>
              <w:spacing w:line="240" w:lineRule="auto"/>
            </w:pPr>
            <w:r>
              <w:rPr>
                <w:rFonts w:ascii="Times New Roman" w:hAnsi="Times New Roman"/>
                <w:sz w:val="20"/>
              </w:rPr>
              <w:t>–</w:t>
            </w:r>
          </w:p>
        </w:tc>
        <w:tc>
          <w:tcPr>
            <w:tcW w:type="dxa" w:w="1080"/>
          </w:tcPr>
          <w:p>
            <w:pPr>
              <w:spacing w:line="240" w:lineRule="auto"/>
            </w:pPr>
            <w:r>
              <w:rPr>
                <w:rFonts w:ascii="Times New Roman" w:hAnsi="Times New Roman"/>
                <w:sz w:val="20"/>
              </w:rPr>
              <w:t>–</w:t>
            </w:r>
          </w:p>
        </w:tc>
        <w:tc>
          <w:tcPr>
            <w:tcW w:type="dxa" w:w="1080"/>
          </w:tcPr>
          <w:p>
            <w:pPr>
              <w:spacing w:line="240" w:lineRule="auto"/>
            </w:pPr>
            <w:r>
              <w:rPr>
                <w:rFonts w:ascii="Times New Roman" w:hAnsi="Times New Roman"/>
                <w:sz w:val="20"/>
              </w:rPr>
              <w:t>–</w:t>
            </w:r>
          </w:p>
        </w:tc>
      </w:tr>
      <w:tr>
        <w:tc>
          <w:tcPr>
            <w:tcW w:type="dxa" w:w="1080"/>
          </w:tcPr>
          <w:p>
            <w:pPr>
              <w:spacing w:line="240" w:lineRule="auto"/>
            </w:pPr>
            <w:r>
              <w:rPr>
                <w:rFonts w:ascii="Times New Roman" w:hAnsi="Times New Roman"/>
                <w:sz w:val="20"/>
              </w:rPr>
              <w:t>FY2025 (proportion)</w:t>
            </w:r>
          </w:p>
        </w:tc>
        <w:tc>
          <w:tcPr>
            <w:tcW w:type="dxa" w:w="1080"/>
          </w:tcPr>
          <w:p>
            <w:pPr>
              <w:spacing w:line="240" w:lineRule="auto"/>
            </w:pPr>
            <w:r>
              <w:rPr>
                <w:rFonts w:ascii="Times New Roman" w:hAnsi="Times New Roman"/>
                <w:sz w:val="20"/>
              </w:rPr>
              <w:t>–</w:t>
            </w:r>
          </w:p>
        </w:tc>
        <w:tc>
          <w:tcPr>
            <w:tcW w:type="dxa" w:w="1080"/>
          </w:tcPr>
          <w:p>
            <w:pPr>
              <w:spacing w:line="240" w:lineRule="auto"/>
            </w:pPr>
            <w:r>
              <w:rPr>
                <w:rFonts w:ascii="Times New Roman" w:hAnsi="Times New Roman"/>
                <w:sz w:val="20"/>
              </w:rPr>
              <w:t>–</w:t>
            </w:r>
          </w:p>
        </w:tc>
        <w:tc>
          <w:tcPr>
            <w:tcW w:type="dxa" w:w="1080"/>
          </w:tcPr>
          <w:p>
            <w:pPr>
              <w:spacing w:line="240" w:lineRule="auto"/>
            </w:pPr>
            <w:r>
              <w:rPr>
                <w:rFonts w:ascii="Times New Roman" w:hAnsi="Times New Roman"/>
                <w:sz w:val="20"/>
              </w:rPr>
              <w:t>–</w:t>
            </w:r>
          </w:p>
        </w:tc>
        <w:tc>
          <w:tcPr>
            <w:tcW w:type="dxa" w:w="1080"/>
          </w:tcPr>
          <w:p>
            <w:pPr>
              <w:spacing w:line="240" w:lineRule="auto"/>
            </w:pPr>
            <w:r>
              <w:rPr>
                <w:rFonts w:ascii="Times New Roman" w:hAnsi="Times New Roman"/>
                <w:sz w:val="20"/>
              </w:rPr>
              <w:t>–</w:t>
            </w:r>
          </w:p>
        </w:tc>
        <w:tc>
          <w:tcPr>
            <w:tcW w:type="dxa" w:w="1080"/>
          </w:tcPr>
          <w:p>
            <w:pPr>
              <w:spacing w:line="240" w:lineRule="auto"/>
            </w:pPr>
            <w:r>
              <w:rPr>
                <w:rFonts w:ascii="Times New Roman" w:hAnsi="Times New Roman"/>
                <w:sz w:val="20"/>
              </w:rPr>
              <w:t>–</w:t>
            </w:r>
          </w:p>
        </w:tc>
        <w:tc>
          <w:tcPr>
            <w:tcW w:type="dxa" w:w="1080"/>
          </w:tcPr>
          <w:p>
            <w:pPr>
              <w:spacing w:line="240" w:lineRule="auto"/>
            </w:pPr>
            <w:r>
              <w:rPr>
                <w:rFonts w:ascii="Times New Roman" w:hAnsi="Times New Roman"/>
                <w:sz w:val="20"/>
              </w:rPr>
              <w:t>–</w:t>
            </w:r>
          </w:p>
        </w:tc>
        <w:tc>
          <w:tcPr>
            <w:tcW w:type="dxa" w:w="1080"/>
          </w:tcPr>
          <w:p>
            <w:pPr>
              <w:spacing w:line="240" w:lineRule="auto"/>
            </w:pPr>
            <w:r>
              <w:rPr>
                <w:rFonts w:ascii="Times New Roman" w:hAnsi="Times New Roman"/>
                <w:sz w:val="20"/>
              </w:rPr>
              <w:t>–</w:t>
            </w:r>
          </w:p>
        </w:tc>
      </w:tr>
      <w:tr>
        <w:tc>
          <w:tcPr>
            <w:tcW w:type="dxa" w:w="1080"/>
          </w:tcPr>
          <w:p>
            <w:pPr>
              <w:spacing w:line="240" w:lineRule="auto"/>
            </w:pPr>
            <w:r>
              <w:rPr>
                <w:rFonts w:ascii="Times New Roman" w:hAnsi="Times New Roman"/>
                <w:sz w:val="20"/>
              </w:rPr>
              <w:t>Contract Duration (months)</w:t>
            </w:r>
          </w:p>
        </w:tc>
        <w:tc>
          <w:tcPr>
            <w:tcW w:type="dxa" w:w="1080"/>
          </w:tcPr>
          <w:p>
            <w:pPr>
              <w:spacing w:line="240" w:lineRule="auto"/>
            </w:pPr>
            <w:r>
              <w:rPr>
                <w:rFonts w:ascii="Times New Roman" w:hAnsi="Times New Roman"/>
                <w:sz w:val="20"/>
              </w:rPr>
              <w:t>–</w:t>
            </w:r>
          </w:p>
        </w:tc>
        <w:tc>
          <w:tcPr>
            <w:tcW w:type="dxa" w:w="1080"/>
          </w:tcPr>
          <w:p>
            <w:pPr>
              <w:spacing w:line="240" w:lineRule="auto"/>
            </w:pPr>
            <w:r>
              <w:rPr>
                <w:rFonts w:ascii="Times New Roman" w:hAnsi="Times New Roman"/>
                <w:sz w:val="20"/>
              </w:rPr>
              <w:t>–</w:t>
            </w:r>
          </w:p>
        </w:tc>
        <w:tc>
          <w:tcPr>
            <w:tcW w:type="dxa" w:w="1080"/>
          </w:tcPr>
          <w:p>
            <w:pPr>
              <w:spacing w:line="240" w:lineRule="auto"/>
            </w:pPr>
            <w:r>
              <w:rPr>
                <w:rFonts w:ascii="Times New Roman" w:hAnsi="Times New Roman"/>
                <w:sz w:val="20"/>
              </w:rPr>
              <w:t>–</w:t>
            </w:r>
          </w:p>
        </w:tc>
        <w:tc>
          <w:tcPr>
            <w:tcW w:type="dxa" w:w="1080"/>
          </w:tcPr>
          <w:p>
            <w:pPr>
              <w:spacing w:line="240" w:lineRule="auto"/>
            </w:pPr>
            <w:r>
              <w:rPr>
                <w:rFonts w:ascii="Times New Roman" w:hAnsi="Times New Roman"/>
                <w:sz w:val="20"/>
              </w:rPr>
              <w:t>–</w:t>
            </w:r>
          </w:p>
        </w:tc>
        <w:tc>
          <w:tcPr>
            <w:tcW w:type="dxa" w:w="1080"/>
          </w:tcPr>
          <w:p>
            <w:pPr>
              <w:spacing w:line="240" w:lineRule="auto"/>
            </w:pPr>
            <w:r>
              <w:rPr>
                <w:rFonts w:ascii="Times New Roman" w:hAnsi="Times New Roman"/>
                <w:sz w:val="20"/>
              </w:rPr>
              <w:t>–</w:t>
            </w:r>
          </w:p>
        </w:tc>
        <w:tc>
          <w:tcPr>
            <w:tcW w:type="dxa" w:w="1080"/>
          </w:tcPr>
          <w:p>
            <w:pPr>
              <w:spacing w:line="240" w:lineRule="auto"/>
            </w:pPr>
            <w:r>
              <w:rPr>
                <w:rFonts w:ascii="Times New Roman" w:hAnsi="Times New Roman"/>
                <w:sz w:val="20"/>
              </w:rPr>
              <w:t>–</w:t>
            </w:r>
          </w:p>
        </w:tc>
        <w:tc>
          <w:tcPr>
            <w:tcW w:type="dxa" w:w="1080"/>
          </w:tcPr>
          <w:p>
            <w:pPr>
              <w:spacing w:line="240" w:lineRule="auto"/>
            </w:pPr>
            <w:r>
              <w:rPr>
                <w:rFonts w:ascii="Times New Roman" w:hAnsi="Times New Roman"/>
                <w:sz w:val="20"/>
              </w:rPr>
              <w:t>–</w:t>
            </w:r>
          </w:p>
        </w:tc>
      </w:tr>
    </w:tbl>
    <w:p>
      <w:pPr>
        <w:pStyle w:val="Heading3"/>
      </w:pPr>
      <w:r>
        <w:rPr>
          <w:rFonts w:ascii="Times New Roman" w:hAnsi="Times New Roman"/>
          <w:color w:val="000000"/>
        </w:rPr>
        <w:t>C.2 Interpretation Guide</w:t>
      </w:r>
    </w:p>
    <w:p>
      <w:pPr>
        <w:ind w:firstLine="720"/>
      </w:pPr>
      <w:r>
        <w:rPr>
          <w:b/>
        </w:rPr>
        <w:t>Standardized Mean Difference (SMD):</w:t>
      </w:r>
      <w:r>
        <w:t xml:space="preserve"> The difference in means between treatment and control groups, divided by the pooled standard deviation. Following the thresholds established by Rosenbaum and Rubin (1985) and widely adopted in the causal inference literature:</w:t>
      </w:r>
    </w:p>
    <w:p>
      <w:pPr>
        <w:pStyle w:val="ListBullet"/>
      </w:pPr>
      <w:r>
        <w:t>SMD &lt; 0.10: Acceptable balance (negligible imbalance)</w:t>
      </w:r>
    </w:p>
    <w:p>
      <w:pPr>
        <w:pStyle w:val="ListBullet"/>
      </w:pPr>
      <w:r>
        <w:t>SMD 0.10–0.25: Marginal balance (potential concern; sensitivity analysis warranted)</w:t>
      </w:r>
    </w:p>
    <w:p>
      <w:pPr>
        <w:pStyle w:val="ListBullet"/>
      </w:pPr>
      <w:r>
        <w:t>SMD &gt; 0.25: Unacceptable balance (re-specification of propensity score model required)</w:t>
      </w:r>
    </w:p>
    <w:p>
      <w:pPr>
        <w:ind w:firstLine="720"/>
      </w:pPr>
      <w:r>
        <w:rPr>
          <w:b/>
        </w:rPr>
        <w:t>Variance Ratio:</w:t>
      </w:r>
      <w:r>
        <w:t xml:space="preserve"> The ratio of the variance in the treatment group to the variance in the control group, computed for continuous covariates. Following Rubin (2001):</w:t>
      </w:r>
    </w:p>
    <w:p>
      <w:pPr>
        <w:pStyle w:val="ListBullet"/>
      </w:pPr>
      <w:r>
        <w:t>Variance ratio between 0.50 and 2.00: Acceptable</w:t>
      </w:r>
    </w:p>
    <w:p>
      <w:pPr>
        <w:pStyle w:val="ListBullet"/>
      </w:pPr>
      <w:r>
        <w:t>Variance ratio outside this range: Indicates remaining distributional imbalance</w:t>
      </w:r>
    </w:p>
    <w:p>
      <w:pPr>
        <w:pStyle w:val="Heading3"/>
      </w:pPr>
      <w:r>
        <w:rPr>
          <w:rFonts w:ascii="Times New Roman" w:hAnsi="Times New Roman"/>
          <w:color w:val="000000"/>
        </w:rPr>
        <w:t>C.3 Love Plot</w:t>
      </w:r>
    </w:p>
    <w:p>
      <w:pPr>
        <w:ind w:firstLine="720"/>
      </w:pPr>
      <w:r>
        <w:rPr>
          <w:i/>
        </w:rPr>
        <w:t>[Figure C.1: Love plot (dot plot of standardized mean differences before and after matching for all covariates) will be inserted upon completion of the analysis.]</w:t>
      </w:r>
    </w:p>
    <w:p>
      <w:pPr>
        <w:ind w:firstLine="720"/>
      </w:pPr>
      <w:r>
        <w:t>The love plot displays the absolute standardized mean difference for each covariate, with open circles indicating the before-matching value and filled circles indicating the after-matching value. The vertical dashed line at SMD = 0.10 marks the conventional threshold for acceptable balance. Successful matching is indicated by all filled circles falling to the left of the threshold line.</w:t>
      </w:r>
    </w:p>
    <w:p>
      <w:pPr>
        <w:pStyle w:val="Heading3"/>
      </w:pPr>
      <w:r>
        <w:rPr>
          <w:rFonts w:ascii="Times New Roman" w:hAnsi="Times New Roman"/>
          <w:color w:val="000000"/>
        </w:rPr>
        <w:t>C.4 Propensity Score Distribution</w:t>
      </w:r>
    </w:p>
    <w:p>
      <w:pPr>
        <w:ind w:firstLine="720"/>
      </w:pPr>
      <w:r>
        <w:rPr>
          <w:i/>
        </w:rPr>
        <w:t>[Figure C.2: Histograms and/or kernel density plots of the propensity score distribution in the tradeoff and LPTA groups, before and after matching, will be inserted upon completion of the analysis.]</w:t>
      </w:r>
    </w:p>
    <w:p>
      <w:pPr>
        <w:ind w:firstLine="720"/>
      </w:pPr>
      <w:r>
        <w:t>The propensity score distribution plots illustrate the region of common support—the range of propensity scores where both treated and control observations exist. Observations outside the region of common support are excluded from the matched sample. The overlap of the distributions after matching should be substantially improved relative to the unmatched distributions.</w:t>
      </w:r>
    </w:p>
    <w:p>
      <w:pPr>
        <w:pStyle w:val="Heading3"/>
      </w:pPr>
      <w:r>
        <w:rPr>
          <w:rFonts w:ascii="Times New Roman" w:hAnsi="Times New Roman"/>
          <w:color w:val="000000"/>
        </w:rPr>
        <w:t>C.5 Sensitivity Analysis: Rosenbaum Bounds</w:t>
      </w:r>
    </w:p>
    <w:tbl>
      <w:tblPr>
        <w:tblStyle w:val="TableGrid"/>
        <w:tblW w:type="auto" w:w="0"/>
        <w:tblLook w:firstColumn="1" w:firstRow="1" w:lastColumn="0" w:lastRow="0" w:noHBand="0" w:noVBand="1" w:val="04A0"/>
      </w:tblPr>
      <w:tblGrid>
        <w:gridCol w:w="2880"/>
        <w:gridCol w:w="2880"/>
        <w:gridCol w:w="2880"/>
      </w:tblGrid>
      <w:tr>
        <w:tc>
          <w:tcPr>
            <w:tcW w:type="dxa" w:w="2880"/>
          </w:tcPr>
          <w:p>
            <w:pPr>
              <w:spacing w:line="240" w:lineRule="auto"/>
            </w:pPr>
            <w:r>
              <w:rPr>
                <w:rFonts w:ascii="Times New Roman" w:hAnsi="Times New Roman"/>
                <w:b/>
                <w:sz w:val="20"/>
              </w:rPr>
              <w:t>Outcome Variable</w:t>
            </w:r>
          </w:p>
        </w:tc>
        <w:tc>
          <w:tcPr>
            <w:tcW w:type="dxa" w:w="2880"/>
          </w:tcPr>
          <w:p>
            <w:pPr>
              <w:spacing w:line="240" w:lineRule="auto"/>
            </w:pPr>
            <w:r>
              <w:rPr>
                <w:rFonts w:ascii="Times New Roman" w:hAnsi="Times New Roman"/>
                <w:b/>
                <w:sz w:val="20"/>
              </w:rPr>
              <w:t>Critical Gamma</w:t>
            </w:r>
          </w:p>
        </w:tc>
        <w:tc>
          <w:tcPr>
            <w:tcW w:type="dxa" w:w="2880"/>
          </w:tcPr>
          <w:p>
            <w:pPr>
              <w:spacing w:line="240" w:lineRule="auto"/>
            </w:pPr>
            <w:r>
              <w:rPr>
                <w:rFonts w:ascii="Times New Roman" w:hAnsi="Times New Roman"/>
                <w:b/>
                <w:sz w:val="20"/>
              </w:rPr>
              <w:t>Interpretation</w:t>
            </w:r>
          </w:p>
        </w:tc>
      </w:tr>
      <w:tr>
        <w:tc>
          <w:tcPr>
            <w:tcW w:type="dxa" w:w="2880"/>
          </w:tcPr>
          <w:p>
            <w:pPr>
              <w:spacing w:line="240" w:lineRule="auto"/>
            </w:pPr>
            <w:r>
              <w:rPr>
                <w:rFonts w:ascii="Times New Roman" w:hAnsi="Times New Roman"/>
                <w:sz w:val="20"/>
              </w:rPr>
              <w:t>cost_growth_w</w:t>
            </w:r>
          </w:p>
        </w:tc>
        <w:tc>
          <w:tcPr>
            <w:tcW w:type="dxa" w:w="2880"/>
          </w:tcPr>
          <w:p>
            <w:pPr>
              <w:spacing w:line="240" w:lineRule="auto"/>
            </w:pPr>
            <w:r>
              <w:rPr>
                <w:rFonts w:ascii="Times New Roman" w:hAnsi="Times New Roman"/>
                <w:sz w:val="20"/>
              </w:rPr>
              <w:t>–</w:t>
            </w:r>
          </w:p>
        </w:tc>
        <w:tc>
          <w:tcPr>
            <w:tcW w:type="dxa" w:w="2880"/>
          </w:tcPr>
          <w:p>
            <w:pPr>
              <w:spacing w:line="240" w:lineRule="auto"/>
            </w:pPr>
            <w:r>
              <w:rPr>
                <w:rFonts w:ascii="Times New Roman" w:hAnsi="Times New Roman"/>
                <w:sz w:val="20"/>
              </w:rPr>
              <w:t>An unobserved confounder would need to change the odds of tradeoff assignment by a factor of [Gamma] to explain away the estimated treatment effect.</w:t>
            </w:r>
          </w:p>
        </w:tc>
      </w:tr>
      <w:tr>
        <w:tc>
          <w:tcPr>
            <w:tcW w:type="dxa" w:w="2880"/>
          </w:tcPr>
          <w:p>
            <w:pPr>
              <w:spacing w:line="240" w:lineRule="auto"/>
            </w:pPr>
            <w:r>
              <w:rPr>
                <w:rFonts w:ascii="Times New Roman" w:hAnsi="Times New Roman"/>
                <w:sz w:val="20"/>
              </w:rPr>
              <w:t>mod_count</w:t>
            </w:r>
          </w:p>
        </w:tc>
        <w:tc>
          <w:tcPr>
            <w:tcW w:type="dxa" w:w="2880"/>
          </w:tcPr>
          <w:p>
            <w:pPr>
              <w:spacing w:line="240" w:lineRule="auto"/>
            </w:pPr>
            <w:r>
              <w:rPr>
                <w:rFonts w:ascii="Times New Roman" w:hAnsi="Times New Roman"/>
                <w:sz w:val="20"/>
              </w:rPr>
              <w:t>–</w:t>
            </w:r>
          </w:p>
        </w:tc>
        <w:tc>
          <w:tcPr>
            <w:tcW w:type="dxa" w:w="2880"/>
          </w:tcPr>
          <w:p>
            <w:pPr>
              <w:spacing w:line="240" w:lineRule="auto"/>
            </w:pPr>
            <w:r>
              <w:rPr>
                <w:rFonts w:ascii="Times New Roman" w:hAnsi="Times New Roman"/>
                <w:sz w:val="20"/>
              </w:rPr>
              <w:t>[Same interpretation]</w:t>
            </w:r>
          </w:p>
        </w:tc>
      </w:tr>
      <w:tr>
        <w:tc>
          <w:tcPr>
            <w:tcW w:type="dxa" w:w="2880"/>
          </w:tcPr>
          <w:p>
            <w:pPr>
              <w:spacing w:line="240" w:lineRule="auto"/>
            </w:pPr>
            <w:r>
              <w:rPr>
                <w:rFonts w:ascii="Times New Roman" w:hAnsi="Times New Roman"/>
                <w:sz w:val="20"/>
              </w:rPr>
              <w:t>number_of_offers_received</w:t>
            </w:r>
          </w:p>
        </w:tc>
        <w:tc>
          <w:tcPr>
            <w:tcW w:type="dxa" w:w="2880"/>
          </w:tcPr>
          <w:p>
            <w:pPr>
              <w:spacing w:line="240" w:lineRule="auto"/>
            </w:pPr>
            <w:r>
              <w:rPr>
                <w:rFonts w:ascii="Times New Roman" w:hAnsi="Times New Roman"/>
                <w:sz w:val="20"/>
              </w:rPr>
              <w:t>–</w:t>
            </w:r>
          </w:p>
        </w:tc>
        <w:tc>
          <w:tcPr>
            <w:tcW w:type="dxa" w:w="2880"/>
          </w:tcPr>
          <w:p>
            <w:pPr>
              <w:spacing w:line="240" w:lineRule="auto"/>
            </w:pPr>
            <w:r>
              <w:rPr>
                <w:rFonts w:ascii="Times New Roman" w:hAnsi="Times New Roman"/>
                <w:sz w:val="20"/>
              </w:rPr>
              <w:t>[Same interpretation]</w:t>
            </w:r>
          </w:p>
        </w:tc>
      </w:tr>
      <w:tr>
        <w:tc>
          <w:tcPr>
            <w:tcW w:type="dxa" w:w="2880"/>
          </w:tcPr>
          <w:p>
            <w:pPr>
              <w:spacing w:line="240" w:lineRule="auto"/>
            </w:pPr>
            <w:r>
              <w:rPr>
                <w:rFonts w:ascii="Times New Roman" w:hAnsi="Times New Roman"/>
                <w:sz w:val="20"/>
              </w:rPr>
              <w:t>single_bid</w:t>
            </w:r>
          </w:p>
        </w:tc>
        <w:tc>
          <w:tcPr>
            <w:tcW w:type="dxa" w:w="2880"/>
          </w:tcPr>
          <w:p>
            <w:pPr>
              <w:spacing w:line="240" w:lineRule="auto"/>
            </w:pPr>
            <w:r>
              <w:rPr>
                <w:rFonts w:ascii="Times New Roman" w:hAnsi="Times New Roman"/>
                <w:sz w:val="20"/>
              </w:rPr>
              <w:t>–</w:t>
            </w:r>
          </w:p>
        </w:tc>
        <w:tc>
          <w:tcPr>
            <w:tcW w:type="dxa" w:w="2880"/>
          </w:tcPr>
          <w:p>
            <w:pPr>
              <w:spacing w:line="240" w:lineRule="auto"/>
            </w:pPr>
            <w:r>
              <w:rPr>
                <w:rFonts w:ascii="Times New Roman" w:hAnsi="Times New Roman"/>
                <w:sz w:val="20"/>
              </w:rPr>
              <w:t>[Same interpretation]</w:t>
            </w:r>
          </w:p>
        </w:tc>
      </w:tr>
    </w:tbl>
    <w:p>
      <w:pPr>
        <w:ind w:firstLine="720"/>
      </w:pPr>
      <w:r>
        <w:rPr>
          <w:b/>
        </w:rPr>
        <w:t>Interpretation of Critical Gamma:</w:t>
      </w:r>
      <w:r>
        <w:t xml:space="preserve"> Gamma = 1.0 indicates no hidden bias. Gamma = 2.0 means an unmeasured confounder would need to double the odds of receiving the treatment to explain the result. Values above 2.0 are generally considered robust to hidden bias in the social sciences.</w:t>
      </w:r>
    </w:p>
    <w:p>
      <w:pPr>
        <w:pStyle w:val="Heading2"/>
      </w:pPr>
      <w:r>
        <w:rPr>
          <w:rFonts w:ascii="Times New Roman" w:hAnsi="Times New Roman"/>
          <w:color w:val="000000"/>
        </w:rPr>
        <w:t>Appendix D: Robustness Check Results</w:t>
      </w:r>
    </w:p>
    <w:p>
      <w:pPr>
        <w:ind w:firstLine="720"/>
      </w:pPr>
      <w:r>
        <w:t>This appendix presents the complete results of the robustness and sensitivity analyses described in Chapter 3, Section 3.8. Each table reports the coefficient on the tradeoff indicator (or the relevant treatment effect estimate) under alternative specifications, alongside the primary specification for comparison.</w:t>
      </w:r>
    </w:p>
    <w:p>
      <w:pPr>
        <w:ind w:firstLine="720"/>
      </w:pPr>
      <w:r>
        <w:rPr>
          <w:i/>
        </w:rPr>
        <w:t>Note: All coefficient estimates, standard errors, and diagnostics will be populated upon completion of the data analysis.</w:t>
      </w:r>
    </w:p>
    <w:p>
      <w:pPr>
        <w:pStyle w:val="Heading3"/>
      </w:pPr>
      <w:r>
        <w:rPr>
          <w:rFonts w:ascii="Times New Roman" w:hAnsi="Times New Roman"/>
          <w:color w:val="000000"/>
        </w:rPr>
        <w:t>Table D.1: Sensitivity to Cost Growth Operationalization</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pPr>
              <w:spacing w:line="240" w:lineRule="auto"/>
            </w:pPr>
            <w:r>
              <w:rPr>
                <w:rFonts w:ascii="Times New Roman" w:hAnsi="Times New Roman"/>
                <w:b/>
                <w:sz w:val="20"/>
              </w:rPr>
              <w:t>Specification</w:t>
            </w:r>
          </w:p>
        </w:tc>
        <w:tc>
          <w:tcPr>
            <w:tcW w:type="dxa" w:w="1728"/>
          </w:tcPr>
          <w:p>
            <w:pPr>
              <w:spacing w:line="240" w:lineRule="auto"/>
            </w:pPr>
            <w:r>
              <w:rPr>
                <w:rFonts w:ascii="Times New Roman" w:hAnsi="Times New Roman"/>
                <w:b/>
                <w:sz w:val="20"/>
              </w:rPr>
              <w:t>Tradeoff Coefficient</w:t>
            </w:r>
          </w:p>
        </w:tc>
        <w:tc>
          <w:tcPr>
            <w:tcW w:type="dxa" w:w="1728"/>
          </w:tcPr>
          <w:p>
            <w:pPr>
              <w:spacing w:line="240" w:lineRule="auto"/>
            </w:pPr>
            <w:r>
              <w:rPr>
                <w:rFonts w:ascii="Times New Roman" w:hAnsi="Times New Roman"/>
                <w:b/>
                <w:sz w:val="20"/>
              </w:rPr>
              <w:t>SE</w:t>
            </w:r>
          </w:p>
        </w:tc>
        <w:tc>
          <w:tcPr>
            <w:tcW w:type="dxa" w:w="1728"/>
          </w:tcPr>
          <w:p>
            <w:pPr>
              <w:spacing w:line="240" w:lineRule="auto"/>
            </w:pPr>
            <w:r>
              <w:rPr>
                <w:rFonts w:ascii="Times New Roman" w:hAnsi="Times New Roman"/>
                <w:b/>
                <w:sz w:val="20"/>
              </w:rPr>
              <w:t>p-value</w:t>
            </w:r>
          </w:p>
        </w:tc>
        <w:tc>
          <w:tcPr>
            <w:tcW w:type="dxa" w:w="1728"/>
          </w:tcPr>
          <w:p>
            <w:pPr>
              <w:spacing w:line="240" w:lineRule="auto"/>
            </w:pPr>
            <w:r>
              <w:rPr>
                <w:rFonts w:ascii="Times New Roman" w:hAnsi="Times New Roman"/>
                <w:b/>
                <w:sz w:val="20"/>
              </w:rPr>
              <w:t>N</w:t>
            </w:r>
          </w:p>
        </w:tc>
      </w:tr>
      <w:tr>
        <w:tc>
          <w:tcPr>
            <w:tcW w:type="dxa" w:w="1728"/>
          </w:tcPr>
          <w:p>
            <w:pPr>
              <w:spacing w:line="240" w:lineRule="auto"/>
            </w:pPr>
            <w:r>
              <w:rPr>
                <w:rFonts w:ascii="Times New Roman" w:hAnsi="Times New Roman"/>
                <w:sz w:val="20"/>
              </w:rPr>
              <w:t>Primary: base_and_all_options cost growth, winsorized 1/99</w:t>
            </w:r>
          </w:p>
        </w:tc>
        <w:tc>
          <w:tcPr>
            <w:tcW w:type="dxa" w:w="1728"/>
          </w:tcPr>
          <w:p>
            <w:pPr>
              <w:spacing w:line="240" w:lineRule="auto"/>
            </w:pPr>
            <w:r>
              <w:rPr>
                <w:rFonts w:ascii="Times New Roman" w:hAnsi="Times New Roman"/>
                <w:sz w:val="20"/>
              </w:rPr>
              <w:t>–</w:t>
            </w:r>
          </w:p>
        </w:tc>
        <w:tc>
          <w:tcPr>
            <w:tcW w:type="dxa" w:w="1728"/>
          </w:tcPr>
          <w:p>
            <w:pPr>
              <w:spacing w:line="240" w:lineRule="auto"/>
            </w:pPr>
            <w:r>
              <w:rPr>
                <w:rFonts w:ascii="Times New Roman" w:hAnsi="Times New Roman"/>
                <w:sz w:val="20"/>
              </w:rPr>
              <w:t>–</w:t>
            </w:r>
          </w:p>
        </w:tc>
        <w:tc>
          <w:tcPr>
            <w:tcW w:type="dxa" w:w="1728"/>
          </w:tcPr>
          <w:p>
            <w:pPr>
              <w:spacing w:line="240" w:lineRule="auto"/>
            </w:pPr>
            <w:r>
              <w:rPr>
                <w:rFonts w:ascii="Times New Roman" w:hAnsi="Times New Roman"/>
                <w:sz w:val="20"/>
              </w:rPr>
              <w:t>–</w:t>
            </w:r>
          </w:p>
        </w:tc>
        <w:tc>
          <w:tcPr>
            <w:tcW w:type="dxa" w:w="1728"/>
          </w:tcPr>
          <w:p>
            <w:pPr>
              <w:spacing w:line="240" w:lineRule="auto"/>
            </w:pPr>
            <w:r>
              <w:rPr>
                <w:rFonts w:ascii="Times New Roman" w:hAnsi="Times New Roman"/>
                <w:sz w:val="20"/>
              </w:rPr>
              <w:t>–</w:t>
            </w:r>
          </w:p>
        </w:tc>
      </w:tr>
      <w:tr>
        <w:tc>
          <w:tcPr>
            <w:tcW w:type="dxa" w:w="1728"/>
          </w:tcPr>
          <w:p>
            <w:pPr>
              <w:spacing w:line="240" w:lineRule="auto"/>
            </w:pPr>
            <w:r>
              <w:rPr>
                <w:rFonts w:ascii="Times New Roman" w:hAnsi="Times New Roman"/>
                <w:sz w:val="20"/>
              </w:rPr>
              <w:t>Alternative 1: total_dollars_obligated cost growth, winsorized 1/99</w:t>
            </w:r>
          </w:p>
        </w:tc>
        <w:tc>
          <w:tcPr>
            <w:tcW w:type="dxa" w:w="1728"/>
          </w:tcPr>
          <w:p>
            <w:pPr>
              <w:spacing w:line="240" w:lineRule="auto"/>
            </w:pPr>
            <w:r>
              <w:rPr>
                <w:rFonts w:ascii="Times New Roman" w:hAnsi="Times New Roman"/>
                <w:sz w:val="20"/>
              </w:rPr>
              <w:t>–</w:t>
            </w:r>
          </w:p>
        </w:tc>
        <w:tc>
          <w:tcPr>
            <w:tcW w:type="dxa" w:w="1728"/>
          </w:tcPr>
          <w:p>
            <w:pPr>
              <w:spacing w:line="240" w:lineRule="auto"/>
            </w:pPr>
            <w:r>
              <w:rPr>
                <w:rFonts w:ascii="Times New Roman" w:hAnsi="Times New Roman"/>
                <w:sz w:val="20"/>
              </w:rPr>
              <w:t>–</w:t>
            </w:r>
          </w:p>
        </w:tc>
        <w:tc>
          <w:tcPr>
            <w:tcW w:type="dxa" w:w="1728"/>
          </w:tcPr>
          <w:p>
            <w:pPr>
              <w:spacing w:line="240" w:lineRule="auto"/>
            </w:pPr>
            <w:r>
              <w:rPr>
                <w:rFonts w:ascii="Times New Roman" w:hAnsi="Times New Roman"/>
                <w:sz w:val="20"/>
              </w:rPr>
              <w:t>–</w:t>
            </w:r>
          </w:p>
        </w:tc>
        <w:tc>
          <w:tcPr>
            <w:tcW w:type="dxa" w:w="1728"/>
          </w:tcPr>
          <w:p>
            <w:pPr>
              <w:spacing w:line="240" w:lineRule="auto"/>
            </w:pPr>
            <w:r>
              <w:rPr>
                <w:rFonts w:ascii="Times New Roman" w:hAnsi="Times New Roman"/>
                <w:sz w:val="20"/>
              </w:rPr>
              <w:t>–</w:t>
            </w:r>
          </w:p>
        </w:tc>
      </w:tr>
      <w:tr>
        <w:tc>
          <w:tcPr>
            <w:tcW w:type="dxa" w:w="1728"/>
          </w:tcPr>
          <w:p>
            <w:pPr>
              <w:spacing w:line="240" w:lineRule="auto"/>
            </w:pPr>
            <w:r>
              <w:rPr>
                <w:rFonts w:ascii="Times New Roman" w:hAnsi="Times New Roman"/>
                <w:sz w:val="20"/>
              </w:rPr>
              <w:t>Alternative 2: base_and_all_options cost growth, winsorized 5/95</w:t>
            </w:r>
          </w:p>
        </w:tc>
        <w:tc>
          <w:tcPr>
            <w:tcW w:type="dxa" w:w="1728"/>
          </w:tcPr>
          <w:p>
            <w:pPr>
              <w:spacing w:line="240" w:lineRule="auto"/>
            </w:pPr>
            <w:r>
              <w:rPr>
                <w:rFonts w:ascii="Times New Roman" w:hAnsi="Times New Roman"/>
                <w:sz w:val="20"/>
              </w:rPr>
              <w:t>–</w:t>
            </w:r>
          </w:p>
        </w:tc>
        <w:tc>
          <w:tcPr>
            <w:tcW w:type="dxa" w:w="1728"/>
          </w:tcPr>
          <w:p>
            <w:pPr>
              <w:spacing w:line="240" w:lineRule="auto"/>
            </w:pPr>
            <w:r>
              <w:rPr>
                <w:rFonts w:ascii="Times New Roman" w:hAnsi="Times New Roman"/>
                <w:sz w:val="20"/>
              </w:rPr>
              <w:t>–</w:t>
            </w:r>
          </w:p>
        </w:tc>
        <w:tc>
          <w:tcPr>
            <w:tcW w:type="dxa" w:w="1728"/>
          </w:tcPr>
          <w:p>
            <w:pPr>
              <w:spacing w:line="240" w:lineRule="auto"/>
            </w:pPr>
            <w:r>
              <w:rPr>
                <w:rFonts w:ascii="Times New Roman" w:hAnsi="Times New Roman"/>
                <w:sz w:val="20"/>
              </w:rPr>
              <w:t>–</w:t>
            </w:r>
          </w:p>
        </w:tc>
        <w:tc>
          <w:tcPr>
            <w:tcW w:type="dxa" w:w="1728"/>
          </w:tcPr>
          <w:p>
            <w:pPr>
              <w:spacing w:line="240" w:lineRule="auto"/>
            </w:pPr>
            <w:r>
              <w:rPr>
                <w:rFonts w:ascii="Times New Roman" w:hAnsi="Times New Roman"/>
                <w:sz w:val="20"/>
              </w:rPr>
              <w:t>–</w:t>
            </w:r>
          </w:p>
        </w:tc>
      </w:tr>
      <w:tr>
        <w:tc>
          <w:tcPr>
            <w:tcW w:type="dxa" w:w="1728"/>
          </w:tcPr>
          <w:p>
            <w:pPr>
              <w:spacing w:line="240" w:lineRule="auto"/>
            </w:pPr>
            <w:r>
              <w:rPr>
                <w:rFonts w:ascii="Times New Roman" w:hAnsi="Times New Roman"/>
                <w:sz w:val="20"/>
              </w:rPr>
              <w:t>Alternative 3: base_and_all_options cost growth, winsorized 0.5/99.5</w:t>
            </w:r>
          </w:p>
        </w:tc>
        <w:tc>
          <w:tcPr>
            <w:tcW w:type="dxa" w:w="1728"/>
          </w:tcPr>
          <w:p>
            <w:pPr>
              <w:spacing w:line="240" w:lineRule="auto"/>
            </w:pPr>
            <w:r>
              <w:rPr>
                <w:rFonts w:ascii="Times New Roman" w:hAnsi="Times New Roman"/>
                <w:sz w:val="20"/>
              </w:rPr>
              <w:t>–</w:t>
            </w:r>
          </w:p>
        </w:tc>
        <w:tc>
          <w:tcPr>
            <w:tcW w:type="dxa" w:w="1728"/>
          </w:tcPr>
          <w:p>
            <w:pPr>
              <w:spacing w:line="240" w:lineRule="auto"/>
            </w:pPr>
            <w:r>
              <w:rPr>
                <w:rFonts w:ascii="Times New Roman" w:hAnsi="Times New Roman"/>
                <w:sz w:val="20"/>
              </w:rPr>
              <w:t>–</w:t>
            </w:r>
          </w:p>
        </w:tc>
        <w:tc>
          <w:tcPr>
            <w:tcW w:type="dxa" w:w="1728"/>
          </w:tcPr>
          <w:p>
            <w:pPr>
              <w:spacing w:line="240" w:lineRule="auto"/>
            </w:pPr>
            <w:r>
              <w:rPr>
                <w:rFonts w:ascii="Times New Roman" w:hAnsi="Times New Roman"/>
                <w:sz w:val="20"/>
              </w:rPr>
              <w:t>–</w:t>
            </w:r>
          </w:p>
        </w:tc>
        <w:tc>
          <w:tcPr>
            <w:tcW w:type="dxa" w:w="1728"/>
          </w:tcPr>
          <w:p>
            <w:pPr>
              <w:spacing w:line="240" w:lineRule="auto"/>
            </w:pPr>
            <w:r>
              <w:rPr>
                <w:rFonts w:ascii="Times New Roman" w:hAnsi="Times New Roman"/>
                <w:sz w:val="20"/>
              </w:rPr>
              <w:t>–</w:t>
            </w:r>
          </w:p>
        </w:tc>
      </w:tr>
      <w:tr>
        <w:tc>
          <w:tcPr>
            <w:tcW w:type="dxa" w:w="1728"/>
          </w:tcPr>
          <w:p>
            <w:pPr>
              <w:spacing w:line="240" w:lineRule="auto"/>
            </w:pPr>
            <w:r>
              <w:rPr>
                <w:rFonts w:ascii="Times New Roman" w:hAnsi="Times New Roman"/>
                <w:sz w:val="20"/>
              </w:rPr>
              <w:t>Alternative 4: Trimmed (extreme 2% dropped)</w:t>
            </w:r>
          </w:p>
        </w:tc>
        <w:tc>
          <w:tcPr>
            <w:tcW w:type="dxa" w:w="1728"/>
          </w:tcPr>
          <w:p>
            <w:pPr>
              <w:spacing w:line="240" w:lineRule="auto"/>
            </w:pPr>
            <w:r>
              <w:rPr>
                <w:rFonts w:ascii="Times New Roman" w:hAnsi="Times New Roman"/>
                <w:sz w:val="20"/>
              </w:rPr>
              <w:t>–</w:t>
            </w:r>
          </w:p>
        </w:tc>
        <w:tc>
          <w:tcPr>
            <w:tcW w:type="dxa" w:w="1728"/>
          </w:tcPr>
          <w:p>
            <w:pPr>
              <w:spacing w:line="240" w:lineRule="auto"/>
            </w:pPr>
            <w:r>
              <w:rPr>
                <w:rFonts w:ascii="Times New Roman" w:hAnsi="Times New Roman"/>
                <w:sz w:val="20"/>
              </w:rPr>
              <w:t>–</w:t>
            </w:r>
          </w:p>
        </w:tc>
        <w:tc>
          <w:tcPr>
            <w:tcW w:type="dxa" w:w="1728"/>
          </w:tcPr>
          <w:p>
            <w:pPr>
              <w:spacing w:line="240" w:lineRule="auto"/>
            </w:pPr>
            <w:r>
              <w:rPr>
                <w:rFonts w:ascii="Times New Roman" w:hAnsi="Times New Roman"/>
                <w:sz w:val="20"/>
              </w:rPr>
              <w:t>–</w:t>
            </w:r>
          </w:p>
        </w:tc>
        <w:tc>
          <w:tcPr>
            <w:tcW w:type="dxa" w:w="1728"/>
          </w:tcPr>
          <w:p>
            <w:pPr>
              <w:spacing w:line="240" w:lineRule="auto"/>
            </w:pPr>
            <w:r>
              <w:rPr>
                <w:rFonts w:ascii="Times New Roman" w:hAnsi="Times New Roman"/>
                <w:sz w:val="20"/>
              </w:rPr>
              <w:t>–</w:t>
            </w:r>
          </w:p>
        </w:tc>
      </w:tr>
      <w:tr>
        <w:tc>
          <w:tcPr>
            <w:tcW w:type="dxa" w:w="1728"/>
          </w:tcPr>
          <w:p>
            <w:pPr>
              <w:spacing w:line="240" w:lineRule="auto"/>
            </w:pPr>
            <w:r>
              <w:rPr>
                <w:rFonts w:ascii="Times New Roman" w:hAnsi="Times New Roman"/>
                <w:sz w:val="20"/>
              </w:rPr>
              <w:t>Alternative 5: Binary (cost growth &gt; 10%)</w:t>
            </w:r>
          </w:p>
        </w:tc>
        <w:tc>
          <w:tcPr>
            <w:tcW w:type="dxa" w:w="1728"/>
          </w:tcPr>
          <w:p>
            <w:pPr>
              <w:spacing w:line="240" w:lineRule="auto"/>
            </w:pPr>
            <w:r>
              <w:rPr>
                <w:rFonts w:ascii="Times New Roman" w:hAnsi="Times New Roman"/>
                <w:sz w:val="20"/>
              </w:rPr>
              <w:t>–</w:t>
            </w:r>
          </w:p>
        </w:tc>
        <w:tc>
          <w:tcPr>
            <w:tcW w:type="dxa" w:w="1728"/>
          </w:tcPr>
          <w:p>
            <w:pPr>
              <w:spacing w:line="240" w:lineRule="auto"/>
            </w:pPr>
            <w:r>
              <w:rPr>
                <w:rFonts w:ascii="Times New Roman" w:hAnsi="Times New Roman"/>
                <w:sz w:val="20"/>
              </w:rPr>
              <w:t>–</w:t>
            </w:r>
          </w:p>
        </w:tc>
        <w:tc>
          <w:tcPr>
            <w:tcW w:type="dxa" w:w="1728"/>
          </w:tcPr>
          <w:p>
            <w:pPr>
              <w:spacing w:line="240" w:lineRule="auto"/>
            </w:pPr>
            <w:r>
              <w:rPr>
                <w:rFonts w:ascii="Times New Roman" w:hAnsi="Times New Roman"/>
                <w:sz w:val="20"/>
              </w:rPr>
              <w:t>–</w:t>
            </w:r>
          </w:p>
        </w:tc>
        <w:tc>
          <w:tcPr>
            <w:tcW w:type="dxa" w:w="1728"/>
          </w:tcPr>
          <w:p>
            <w:pPr>
              <w:spacing w:line="240" w:lineRule="auto"/>
            </w:pPr>
            <w:r>
              <w:rPr>
                <w:rFonts w:ascii="Times New Roman" w:hAnsi="Times New Roman"/>
                <w:sz w:val="20"/>
              </w:rPr>
              <w:t>–</w:t>
            </w:r>
          </w:p>
        </w:tc>
      </w:tr>
      <w:tr>
        <w:tc>
          <w:tcPr>
            <w:tcW w:type="dxa" w:w="1728"/>
          </w:tcPr>
          <w:p>
            <w:pPr>
              <w:spacing w:line="240" w:lineRule="auto"/>
            </w:pPr>
            <w:r>
              <w:rPr>
                <w:rFonts w:ascii="Times New Roman" w:hAnsi="Times New Roman"/>
                <w:sz w:val="20"/>
              </w:rPr>
              <w:t>Alternative 6: Binary (cost growth &gt; 20%)</w:t>
            </w:r>
          </w:p>
        </w:tc>
        <w:tc>
          <w:tcPr>
            <w:tcW w:type="dxa" w:w="1728"/>
          </w:tcPr>
          <w:p>
            <w:pPr>
              <w:spacing w:line="240" w:lineRule="auto"/>
            </w:pPr>
            <w:r>
              <w:rPr>
                <w:rFonts w:ascii="Times New Roman" w:hAnsi="Times New Roman"/>
                <w:sz w:val="20"/>
              </w:rPr>
              <w:t>–</w:t>
            </w:r>
          </w:p>
        </w:tc>
        <w:tc>
          <w:tcPr>
            <w:tcW w:type="dxa" w:w="1728"/>
          </w:tcPr>
          <w:p>
            <w:pPr>
              <w:spacing w:line="240" w:lineRule="auto"/>
            </w:pPr>
            <w:r>
              <w:rPr>
                <w:rFonts w:ascii="Times New Roman" w:hAnsi="Times New Roman"/>
                <w:sz w:val="20"/>
              </w:rPr>
              <w:t>–</w:t>
            </w:r>
          </w:p>
        </w:tc>
        <w:tc>
          <w:tcPr>
            <w:tcW w:type="dxa" w:w="1728"/>
          </w:tcPr>
          <w:p>
            <w:pPr>
              <w:spacing w:line="240" w:lineRule="auto"/>
            </w:pPr>
            <w:r>
              <w:rPr>
                <w:rFonts w:ascii="Times New Roman" w:hAnsi="Times New Roman"/>
                <w:sz w:val="20"/>
              </w:rPr>
              <w:t>–</w:t>
            </w:r>
          </w:p>
        </w:tc>
        <w:tc>
          <w:tcPr>
            <w:tcW w:type="dxa" w:w="1728"/>
          </w:tcPr>
          <w:p>
            <w:pPr>
              <w:spacing w:line="240" w:lineRule="auto"/>
            </w:pPr>
            <w:r>
              <w:rPr>
                <w:rFonts w:ascii="Times New Roman" w:hAnsi="Times New Roman"/>
                <w:sz w:val="20"/>
              </w:rPr>
              <w:t>–</w:t>
            </w:r>
          </w:p>
        </w:tc>
      </w:tr>
    </w:tbl>
    <w:p>
      <w:pPr>
        <w:pStyle w:val="Heading3"/>
      </w:pPr>
      <w:r>
        <w:rPr>
          <w:rFonts w:ascii="Times New Roman" w:hAnsi="Times New Roman"/>
          <w:color w:val="000000"/>
        </w:rPr>
        <w:t>Table D.2: Sensitivity to Competition Intensity Operationalization</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pPr>
              <w:spacing w:line="240" w:lineRule="auto"/>
            </w:pPr>
            <w:r>
              <w:rPr>
                <w:rFonts w:ascii="Times New Roman" w:hAnsi="Times New Roman"/>
                <w:b/>
                <w:sz w:val="20"/>
              </w:rPr>
              <w:t>Specification</w:t>
            </w:r>
          </w:p>
        </w:tc>
        <w:tc>
          <w:tcPr>
            <w:tcW w:type="dxa" w:w="1728"/>
          </w:tcPr>
          <w:p>
            <w:pPr>
              <w:spacing w:line="240" w:lineRule="auto"/>
            </w:pPr>
            <w:r>
              <w:rPr>
                <w:rFonts w:ascii="Times New Roman" w:hAnsi="Times New Roman"/>
                <w:b/>
                <w:sz w:val="20"/>
              </w:rPr>
              <w:t>Tradeoff Coefficient</w:t>
            </w:r>
          </w:p>
        </w:tc>
        <w:tc>
          <w:tcPr>
            <w:tcW w:type="dxa" w:w="1728"/>
          </w:tcPr>
          <w:p>
            <w:pPr>
              <w:spacing w:line="240" w:lineRule="auto"/>
            </w:pPr>
            <w:r>
              <w:rPr>
                <w:rFonts w:ascii="Times New Roman" w:hAnsi="Times New Roman"/>
                <w:b/>
                <w:sz w:val="20"/>
              </w:rPr>
              <w:t>SE</w:t>
            </w:r>
          </w:p>
        </w:tc>
        <w:tc>
          <w:tcPr>
            <w:tcW w:type="dxa" w:w="1728"/>
          </w:tcPr>
          <w:p>
            <w:pPr>
              <w:spacing w:line="240" w:lineRule="auto"/>
            </w:pPr>
            <w:r>
              <w:rPr>
                <w:rFonts w:ascii="Times New Roman" w:hAnsi="Times New Roman"/>
                <w:b/>
                <w:sz w:val="20"/>
              </w:rPr>
              <w:t>p-value</w:t>
            </w:r>
          </w:p>
        </w:tc>
        <w:tc>
          <w:tcPr>
            <w:tcW w:type="dxa" w:w="1728"/>
          </w:tcPr>
          <w:p>
            <w:pPr>
              <w:spacing w:line="240" w:lineRule="auto"/>
            </w:pPr>
            <w:r>
              <w:rPr>
                <w:rFonts w:ascii="Times New Roman" w:hAnsi="Times New Roman"/>
                <w:b/>
                <w:sz w:val="20"/>
              </w:rPr>
              <w:t>N</w:t>
            </w:r>
          </w:p>
        </w:tc>
      </w:tr>
      <w:tr>
        <w:tc>
          <w:tcPr>
            <w:tcW w:type="dxa" w:w="1728"/>
          </w:tcPr>
          <w:p>
            <w:pPr>
              <w:spacing w:line="240" w:lineRule="auto"/>
            </w:pPr>
            <w:r>
              <w:rPr>
                <w:rFonts w:ascii="Times New Roman" w:hAnsi="Times New Roman"/>
                <w:sz w:val="20"/>
              </w:rPr>
              <w:t>Primary: Negative binomial, raw count</w:t>
            </w:r>
          </w:p>
        </w:tc>
        <w:tc>
          <w:tcPr>
            <w:tcW w:type="dxa" w:w="1728"/>
          </w:tcPr>
          <w:p>
            <w:pPr>
              <w:spacing w:line="240" w:lineRule="auto"/>
            </w:pPr>
            <w:r>
              <w:rPr>
                <w:rFonts w:ascii="Times New Roman" w:hAnsi="Times New Roman"/>
                <w:sz w:val="20"/>
              </w:rPr>
              <w:t>–</w:t>
            </w:r>
          </w:p>
        </w:tc>
        <w:tc>
          <w:tcPr>
            <w:tcW w:type="dxa" w:w="1728"/>
          </w:tcPr>
          <w:p>
            <w:pPr>
              <w:spacing w:line="240" w:lineRule="auto"/>
            </w:pPr>
            <w:r>
              <w:rPr>
                <w:rFonts w:ascii="Times New Roman" w:hAnsi="Times New Roman"/>
                <w:sz w:val="20"/>
              </w:rPr>
              <w:t>–</w:t>
            </w:r>
          </w:p>
        </w:tc>
        <w:tc>
          <w:tcPr>
            <w:tcW w:type="dxa" w:w="1728"/>
          </w:tcPr>
          <w:p>
            <w:pPr>
              <w:spacing w:line="240" w:lineRule="auto"/>
            </w:pPr>
            <w:r>
              <w:rPr>
                <w:rFonts w:ascii="Times New Roman" w:hAnsi="Times New Roman"/>
                <w:sz w:val="20"/>
              </w:rPr>
              <w:t>–</w:t>
            </w:r>
          </w:p>
        </w:tc>
        <w:tc>
          <w:tcPr>
            <w:tcW w:type="dxa" w:w="1728"/>
          </w:tcPr>
          <w:p>
            <w:pPr>
              <w:spacing w:line="240" w:lineRule="auto"/>
            </w:pPr>
            <w:r>
              <w:rPr>
                <w:rFonts w:ascii="Times New Roman" w:hAnsi="Times New Roman"/>
                <w:sz w:val="20"/>
              </w:rPr>
              <w:t>–</w:t>
            </w:r>
          </w:p>
        </w:tc>
      </w:tr>
      <w:tr>
        <w:tc>
          <w:tcPr>
            <w:tcW w:type="dxa" w:w="1728"/>
          </w:tcPr>
          <w:p>
            <w:pPr>
              <w:spacing w:line="240" w:lineRule="auto"/>
            </w:pPr>
            <w:r>
              <w:rPr>
                <w:rFonts w:ascii="Times New Roman" w:hAnsi="Times New Roman"/>
                <w:sz w:val="20"/>
              </w:rPr>
              <w:t>Alternative 1: OLS, ln(offers + 1)</w:t>
            </w:r>
          </w:p>
        </w:tc>
        <w:tc>
          <w:tcPr>
            <w:tcW w:type="dxa" w:w="1728"/>
          </w:tcPr>
          <w:p>
            <w:pPr>
              <w:spacing w:line="240" w:lineRule="auto"/>
            </w:pPr>
            <w:r>
              <w:rPr>
                <w:rFonts w:ascii="Times New Roman" w:hAnsi="Times New Roman"/>
                <w:sz w:val="20"/>
              </w:rPr>
              <w:t>–</w:t>
            </w:r>
          </w:p>
        </w:tc>
        <w:tc>
          <w:tcPr>
            <w:tcW w:type="dxa" w:w="1728"/>
          </w:tcPr>
          <w:p>
            <w:pPr>
              <w:spacing w:line="240" w:lineRule="auto"/>
            </w:pPr>
            <w:r>
              <w:rPr>
                <w:rFonts w:ascii="Times New Roman" w:hAnsi="Times New Roman"/>
                <w:sz w:val="20"/>
              </w:rPr>
              <w:t>–</w:t>
            </w:r>
          </w:p>
        </w:tc>
        <w:tc>
          <w:tcPr>
            <w:tcW w:type="dxa" w:w="1728"/>
          </w:tcPr>
          <w:p>
            <w:pPr>
              <w:spacing w:line="240" w:lineRule="auto"/>
            </w:pPr>
            <w:r>
              <w:rPr>
                <w:rFonts w:ascii="Times New Roman" w:hAnsi="Times New Roman"/>
                <w:sz w:val="20"/>
              </w:rPr>
              <w:t>–</w:t>
            </w:r>
          </w:p>
        </w:tc>
        <w:tc>
          <w:tcPr>
            <w:tcW w:type="dxa" w:w="1728"/>
          </w:tcPr>
          <w:p>
            <w:pPr>
              <w:spacing w:line="240" w:lineRule="auto"/>
            </w:pPr>
            <w:r>
              <w:rPr>
                <w:rFonts w:ascii="Times New Roman" w:hAnsi="Times New Roman"/>
                <w:sz w:val="20"/>
              </w:rPr>
              <w:t>–</w:t>
            </w:r>
          </w:p>
        </w:tc>
      </w:tr>
      <w:tr>
        <w:tc>
          <w:tcPr>
            <w:tcW w:type="dxa" w:w="1728"/>
          </w:tcPr>
          <w:p>
            <w:pPr>
              <w:spacing w:line="240" w:lineRule="auto"/>
            </w:pPr>
            <w:r>
              <w:rPr>
                <w:rFonts w:ascii="Times New Roman" w:hAnsi="Times New Roman"/>
                <w:sz w:val="20"/>
              </w:rPr>
              <w:t>Alternative 2: Ordered logit (1, 2–3, 4–5, 6+)</w:t>
            </w:r>
          </w:p>
        </w:tc>
        <w:tc>
          <w:tcPr>
            <w:tcW w:type="dxa" w:w="1728"/>
          </w:tcPr>
          <w:p>
            <w:pPr>
              <w:spacing w:line="240" w:lineRule="auto"/>
            </w:pPr>
            <w:r>
              <w:rPr>
                <w:rFonts w:ascii="Times New Roman" w:hAnsi="Times New Roman"/>
                <w:sz w:val="20"/>
              </w:rPr>
              <w:t>–</w:t>
            </w:r>
          </w:p>
        </w:tc>
        <w:tc>
          <w:tcPr>
            <w:tcW w:type="dxa" w:w="1728"/>
          </w:tcPr>
          <w:p>
            <w:pPr>
              <w:spacing w:line="240" w:lineRule="auto"/>
            </w:pPr>
            <w:r>
              <w:rPr>
                <w:rFonts w:ascii="Times New Roman" w:hAnsi="Times New Roman"/>
                <w:sz w:val="20"/>
              </w:rPr>
              <w:t>–</w:t>
            </w:r>
          </w:p>
        </w:tc>
        <w:tc>
          <w:tcPr>
            <w:tcW w:type="dxa" w:w="1728"/>
          </w:tcPr>
          <w:p>
            <w:pPr>
              <w:spacing w:line="240" w:lineRule="auto"/>
            </w:pPr>
            <w:r>
              <w:rPr>
                <w:rFonts w:ascii="Times New Roman" w:hAnsi="Times New Roman"/>
                <w:sz w:val="20"/>
              </w:rPr>
              <w:t>–</w:t>
            </w:r>
          </w:p>
        </w:tc>
        <w:tc>
          <w:tcPr>
            <w:tcW w:type="dxa" w:w="1728"/>
          </w:tcPr>
          <w:p>
            <w:pPr>
              <w:spacing w:line="240" w:lineRule="auto"/>
            </w:pPr>
            <w:r>
              <w:rPr>
                <w:rFonts w:ascii="Times New Roman" w:hAnsi="Times New Roman"/>
                <w:sz w:val="20"/>
              </w:rPr>
              <w:t>–</w:t>
            </w:r>
          </w:p>
        </w:tc>
      </w:tr>
      <w:tr>
        <w:tc>
          <w:tcPr>
            <w:tcW w:type="dxa" w:w="1728"/>
          </w:tcPr>
          <w:p>
            <w:pPr>
              <w:spacing w:line="240" w:lineRule="auto"/>
            </w:pPr>
            <w:r>
              <w:rPr>
                <w:rFonts w:ascii="Times New Roman" w:hAnsi="Times New Roman"/>
                <w:sz w:val="20"/>
              </w:rPr>
              <w:t>Alternative 3: Binary (3+ offers = robust competition)</w:t>
            </w:r>
          </w:p>
        </w:tc>
        <w:tc>
          <w:tcPr>
            <w:tcW w:type="dxa" w:w="1728"/>
          </w:tcPr>
          <w:p>
            <w:pPr>
              <w:spacing w:line="240" w:lineRule="auto"/>
            </w:pPr>
            <w:r>
              <w:rPr>
                <w:rFonts w:ascii="Times New Roman" w:hAnsi="Times New Roman"/>
                <w:sz w:val="20"/>
              </w:rPr>
              <w:t>–</w:t>
            </w:r>
          </w:p>
        </w:tc>
        <w:tc>
          <w:tcPr>
            <w:tcW w:type="dxa" w:w="1728"/>
          </w:tcPr>
          <w:p>
            <w:pPr>
              <w:spacing w:line="240" w:lineRule="auto"/>
            </w:pPr>
            <w:r>
              <w:rPr>
                <w:rFonts w:ascii="Times New Roman" w:hAnsi="Times New Roman"/>
                <w:sz w:val="20"/>
              </w:rPr>
              <w:t>–</w:t>
            </w:r>
          </w:p>
        </w:tc>
        <w:tc>
          <w:tcPr>
            <w:tcW w:type="dxa" w:w="1728"/>
          </w:tcPr>
          <w:p>
            <w:pPr>
              <w:spacing w:line="240" w:lineRule="auto"/>
            </w:pPr>
            <w:r>
              <w:rPr>
                <w:rFonts w:ascii="Times New Roman" w:hAnsi="Times New Roman"/>
                <w:sz w:val="20"/>
              </w:rPr>
              <w:t>–</w:t>
            </w:r>
          </w:p>
        </w:tc>
        <w:tc>
          <w:tcPr>
            <w:tcW w:type="dxa" w:w="1728"/>
          </w:tcPr>
          <w:p>
            <w:pPr>
              <w:spacing w:line="240" w:lineRule="auto"/>
            </w:pPr>
            <w:r>
              <w:rPr>
                <w:rFonts w:ascii="Times New Roman" w:hAnsi="Times New Roman"/>
                <w:sz w:val="20"/>
              </w:rPr>
              <w:t>–</w:t>
            </w:r>
          </w:p>
        </w:tc>
      </w:tr>
    </w:tbl>
    <w:p>
      <w:pPr>
        <w:pStyle w:val="Heading3"/>
      </w:pPr>
      <w:r>
        <w:rPr>
          <w:rFonts w:ascii="Times New Roman" w:hAnsi="Times New Roman"/>
          <w:color w:val="000000"/>
        </w:rPr>
        <w:t>Table D.3: Sensitivity to Matching Specification</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pPr>
              <w:spacing w:line="240" w:lineRule="auto"/>
            </w:pPr>
            <w:r>
              <w:rPr>
                <w:rFonts w:ascii="Times New Roman" w:hAnsi="Times New Roman"/>
                <w:b/>
                <w:sz w:val="20"/>
              </w:rPr>
              <w:t>Matching Method</w:t>
            </w:r>
          </w:p>
        </w:tc>
        <w:tc>
          <w:tcPr>
            <w:tcW w:type="dxa" w:w="1728"/>
          </w:tcPr>
          <w:p>
            <w:pPr>
              <w:spacing w:line="240" w:lineRule="auto"/>
            </w:pPr>
            <w:r>
              <w:rPr>
                <w:rFonts w:ascii="Times New Roman" w:hAnsi="Times New Roman"/>
                <w:b/>
                <w:sz w:val="20"/>
              </w:rPr>
              <w:t>ATT (Cost Growth)</w:t>
            </w:r>
          </w:p>
        </w:tc>
        <w:tc>
          <w:tcPr>
            <w:tcW w:type="dxa" w:w="1728"/>
          </w:tcPr>
          <w:p>
            <w:pPr>
              <w:spacing w:line="240" w:lineRule="auto"/>
            </w:pPr>
            <w:r>
              <w:rPr>
                <w:rFonts w:ascii="Times New Roman" w:hAnsi="Times New Roman"/>
                <w:b/>
                <w:sz w:val="20"/>
              </w:rPr>
              <w:t>SE</w:t>
            </w:r>
          </w:p>
        </w:tc>
        <w:tc>
          <w:tcPr>
            <w:tcW w:type="dxa" w:w="1728"/>
          </w:tcPr>
          <w:p>
            <w:pPr>
              <w:spacing w:line="240" w:lineRule="auto"/>
            </w:pPr>
            <w:r>
              <w:rPr>
                <w:rFonts w:ascii="Times New Roman" w:hAnsi="Times New Roman"/>
                <w:b/>
                <w:sz w:val="20"/>
              </w:rPr>
              <w:t>p</w:t>
            </w:r>
          </w:p>
        </w:tc>
        <w:tc>
          <w:tcPr>
            <w:tcW w:type="dxa" w:w="1728"/>
          </w:tcPr>
          <w:p>
            <w:pPr>
              <w:spacing w:line="240" w:lineRule="auto"/>
            </w:pPr>
            <w:r>
              <w:rPr>
                <w:rFonts w:ascii="Times New Roman" w:hAnsi="Times New Roman"/>
                <w:b/>
                <w:sz w:val="20"/>
              </w:rPr>
              <w:t>Matched Pairs</w:t>
            </w:r>
          </w:p>
        </w:tc>
      </w:tr>
      <w:tr>
        <w:tc>
          <w:tcPr>
            <w:tcW w:type="dxa" w:w="1728"/>
          </w:tcPr>
          <w:p>
            <w:pPr>
              <w:spacing w:line="240" w:lineRule="auto"/>
            </w:pPr>
            <w:r>
              <w:rPr>
                <w:rFonts w:ascii="Times New Roman" w:hAnsi="Times New Roman"/>
                <w:sz w:val="20"/>
              </w:rPr>
              <w:t>Primary: 1:1 NN, caliper = 0.2 SD, no replacement</w:t>
            </w:r>
          </w:p>
        </w:tc>
        <w:tc>
          <w:tcPr>
            <w:tcW w:type="dxa" w:w="1728"/>
          </w:tcPr>
          <w:p>
            <w:pPr>
              <w:spacing w:line="240" w:lineRule="auto"/>
            </w:pPr>
            <w:r>
              <w:rPr>
                <w:rFonts w:ascii="Times New Roman" w:hAnsi="Times New Roman"/>
                <w:sz w:val="20"/>
              </w:rPr>
              <w:t>–</w:t>
            </w:r>
          </w:p>
        </w:tc>
        <w:tc>
          <w:tcPr>
            <w:tcW w:type="dxa" w:w="1728"/>
          </w:tcPr>
          <w:p>
            <w:pPr>
              <w:spacing w:line="240" w:lineRule="auto"/>
            </w:pPr>
            <w:r>
              <w:rPr>
                <w:rFonts w:ascii="Times New Roman" w:hAnsi="Times New Roman"/>
                <w:sz w:val="20"/>
              </w:rPr>
              <w:t>–</w:t>
            </w:r>
          </w:p>
        </w:tc>
        <w:tc>
          <w:tcPr>
            <w:tcW w:type="dxa" w:w="1728"/>
          </w:tcPr>
          <w:p>
            <w:pPr>
              <w:spacing w:line="240" w:lineRule="auto"/>
            </w:pPr>
            <w:r>
              <w:rPr>
                <w:rFonts w:ascii="Times New Roman" w:hAnsi="Times New Roman"/>
                <w:sz w:val="20"/>
              </w:rPr>
              <w:t>–</w:t>
            </w:r>
          </w:p>
        </w:tc>
        <w:tc>
          <w:tcPr>
            <w:tcW w:type="dxa" w:w="1728"/>
          </w:tcPr>
          <w:p>
            <w:pPr>
              <w:spacing w:line="240" w:lineRule="auto"/>
            </w:pPr>
            <w:r>
              <w:rPr>
                <w:rFonts w:ascii="Times New Roman" w:hAnsi="Times New Roman"/>
                <w:sz w:val="20"/>
              </w:rPr>
              <w:t>–</w:t>
            </w:r>
          </w:p>
        </w:tc>
      </w:tr>
      <w:tr>
        <w:tc>
          <w:tcPr>
            <w:tcW w:type="dxa" w:w="1728"/>
          </w:tcPr>
          <w:p>
            <w:pPr>
              <w:spacing w:line="240" w:lineRule="auto"/>
            </w:pPr>
            <w:r>
              <w:rPr>
                <w:rFonts w:ascii="Times New Roman" w:hAnsi="Times New Roman"/>
                <w:sz w:val="20"/>
              </w:rPr>
              <w:t>Alternative 1: 1:3 NN, caliper = 0.2 SD</w:t>
            </w:r>
          </w:p>
        </w:tc>
        <w:tc>
          <w:tcPr>
            <w:tcW w:type="dxa" w:w="1728"/>
          </w:tcPr>
          <w:p>
            <w:pPr>
              <w:spacing w:line="240" w:lineRule="auto"/>
            </w:pPr>
            <w:r>
              <w:rPr>
                <w:rFonts w:ascii="Times New Roman" w:hAnsi="Times New Roman"/>
                <w:sz w:val="20"/>
              </w:rPr>
              <w:t>–</w:t>
            </w:r>
          </w:p>
        </w:tc>
        <w:tc>
          <w:tcPr>
            <w:tcW w:type="dxa" w:w="1728"/>
          </w:tcPr>
          <w:p>
            <w:pPr>
              <w:spacing w:line="240" w:lineRule="auto"/>
            </w:pPr>
            <w:r>
              <w:rPr>
                <w:rFonts w:ascii="Times New Roman" w:hAnsi="Times New Roman"/>
                <w:sz w:val="20"/>
              </w:rPr>
              <w:t>–</w:t>
            </w:r>
          </w:p>
        </w:tc>
        <w:tc>
          <w:tcPr>
            <w:tcW w:type="dxa" w:w="1728"/>
          </w:tcPr>
          <w:p>
            <w:pPr>
              <w:spacing w:line="240" w:lineRule="auto"/>
            </w:pPr>
            <w:r>
              <w:rPr>
                <w:rFonts w:ascii="Times New Roman" w:hAnsi="Times New Roman"/>
                <w:sz w:val="20"/>
              </w:rPr>
              <w:t>–</w:t>
            </w:r>
          </w:p>
        </w:tc>
        <w:tc>
          <w:tcPr>
            <w:tcW w:type="dxa" w:w="1728"/>
          </w:tcPr>
          <w:p>
            <w:pPr>
              <w:spacing w:line="240" w:lineRule="auto"/>
            </w:pPr>
            <w:r>
              <w:rPr>
                <w:rFonts w:ascii="Times New Roman" w:hAnsi="Times New Roman"/>
                <w:sz w:val="20"/>
              </w:rPr>
              <w:t>–</w:t>
            </w:r>
          </w:p>
        </w:tc>
      </w:tr>
      <w:tr>
        <w:tc>
          <w:tcPr>
            <w:tcW w:type="dxa" w:w="1728"/>
          </w:tcPr>
          <w:p>
            <w:pPr>
              <w:spacing w:line="240" w:lineRule="auto"/>
            </w:pPr>
            <w:r>
              <w:rPr>
                <w:rFonts w:ascii="Times New Roman" w:hAnsi="Times New Roman"/>
                <w:sz w:val="20"/>
              </w:rPr>
              <w:t>Alternative 2: 1:5 NN, caliper = 0.2 SD</w:t>
            </w:r>
          </w:p>
        </w:tc>
        <w:tc>
          <w:tcPr>
            <w:tcW w:type="dxa" w:w="1728"/>
          </w:tcPr>
          <w:p>
            <w:pPr>
              <w:spacing w:line="240" w:lineRule="auto"/>
            </w:pPr>
            <w:r>
              <w:rPr>
                <w:rFonts w:ascii="Times New Roman" w:hAnsi="Times New Roman"/>
                <w:sz w:val="20"/>
              </w:rPr>
              <w:t>–</w:t>
            </w:r>
          </w:p>
        </w:tc>
        <w:tc>
          <w:tcPr>
            <w:tcW w:type="dxa" w:w="1728"/>
          </w:tcPr>
          <w:p>
            <w:pPr>
              <w:spacing w:line="240" w:lineRule="auto"/>
            </w:pPr>
            <w:r>
              <w:rPr>
                <w:rFonts w:ascii="Times New Roman" w:hAnsi="Times New Roman"/>
                <w:sz w:val="20"/>
              </w:rPr>
              <w:t>–</w:t>
            </w:r>
          </w:p>
        </w:tc>
        <w:tc>
          <w:tcPr>
            <w:tcW w:type="dxa" w:w="1728"/>
          </w:tcPr>
          <w:p>
            <w:pPr>
              <w:spacing w:line="240" w:lineRule="auto"/>
            </w:pPr>
            <w:r>
              <w:rPr>
                <w:rFonts w:ascii="Times New Roman" w:hAnsi="Times New Roman"/>
                <w:sz w:val="20"/>
              </w:rPr>
              <w:t>–</w:t>
            </w:r>
          </w:p>
        </w:tc>
        <w:tc>
          <w:tcPr>
            <w:tcW w:type="dxa" w:w="1728"/>
          </w:tcPr>
          <w:p>
            <w:pPr>
              <w:spacing w:line="240" w:lineRule="auto"/>
            </w:pPr>
            <w:r>
              <w:rPr>
                <w:rFonts w:ascii="Times New Roman" w:hAnsi="Times New Roman"/>
                <w:sz w:val="20"/>
              </w:rPr>
              <w:t>–</w:t>
            </w:r>
          </w:p>
        </w:tc>
      </w:tr>
      <w:tr>
        <w:tc>
          <w:tcPr>
            <w:tcW w:type="dxa" w:w="1728"/>
          </w:tcPr>
          <w:p>
            <w:pPr>
              <w:spacing w:line="240" w:lineRule="auto"/>
            </w:pPr>
            <w:r>
              <w:rPr>
                <w:rFonts w:ascii="Times New Roman" w:hAnsi="Times New Roman"/>
                <w:sz w:val="20"/>
              </w:rPr>
              <w:t>Alternative 3: 1:1 NN, with replacement</w:t>
            </w:r>
          </w:p>
        </w:tc>
        <w:tc>
          <w:tcPr>
            <w:tcW w:type="dxa" w:w="1728"/>
          </w:tcPr>
          <w:p>
            <w:pPr>
              <w:spacing w:line="240" w:lineRule="auto"/>
            </w:pPr>
            <w:r>
              <w:rPr>
                <w:rFonts w:ascii="Times New Roman" w:hAnsi="Times New Roman"/>
                <w:sz w:val="20"/>
              </w:rPr>
              <w:t>–</w:t>
            </w:r>
          </w:p>
        </w:tc>
        <w:tc>
          <w:tcPr>
            <w:tcW w:type="dxa" w:w="1728"/>
          </w:tcPr>
          <w:p>
            <w:pPr>
              <w:spacing w:line="240" w:lineRule="auto"/>
            </w:pPr>
            <w:r>
              <w:rPr>
                <w:rFonts w:ascii="Times New Roman" w:hAnsi="Times New Roman"/>
                <w:sz w:val="20"/>
              </w:rPr>
              <w:t>–</w:t>
            </w:r>
          </w:p>
        </w:tc>
        <w:tc>
          <w:tcPr>
            <w:tcW w:type="dxa" w:w="1728"/>
          </w:tcPr>
          <w:p>
            <w:pPr>
              <w:spacing w:line="240" w:lineRule="auto"/>
            </w:pPr>
            <w:r>
              <w:rPr>
                <w:rFonts w:ascii="Times New Roman" w:hAnsi="Times New Roman"/>
                <w:sz w:val="20"/>
              </w:rPr>
              <w:t>–</w:t>
            </w:r>
          </w:p>
        </w:tc>
        <w:tc>
          <w:tcPr>
            <w:tcW w:type="dxa" w:w="1728"/>
          </w:tcPr>
          <w:p>
            <w:pPr>
              <w:spacing w:line="240" w:lineRule="auto"/>
            </w:pPr>
            <w:r>
              <w:rPr>
                <w:rFonts w:ascii="Times New Roman" w:hAnsi="Times New Roman"/>
                <w:sz w:val="20"/>
              </w:rPr>
              <w:t>–</w:t>
            </w:r>
          </w:p>
        </w:tc>
      </w:tr>
      <w:tr>
        <w:tc>
          <w:tcPr>
            <w:tcW w:type="dxa" w:w="1728"/>
          </w:tcPr>
          <w:p>
            <w:pPr>
              <w:spacing w:line="240" w:lineRule="auto"/>
            </w:pPr>
            <w:r>
              <w:rPr>
                <w:rFonts w:ascii="Times New Roman" w:hAnsi="Times New Roman"/>
                <w:sz w:val="20"/>
              </w:rPr>
              <w:t>Alternative 4: Kernel matching</w:t>
            </w:r>
          </w:p>
        </w:tc>
        <w:tc>
          <w:tcPr>
            <w:tcW w:type="dxa" w:w="1728"/>
          </w:tcPr>
          <w:p>
            <w:pPr>
              <w:spacing w:line="240" w:lineRule="auto"/>
            </w:pPr>
            <w:r>
              <w:rPr>
                <w:rFonts w:ascii="Times New Roman" w:hAnsi="Times New Roman"/>
                <w:sz w:val="20"/>
              </w:rPr>
              <w:t>–</w:t>
            </w:r>
          </w:p>
        </w:tc>
        <w:tc>
          <w:tcPr>
            <w:tcW w:type="dxa" w:w="1728"/>
          </w:tcPr>
          <w:p>
            <w:pPr>
              <w:spacing w:line="240" w:lineRule="auto"/>
            </w:pPr>
            <w:r>
              <w:rPr>
                <w:rFonts w:ascii="Times New Roman" w:hAnsi="Times New Roman"/>
                <w:sz w:val="20"/>
              </w:rPr>
              <w:t>–</w:t>
            </w:r>
          </w:p>
        </w:tc>
        <w:tc>
          <w:tcPr>
            <w:tcW w:type="dxa" w:w="1728"/>
          </w:tcPr>
          <w:p>
            <w:pPr>
              <w:spacing w:line="240" w:lineRule="auto"/>
            </w:pPr>
            <w:r>
              <w:rPr>
                <w:rFonts w:ascii="Times New Roman" w:hAnsi="Times New Roman"/>
                <w:sz w:val="20"/>
              </w:rPr>
              <w:t>–</w:t>
            </w:r>
          </w:p>
        </w:tc>
        <w:tc>
          <w:tcPr>
            <w:tcW w:type="dxa" w:w="1728"/>
          </w:tcPr>
          <w:p>
            <w:pPr>
              <w:spacing w:line="240" w:lineRule="auto"/>
            </w:pPr>
            <w:r>
              <w:rPr>
                <w:rFonts w:ascii="Times New Roman" w:hAnsi="Times New Roman"/>
                <w:sz w:val="20"/>
              </w:rPr>
              <w:t>–</w:t>
            </w:r>
          </w:p>
        </w:tc>
      </w:tr>
      <w:tr>
        <w:tc>
          <w:tcPr>
            <w:tcW w:type="dxa" w:w="1728"/>
          </w:tcPr>
          <w:p>
            <w:pPr>
              <w:spacing w:line="240" w:lineRule="auto"/>
            </w:pPr>
            <w:r>
              <w:rPr>
                <w:rFonts w:ascii="Times New Roman" w:hAnsi="Times New Roman"/>
                <w:sz w:val="20"/>
              </w:rPr>
              <w:t>Alternative 5: Mahalanobis distance matching</w:t>
            </w:r>
          </w:p>
        </w:tc>
        <w:tc>
          <w:tcPr>
            <w:tcW w:type="dxa" w:w="1728"/>
          </w:tcPr>
          <w:p>
            <w:pPr>
              <w:spacing w:line="240" w:lineRule="auto"/>
            </w:pPr>
            <w:r>
              <w:rPr>
                <w:rFonts w:ascii="Times New Roman" w:hAnsi="Times New Roman"/>
                <w:sz w:val="20"/>
              </w:rPr>
              <w:t>–</w:t>
            </w:r>
          </w:p>
        </w:tc>
        <w:tc>
          <w:tcPr>
            <w:tcW w:type="dxa" w:w="1728"/>
          </w:tcPr>
          <w:p>
            <w:pPr>
              <w:spacing w:line="240" w:lineRule="auto"/>
            </w:pPr>
            <w:r>
              <w:rPr>
                <w:rFonts w:ascii="Times New Roman" w:hAnsi="Times New Roman"/>
                <w:sz w:val="20"/>
              </w:rPr>
              <w:t>–</w:t>
            </w:r>
          </w:p>
        </w:tc>
        <w:tc>
          <w:tcPr>
            <w:tcW w:type="dxa" w:w="1728"/>
          </w:tcPr>
          <w:p>
            <w:pPr>
              <w:spacing w:line="240" w:lineRule="auto"/>
            </w:pPr>
            <w:r>
              <w:rPr>
                <w:rFonts w:ascii="Times New Roman" w:hAnsi="Times New Roman"/>
                <w:sz w:val="20"/>
              </w:rPr>
              <w:t>–</w:t>
            </w:r>
          </w:p>
        </w:tc>
        <w:tc>
          <w:tcPr>
            <w:tcW w:type="dxa" w:w="1728"/>
          </w:tcPr>
          <w:p>
            <w:pPr>
              <w:spacing w:line="240" w:lineRule="auto"/>
            </w:pPr>
            <w:r>
              <w:rPr>
                <w:rFonts w:ascii="Times New Roman" w:hAnsi="Times New Roman"/>
                <w:sz w:val="20"/>
              </w:rPr>
              <w:t>–</w:t>
            </w:r>
          </w:p>
        </w:tc>
      </w:tr>
      <w:tr>
        <w:tc>
          <w:tcPr>
            <w:tcW w:type="dxa" w:w="1728"/>
          </w:tcPr>
          <w:p>
            <w:pPr>
              <w:spacing w:line="240" w:lineRule="auto"/>
            </w:pPr>
            <w:r>
              <w:rPr>
                <w:rFonts w:ascii="Times New Roman" w:hAnsi="Times New Roman"/>
                <w:sz w:val="20"/>
              </w:rPr>
              <w:t>Alternative 6: 1:1 NN, caliper = 0.1 SD</w:t>
            </w:r>
          </w:p>
        </w:tc>
        <w:tc>
          <w:tcPr>
            <w:tcW w:type="dxa" w:w="1728"/>
          </w:tcPr>
          <w:p>
            <w:pPr>
              <w:spacing w:line="240" w:lineRule="auto"/>
            </w:pPr>
            <w:r>
              <w:rPr>
                <w:rFonts w:ascii="Times New Roman" w:hAnsi="Times New Roman"/>
                <w:sz w:val="20"/>
              </w:rPr>
              <w:t>–</w:t>
            </w:r>
          </w:p>
        </w:tc>
        <w:tc>
          <w:tcPr>
            <w:tcW w:type="dxa" w:w="1728"/>
          </w:tcPr>
          <w:p>
            <w:pPr>
              <w:spacing w:line="240" w:lineRule="auto"/>
            </w:pPr>
            <w:r>
              <w:rPr>
                <w:rFonts w:ascii="Times New Roman" w:hAnsi="Times New Roman"/>
                <w:sz w:val="20"/>
              </w:rPr>
              <w:t>–</w:t>
            </w:r>
          </w:p>
        </w:tc>
        <w:tc>
          <w:tcPr>
            <w:tcW w:type="dxa" w:w="1728"/>
          </w:tcPr>
          <w:p>
            <w:pPr>
              <w:spacing w:line="240" w:lineRule="auto"/>
            </w:pPr>
            <w:r>
              <w:rPr>
                <w:rFonts w:ascii="Times New Roman" w:hAnsi="Times New Roman"/>
                <w:sz w:val="20"/>
              </w:rPr>
              <w:t>–</w:t>
            </w:r>
          </w:p>
        </w:tc>
        <w:tc>
          <w:tcPr>
            <w:tcW w:type="dxa" w:w="1728"/>
          </w:tcPr>
          <w:p>
            <w:pPr>
              <w:spacing w:line="240" w:lineRule="auto"/>
            </w:pPr>
            <w:r>
              <w:rPr>
                <w:rFonts w:ascii="Times New Roman" w:hAnsi="Times New Roman"/>
                <w:sz w:val="20"/>
              </w:rPr>
              <w:t>–</w:t>
            </w:r>
          </w:p>
        </w:tc>
      </w:tr>
      <w:tr>
        <w:tc>
          <w:tcPr>
            <w:tcW w:type="dxa" w:w="1728"/>
          </w:tcPr>
          <w:p>
            <w:pPr>
              <w:spacing w:line="240" w:lineRule="auto"/>
            </w:pPr>
            <w:r>
              <w:rPr>
                <w:rFonts w:ascii="Times New Roman" w:hAnsi="Times New Roman"/>
                <w:sz w:val="20"/>
              </w:rPr>
              <w:t>Alternative 7: 1:1 NN, caliper = 0.5 SD</w:t>
            </w:r>
          </w:p>
        </w:tc>
        <w:tc>
          <w:tcPr>
            <w:tcW w:type="dxa" w:w="1728"/>
          </w:tcPr>
          <w:p>
            <w:pPr>
              <w:spacing w:line="240" w:lineRule="auto"/>
            </w:pPr>
            <w:r>
              <w:rPr>
                <w:rFonts w:ascii="Times New Roman" w:hAnsi="Times New Roman"/>
                <w:sz w:val="20"/>
              </w:rPr>
              <w:t>–</w:t>
            </w:r>
          </w:p>
        </w:tc>
        <w:tc>
          <w:tcPr>
            <w:tcW w:type="dxa" w:w="1728"/>
          </w:tcPr>
          <w:p>
            <w:pPr>
              <w:spacing w:line="240" w:lineRule="auto"/>
            </w:pPr>
            <w:r>
              <w:rPr>
                <w:rFonts w:ascii="Times New Roman" w:hAnsi="Times New Roman"/>
                <w:sz w:val="20"/>
              </w:rPr>
              <w:t>–</w:t>
            </w:r>
          </w:p>
        </w:tc>
        <w:tc>
          <w:tcPr>
            <w:tcW w:type="dxa" w:w="1728"/>
          </w:tcPr>
          <w:p>
            <w:pPr>
              <w:spacing w:line="240" w:lineRule="auto"/>
            </w:pPr>
            <w:r>
              <w:rPr>
                <w:rFonts w:ascii="Times New Roman" w:hAnsi="Times New Roman"/>
                <w:sz w:val="20"/>
              </w:rPr>
              <w:t>–</w:t>
            </w:r>
          </w:p>
        </w:tc>
        <w:tc>
          <w:tcPr>
            <w:tcW w:type="dxa" w:w="1728"/>
          </w:tcPr>
          <w:p>
            <w:pPr>
              <w:spacing w:line="240" w:lineRule="auto"/>
            </w:pPr>
            <w:r>
              <w:rPr>
                <w:rFonts w:ascii="Times New Roman" w:hAnsi="Times New Roman"/>
                <w:sz w:val="20"/>
              </w:rPr>
              <w:t>–</w:t>
            </w:r>
          </w:p>
        </w:tc>
      </w:tr>
    </w:tbl>
    <w:p>
      <w:pPr>
        <w:pStyle w:val="Heading3"/>
      </w:pPr>
      <w:r>
        <w:rPr>
          <w:rFonts w:ascii="Times New Roman" w:hAnsi="Times New Roman"/>
          <w:color w:val="000000"/>
        </w:rPr>
        <w:t>Table D.4: Sensitivity to Fixed Effects Specification</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pPr>
              <w:spacing w:line="240" w:lineRule="auto"/>
            </w:pPr>
            <w:r>
              <w:rPr>
                <w:rFonts w:ascii="Times New Roman" w:hAnsi="Times New Roman"/>
                <w:b/>
                <w:sz w:val="20"/>
              </w:rPr>
              <w:t>Fixed Effects</w:t>
            </w:r>
          </w:p>
        </w:tc>
        <w:tc>
          <w:tcPr>
            <w:tcW w:type="dxa" w:w="1728"/>
          </w:tcPr>
          <w:p>
            <w:pPr>
              <w:spacing w:line="240" w:lineRule="auto"/>
            </w:pPr>
            <w:r>
              <w:rPr>
                <w:rFonts w:ascii="Times New Roman" w:hAnsi="Times New Roman"/>
                <w:b/>
                <w:sz w:val="20"/>
              </w:rPr>
              <w:t>Tradeoff (Cost Growth)</w:t>
            </w:r>
          </w:p>
        </w:tc>
        <w:tc>
          <w:tcPr>
            <w:tcW w:type="dxa" w:w="1728"/>
          </w:tcPr>
          <w:p>
            <w:pPr>
              <w:spacing w:line="240" w:lineRule="auto"/>
            </w:pPr>
            <w:r>
              <w:rPr>
                <w:rFonts w:ascii="Times New Roman" w:hAnsi="Times New Roman"/>
                <w:b/>
                <w:sz w:val="20"/>
              </w:rPr>
              <w:t>SE</w:t>
            </w:r>
          </w:p>
        </w:tc>
        <w:tc>
          <w:tcPr>
            <w:tcW w:type="dxa" w:w="1728"/>
          </w:tcPr>
          <w:p>
            <w:pPr>
              <w:spacing w:line="240" w:lineRule="auto"/>
            </w:pPr>
            <w:r>
              <w:rPr>
                <w:rFonts w:ascii="Times New Roman" w:hAnsi="Times New Roman"/>
                <w:b/>
                <w:sz w:val="20"/>
              </w:rPr>
              <w:t>p</w:t>
            </w:r>
          </w:p>
        </w:tc>
        <w:tc>
          <w:tcPr>
            <w:tcW w:type="dxa" w:w="1728"/>
          </w:tcPr>
          <w:p>
            <w:pPr>
              <w:spacing w:line="240" w:lineRule="auto"/>
            </w:pPr>
            <w:r>
              <w:rPr>
                <w:rFonts w:ascii="Times New Roman" w:hAnsi="Times New Roman"/>
                <w:b/>
                <w:sz w:val="20"/>
              </w:rPr>
              <w:t>R-sq</w:t>
            </w:r>
          </w:p>
        </w:tc>
      </w:tr>
      <w:tr>
        <w:tc>
          <w:tcPr>
            <w:tcW w:type="dxa" w:w="1728"/>
          </w:tcPr>
          <w:p>
            <w:pPr>
              <w:spacing w:line="240" w:lineRule="auto"/>
            </w:pPr>
            <w:r>
              <w:rPr>
                <w:rFonts w:ascii="Times New Roman" w:hAnsi="Times New Roman"/>
                <w:sz w:val="20"/>
              </w:rPr>
              <w:t>Primary: Agency + FY</w:t>
            </w:r>
          </w:p>
        </w:tc>
        <w:tc>
          <w:tcPr>
            <w:tcW w:type="dxa" w:w="1728"/>
          </w:tcPr>
          <w:p>
            <w:pPr>
              <w:spacing w:line="240" w:lineRule="auto"/>
            </w:pPr>
            <w:r>
              <w:rPr>
                <w:rFonts w:ascii="Times New Roman" w:hAnsi="Times New Roman"/>
                <w:sz w:val="20"/>
              </w:rPr>
              <w:t>–</w:t>
            </w:r>
          </w:p>
        </w:tc>
        <w:tc>
          <w:tcPr>
            <w:tcW w:type="dxa" w:w="1728"/>
          </w:tcPr>
          <w:p>
            <w:pPr>
              <w:spacing w:line="240" w:lineRule="auto"/>
            </w:pPr>
            <w:r>
              <w:rPr>
                <w:rFonts w:ascii="Times New Roman" w:hAnsi="Times New Roman"/>
                <w:sz w:val="20"/>
              </w:rPr>
              <w:t>–</w:t>
            </w:r>
          </w:p>
        </w:tc>
        <w:tc>
          <w:tcPr>
            <w:tcW w:type="dxa" w:w="1728"/>
          </w:tcPr>
          <w:p>
            <w:pPr>
              <w:spacing w:line="240" w:lineRule="auto"/>
            </w:pPr>
            <w:r>
              <w:rPr>
                <w:rFonts w:ascii="Times New Roman" w:hAnsi="Times New Roman"/>
                <w:sz w:val="20"/>
              </w:rPr>
              <w:t>–</w:t>
            </w:r>
          </w:p>
        </w:tc>
        <w:tc>
          <w:tcPr>
            <w:tcW w:type="dxa" w:w="1728"/>
          </w:tcPr>
          <w:p>
            <w:pPr>
              <w:spacing w:line="240" w:lineRule="auto"/>
            </w:pPr>
            <w:r>
              <w:rPr>
                <w:rFonts w:ascii="Times New Roman" w:hAnsi="Times New Roman"/>
                <w:sz w:val="20"/>
              </w:rPr>
              <w:t>–</w:t>
            </w:r>
          </w:p>
        </w:tc>
      </w:tr>
      <w:tr>
        <w:tc>
          <w:tcPr>
            <w:tcW w:type="dxa" w:w="1728"/>
          </w:tcPr>
          <w:p>
            <w:pPr>
              <w:spacing w:line="240" w:lineRule="auto"/>
            </w:pPr>
            <w:r>
              <w:rPr>
                <w:rFonts w:ascii="Times New Roman" w:hAnsi="Times New Roman"/>
                <w:sz w:val="20"/>
              </w:rPr>
              <w:t>Alternative 1: Agency x FY</w:t>
            </w:r>
          </w:p>
        </w:tc>
        <w:tc>
          <w:tcPr>
            <w:tcW w:type="dxa" w:w="1728"/>
          </w:tcPr>
          <w:p>
            <w:pPr>
              <w:spacing w:line="240" w:lineRule="auto"/>
            </w:pPr>
            <w:r>
              <w:rPr>
                <w:rFonts w:ascii="Times New Roman" w:hAnsi="Times New Roman"/>
                <w:sz w:val="20"/>
              </w:rPr>
              <w:t>–</w:t>
            </w:r>
          </w:p>
        </w:tc>
        <w:tc>
          <w:tcPr>
            <w:tcW w:type="dxa" w:w="1728"/>
          </w:tcPr>
          <w:p>
            <w:pPr>
              <w:spacing w:line="240" w:lineRule="auto"/>
            </w:pPr>
            <w:r>
              <w:rPr>
                <w:rFonts w:ascii="Times New Roman" w:hAnsi="Times New Roman"/>
                <w:sz w:val="20"/>
              </w:rPr>
              <w:t>–</w:t>
            </w:r>
          </w:p>
        </w:tc>
        <w:tc>
          <w:tcPr>
            <w:tcW w:type="dxa" w:w="1728"/>
          </w:tcPr>
          <w:p>
            <w:pPr>
              <w:spacing w:line="240" w:lineRule="auto"/>
            </w:pPr>
            <w:r>
              <w:rPr>
                <w:rFonts w:ascii="Times New Roman" w:hAnsi="Times New Roman"/>
                <w:sz w:val="20"/>
              </w:rPr>
              <w:t>–</w:t>
            </w:r>
          </w:p>
        </w:tc>
        <w:tc>
          <w:tcPr>
            <w:tcW w:type="dxa" w:w="1728"/>
          </w:tcPr>
          <w:p>
            <w:pPr>
              <w:spacing w:line="240" w:lineRule="auto"/>
            </w:pPr>
            <w:r>
              <w:rPr>
                <w:rFonts w:ascii="Times New Roman" w:hAnsi="Times New Roman"/>
                <w:sz w:val="20"/>
              </w:rPr>
              <w:t>–</w:t>
            </w:r>
          </w:p>
        </w:tc>
      </w:tr>
      <w:tr>
        <w:tc>
          <w:tcPr>
            <w:tcW w:type="dxa" w:w="1728"/>
          </w:tcPr>
          <w:p>
            <w:pPr>
              <w:spacing w:line="240" w:lineRule="auto"/>
            </w:pPr>
            <w:r>
              <w:rPr>
                <w:rFonts w:ascii="Times New Roman" w:hAnsi="Times New Roman"/>
                <w:sz w:val="20"/>
              </w:rPr>
              <w:t>Alternative 2: Agency + NAICS (4-digit) + FY</w:t>
            </w:r>
          </w:p>
        </w:tc>
        <w:tc>
          <w:tcPr>
            <w:tcW w:type="dxa" w:w="1728"/>
          </w:tcPr>
          <w:p>
            <w:pPr>
              <w:spacing w:line="240" w:lineRule="auto"/>
            </w:pPr>
            <w:r>
              <w:rPr>
                <w:rFonts w:ascii="Times New Roman" w:hAnsi="Times New Roman"/>
                <w:sz w:val="20"/>
              </w:rPr>
              <w:t>–</w:t>
            </w:r>
          </w:p>
        </w:tc>
        <w:tc>
          <w:tcPr>
            <w:tcW w:type="dxa" w:w="1728"/>
          </w:tcPr>
          <w:p>
            <w:pPr>
              <w:spacing w:line="240" w:lineRule="auto"/>
            </w:pPr>
            <w:r>
              <w:rPr>
                <w:rFonts w:ascii="Times New Roman" w:hAnsi="Times New Roman"/>
                <w:sz w:val="20"/>
              </w:rPr>
              <w:t>–</w:t>
            </w:r>
          </w:p>
        </w:tc>
        <w:tc>
          <w:tcPr>
            <w:tcW w:type="dxa" w:w="1728"/>
          </w:tcPr>
          <w:p>
            <w:pPr>
              <w:spacing w:line="240" w:lineRule="auto"/>
            </w:pPr>
            <w:r>
              <w:rPr>
                <w:rFonts w:ascii="Times New Roman" w:hAnsi="Times New Roman"/>
                <w:sz w:val="20"/>
              </w:rPr>
              <w:t>–</w:t>
            </w:r>
          </w:p>
        </w:tc>
        <w:tc>
          <w:tcPr>
            <w:tcW w:type="dxa" w:w="1728"/>
          </w:tcPr>
          <w:p>
            <w:pPr>
              <w:spacing w:line="240" w:lineRule="auto"/>
            </w:pPr>
            <w:r>
              <w:rPr>
                <w:rFonts w:ascii="Times New Roman" w:hAnsi="Times New Roman"/>
                <w:sz w:val="20"/>
              </w:rPr>
              <w:t>–</w:t>
            </w:r>
          </w:p>
        </w:tc>
      </w:tr>
      <w:tr>
        <w:tc>
          <w:tcPr>
            <w:tcW w:type="dxa" w:w="1728"/>
          </w:tcPr>
          <w:p>
            <w:pPr>
              <w:spacing w:line="240" w:lineRule="auto"/>
            </w:pPr>
            <w:r>
              <w:rPr>
                <w:rFonts w:ascii="Times New Roman" w:hAnsi="Times New Roman"/>
                <w:sz w:val="20"/>
              </w:rPr>
              <w:t>Alternative 3: Agency x NAICS (3-digit)</w:t>
            </w:r>
          </w:p>
        </w:tc>
        <w:tc>
          <w:tcPr>
            <w:tcW w:type="dxa" w:w="1728"/>
          </w:tcPr>
          <w:p>
            <w:pPr>
              <w:spacing w:line="240" w:lineRule="auto"/>
            </w:pPr>
            <w:r>
              <w:rPr>
                <w:rFonts w:ascii="Times New Roman" w:hAnsi="Times New Roman"/>
                <w:sz w:val="20"/>
              </w:rPr>
              <w:t>–</w:t>
            </w:r>
          </w:p>
        </w:tc>
        <w:tc>
          <w:tcPr>
            <w:tcW w:type="dxa" w:w="1728"/>
          </w:tcPr>
          <w:p>
            <w:pPr>
              <w:spacing w:line="240" w:lineRule="auto"/>
            </w:pPr>
            <w:r>
              <w:rPr>
                <w:rFonts w:ascii="Times New Roman" w:hAnsi="Times New Roman"/>
                <w:sz w:val="20"/>
              </w:rPr>
              <w:t>–</w:t>
            </w:r>
          </w:p>
        </w:tc>
        <w:tc>
          <w:tcPr>
            <w:tcW w:type="dxa" w:w="1728"/>
          </w:tcPr>
          <w:p>
            <w:pPr>
              <w:spacing w:line="240" w:lineRule="auto"/>
            </w:pPr>
            <w:r>
              <w:rPr>
                <w:rFonts w:ascii="Times New Roman" w:hAnsi="Times New Roman"/>
                <w:sz w:val="20"/>
              </w:rPr>
              <w:t>–</w:t>
            </w:r>
          </w:p>
        </w:tc>
        <w:tc>
          <w:tcPr>
            <w:tcW w:type="dxa" w:w="1728"/>
          </w:tcPr>
          <w:p>
            <w:pPr>
              <w:spacing w:line="240" w:lineRule="auto"/>
            </w:pPr>
            <w:r>
              <w:rPr>
                <w:rFonts w:ascii="Times New Roman" w:hAnsi="Times New Roman"/>
                <w:sz w:val="20"/>
              </w:rPr>
              <w:t>–</w:t>
            </w:r>
          </w:p>
        </w:tc>
      </w:tr>
      <w:tr>
        <w:tc>
          <w:tcPr>
            <w:tcW w:type="dxa" w:w="1728"/>
          </w:tcPr>
          <w:p>
            <w:pPr>
              <w:spacing w:line="240" w:lineRule="auto"/>
            </w:pPr>
            <w:r>
              <w:rPr>
                <w:rFonts w:ascii="Times New Roman" w:hAnsi="Times New Roman"/>
                <w:sz w:val="20"/>
              </w:rPr>
              <w:t>Alternative 4: Sub-Agency + FY</w:t>
            </w:r>
          </w:p>
        </w:tc>
        <w:tc>
          <w:tcPr>
            <w:tcW w:type="dxa" w:w="1728"/>
          </w:tcPr>
          <w:p>
            <w:pPr>
              <w:spacing w:line="240" w:lineRule="auto"/>
            </w:pPr>
            <w:r>
              <w:rPr>
                <w:rFonts w:ascii="Times New Roman" w:hAnsi="Times New Roman"/>
                <w:sz w:val="20"/>
              </w:rPr>
              <w:t>–</w:t>
            </w:r>
          </w:p>
        </w:tc>
        <w:tc>
          <w:tcPr>
            <w:tcW w:type="dxa" w:w="1728"/>
          </w:tcPr>
          <w:p>
            <w:pPr>
              <w:spacing w:line="240" w:lineRule="auto"/>
            </w:pPr>
            <w:r>
              <w:rPr>
                <w:rFonts w:ascii="Times New Roman" w:hAnsi="Times New Roman"/>
                <w:sz w:val="20"/>
              </w:rPr>
              <w:t>–</w:t>
            </w:r>
          </w:p>
        </w:tc>
        <w:tc>
          <w:tcPr>
            <w:tcW w:type="dxa" w:w="1728"/>
          </w:tcPr>
          <w:p>
            <w:pPr>
              <w:spacing w:line="240" w:lineRule="auto"/>
            </w:pPr>
            <w:r>
              <w:rPr>
                <w:rFonts w:ascii="Times New Roman" w:hAnsi="Times New Roman"/>
                <w:sz w:val="20"/>
              </w:rPr>
              <w:t>–</w:t>
            </w:r>
          </w:p>
        </w:tc>
        <w:tc>
          <w:tcPr>
            <w:tcW w:type="dxa" w:w="1728"/>
          </w:tcPr>
          <w:p>
            <w:pPr>
              <w:spacing w:line="240" w:lineRule="auto"/>
            </w:pPr>
            <w:r>
              <w:rPr>
                <w:rFonts w:ascii="Times New Roman" w:hAnsi="Times New Roman"/>
                <w:sz w:val="20"/>
              </w:rPr>
              <w:t>–</w:t>
            </w:r>
          </w:p>
        </w:tc>
      </w:tr>
    </w:tbl>
    <w:p>
      <w:pPr>
        <w:pStyle w:val="Heading3"/>
      </w:pPr>
      <w:r>
        <w:rPr>
          <w:rFonts w:ascii="Times New Roman" w:hAnsi="Times New Roman"/>
          <w:color w:val="000000"/>
        </w:rPr>
        <w:t>Table D.5: Sensitivity to Standard Error Clustering</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pPr>
              <w:spacing w:line="240" w:lineRule="auto"/>
            </w:pPr>
            <w:r>
              <w:rPr>
                <w:rFonts w:ascii="Times New Roman" w:hAnsi="Times New Roman"/>
                <w:b/>
                <w:sz w:val="20"/>
              </w:rPr>
              <w:t>Clustering Level</w:t>
            </w:r>
          </w:p>
        </w:tc>
        <w:tc>
          <w:tcPr>
            <w:tcW w:type="dxa" w:w="2160"/>
          </w:tcPr>
          <w:p>
            <w:pPr>
              <w:spacing w:line="240" w:lineRule="auto"/>
            </w:pPr>
            <w:r>
              <w:rPr>
                <w:rFonts w:ascii="Times New Roman" w:hAnsi="Times New Roman"/>
                <w:b/>
                <w:sz w:val="20"/>
              </w:rPr>
              <w:t>Tradeoff (Cost Growth)</w:t>
            </w:r>
          </w:p>
        </w:tc>
        <w:tc>
          <w:tcPr>
            <w:tcW w:type="dxa" w:w="2160"/>
          </w:tcPr>
          <w:p>
            <w:pPr>
              <w:spacing w:line="240" w:lineRule="auto"/>
            </w:pPr>
            <w:r>
              <w:rPr>
                <w:rFonts w:ascii="Times New Roman" w:hAnsi="Times New Roman"/>
                <w:b/>
                <w:sz w:val="20"/>
              </w:rPr>
              <w:t>SE</w:t>
            </w:r>
          </w:p>
        </w:tc>
        <w:tc>
          <w:tcPr>
            <w:tcW w:type="dxa" w:w="2160"/>
          </w:tcPr>
          <w:p>
            <w:pPr>
              <w:spacing w:line="240" w:lineRule="auto"/>
            </w:pPr>
            <w:r>
              <w:rPr>
                <w:rFonts w:ascii="Times New Roman" w:hAnsi="Times New Roman"/>
                <w:b/>
                <w:sz w:val="20"/>
              </w:rPr>
              <w:t>p</w:t>
            </w:r>
          </w:p>
        </w:tc>
      </w:tr>
      <w:tr>
        <w:tc>
          <w:tcPr>
            <w:tcW w:type="dxa" w:w="2160"/>
          </w:tcPr>
          <w:p>
            <w:pPr>
              <w:spacing w:line="240" w:lineRule="auto"/>
            </w:pPr>
            <w:r>
              <w:rPr>
                <w:rFonts w:ascii="Times New Roman" w:hAnsi="Times New Roman"/>
                <w:sz w:val="20"/>
              </w:rPr>
              <w:t>Primary: Agency-NAICS</w:t>
            </w:r>
          </w:p>
        </w:tc>
        <w:tc>
          <w:tcPr>
            <w:tcW w:type="dxa" w:w="2160"/>
          </w:tcPr>
          <w:p>
            <w:pPr>
              <w:spacing w:line="240" w:lineRule="auto"/>
            </w:pPr>
            <w:r>
              <w:rPr>
                <w:rFonts w:ascii="Times New Roman" w:hAnsi="Times New Roman"/>
                <w:sz w:val="20"/>
              </w:rPr>
              <w:t>–</w:t>
            </w:r>
          </w:p>
        </w:tc>
        <w:tc>
          <w:tcPr>
            <w:tcW w:type="dxa" w:w="2160"/>
          </w:tcPr>
          <w:p>
            <w:pPr>
              <w:spacing w:line="240" w:lineRule="auto"/>
            </w:pPr>
            <w:r>
              <w:rPr>
                <w:rFonts w:ascii="Times New Roman" w:hAnsi="Times New Roman"/>
                <w:sz w:val="20"/>
              </w:rPr>
              <w:t>–</w:t>
            </w:r>
          </w:p>
        </w:tc>
        <w:tc>
          <w:tcPr>
            <w:tcW w:type="dxa" w:w="2160"/>
          </w:tcPr>
          <w:p>
            <w:pPr>
              <w:spacing w:line="240" w:lineRule="auto"/>
            </w:pPr>
            <w:r>
              <w:rPr>
                <w:rFonts w:ascii="Times New Roman" w:hAnsi="Times New Roman"/>
                <w:sz w:val="20"/>
              </w:rPr>
              <w:t>–</w:t>
            </w:r>
          </w:p>
        </w:tc>
      </w:tr>
      <w:tr>
        <w:tc>
          <w:tcPr>
            <w:tcW w:type="dxa" w:w="2160"/>
          </w:tcPr>
          <w:p>
            <w:pPr>
              <w:spacing w:line="240" w:lineRule="auto"/>
            </w:pPr>
            <w:r>
              <w:rPr>
                <w:rFonts w:ascii="Times New Roman" w:hAnsi="Times New Roman"/>
                <w:sz w:val="20"/>
              </w:rPr>
              <w:t>Alternative 1: Agency only</w:t>
            </w:r>
          </w:p>
        </w:tc>
        <w:tc>
          <w:tcPr>
            <w:tcW w:type="dxa" w:w="2160"/>
          </w:tcPr>
          <w:p>
            <w:pPr>
              <w:spacing w:line="240" w:lineRule="auto"/>
            </w:pPr>
            <w:r>
              <w:rPr>
                <w:rFonts w:ascii="Times New Roman" w:hAnsi="Times New Roman"/>
                <w:sz w:val="20"/>
              </w:rPr>
              <w:t>–</w:t>
            </w:r>
          </w:p>
        </w:tc>
        <w:tc>
          <w:tcPr>
            <w:tcW w:type="dxa" w:w="2160"/>
          </w:tcPr>
          <w:p>
            <w:pPr>
              <w:spacing w:line="240" w:lineRule="auto"/>
            </w:pPr>
            <w:r>
              <w:rPr>
                <w:rFonts w:ascii="Times New Roman" w:hAnsi="Times New Roman"/>
                <w:sz w:val="20"/>
              </w:rPr>
              <w:t>–</w:t>
            </w:r>
          </w:p>
        </w:tc>
        <w:tc>
          <w:tcPr>
            <w:tcW w:type="dxa" w:w="2160"/>
          </w:tcPr>
          <w:p>
            <w:pPr>
              <w:spacing w:line="240" w:lineRule="auto"/>
            </w:pPr>
            <w:r>
              <w:rPr>
                <w:rFonts w:ascii="Times New Roman" w:hAnsi="Times New Roman"/>
                <w:sz w:val="20"/>
              </w:rPr>
              <w:t>–</w:t>
            </w:r>
          </w:p>
        </w:tc>
      </w:tr>
      <w:tr>
        <w:tc>
          <w:tcPr>
            <w:tcW w:type="dxa" w:w="2160"/>
          </w:tcPr>
          <w:p>
            <w:pPr>
              <w:spacing w:line="240" w:lineRule="auto"/>
            </w:pPr>
            <w:r>
              <w:rPr>
                <w:rFonts w:ascii="Times New Roman" w:hAnsi="Times New Roman"/>
                <w:sz w:val="20"/>
              </w:rPr>
              <w:t>Alternative 2: NAICS only</w:t>
            </w:r>
          </w:p>
        </w:tc>
        <w:tc>
          <w:tcPr>
            <w:tcW w:type="dxa" w:w="2160"/>
          </w:tcPr>
          <w:p>
            <w:pPr>
              <w:spacing w:line="240" w:lineRule="auto"/>
            </w:pPr>
            <w:r>
              <w:rPr>
                <w:rFonts w:ascii="Times New Roman" w:hAnsi="Times New Roman"/>
                <w:sz w:val="20"/>
              </w:rPr>
              <w:t>–</w:t>
            </w:r>
          </w:p>
        </w:tc>
        <w:tc>
          <w:tcPr>
            <w:tcW w:type="dxa" w:w="2160"/>
          </w:tcPr>
          <w:p>
            <w:pPr>
              <w:spacing w:line="240" w:lineRule="auto"/>
            </w:pPr>
            <w:r>
              <w:rPr>
                <w:rFonts w:ascii="Times New Roman" w:hAnsi="Times New Roman"/>
                <w:sz w:val="20"/>
              </w:rPr>
              <w:t>–</w:t>
            </w:r>
          </w:p>
        </w:tc>
        <w:tc>
          <w:tcPr>
            <w:tcW w:type="dxa" w:w="2160"/>
          </w:tcPr>
          <w:p>
            <w:pPr>
              <w:spacing w:line="240" w:lineRule="auto"/>
            </w:pPr>
            <w:r>
              <w:rPr>
                <w:rFonts w:ascii="Times New Roman" w:hAnsi="Times New Roman"/>
                <w:sz w:val="20"/>
              </w:rPr>
              <w:t>–</w:t>
            </w:r>
          </w:p>
        </w:tc>
      </w:tr>
      <w:tr>
        <w:tc>
          <w:tcPr>
            <w:tcW w:type="dxa" w:w="2160"/>
          </w:tcPr>
          <w:p>
            <w:pPr>
              <w:spacing w:line="240" w:lineRule="auto"/>
            </w:pPr>
            <w:r>
              <w:rPr>
                <w:rFonts w:ascii="Times New Roman" w:hAnsi="Times New Roman"/>
                <w:sz w:val="20"/>
              </w:rPr>
              <w:t>Alternative 3: Two-way (Agency + FY)</w:t>
            </w:r>
          </w:p>
        </w:tc>
        <w:tc>
          <w:tcPr>
            <w:tcW w:type="dxa" w:w="2160"/>
          </w:tcPr>
          <w:p>
            <w:pPr>
              <w:spacing w:line="240" w:lineRule="auto"/>
            </w:pPr>
            <w:r>
              <w:rPr>
                <w:rFonts w:ascii="Times New Roman" w:hAnsi="Times New Roman"/>
                <w:sz w:val="20"/>
              </w:rPr>
              <w:t>–</w:t>
            </w:r>
          </w:p>
        </w:tc>
        <w:tc>
          <w:tcPr>
            <w:tcW w:type="dxa" w:w="2160"/>
          </w:tcPr>
          <w:p>
            <w:pPr>
              <w:spacing w:line="240" w:lineRule="auto"/>
            </w:pPr>
            <w:r>
              <w:rPr>
                <w:rFonts w:ascii="Times New Roman" w:hAnsi="Times New Roman"/>
                <w:sz w:val="20"/>
              </w:rPr>
              <w:t>–</w:t>
            </w:r>
          </w:p>
        </w:tc>
        <w:tc>
          <w:tcPr>
            <w:tcW w:type="dxa" w:w="2160"/>
          </w:tcPr>
          <w:p>
            <w:pPr>
              <w:spacing w:line="240" w:lineRule="auto"/>
            </w:pPr>
            <w:r>
              <w:rPr>
                <w:rFonts w:ascii="Times New Roman" w:hAnsi="Times New Roman"/>
                <w:sz w:val="20"/>
              </w:rPr>
              <w:t>–</w:t>
            </w:r>
          </w:p>
        </w:tc>
      </w:tr>
      <w:tr>
        <w:tc>
          <w:tcPr>
            <w:tcW w:type="dxa" w:w="2160"/>
          </w:tcPr>
          <w:p>
            <w:pPr>
              <w:spacing w:line="240" w:lineRule="auto"/>
            </w:pPr>
            <w:r>
              <w:rPr>
                <w:rFonts w:ascii="Times New Roman" w:hAnsi="Times New Roman"/>
                <w:sz w:val="20"/>
              </w:rPr>
              <w:t>Alternative 4: HC3 (heteroskedasticity-consistent)</w:t>
            </w:r>
          </w:p>
        </w:tc>
        <w:tc>
          <w:tcPr>
            <w:tcW w:type="dxa" w:w="2160"/>
          </w:tcPr>
          <w:p>
            <w:pPr>
              <w:spacing w:line="240" w:lineRule="auto"/>
            </w:pPr>
            <w:r>
              <w:rPr>
                <w:rFonts w:ascii="Times New Roman" w:hAnsi="Times New Roman"/>
                <w:sz w:val="20"/>
              </w:rPr>
              <w:t>–</w:t>
            </w:r>
          </w:p>
        </w:tc>
        <w:tc>
          <w:tcPr>
            <w:tcW w:type="dxa" w:w="2160"/>
          </w:tcPr>
          <w:p>
            <w:pPr>
              <w:spacing w:line="240" w:lineRule="auto"/>
            </w:pPr>
            <w:r>
              <w:rPr>
                <w:rFonts w:ascii="Times New Roman" w:hAnsi="Times New Roman"/>
                <w:sz w:val="20"/>
              </w:rPr>
              <w:t>–</w:t>
            </w:r>
          </w:p>
        </w:tc>
        <w:tc>
          <w:tcPr>
            <w:tcW w:type="dxa" w:w="2160"/>
          </w:tcPr>
          <w:p>
            <w:pPr>
              <w:spacing w:line="240" w:lineRule="auto"/>
            </w:pPr>
            <w:r>
              <w:rPr>
                <w:rFonts w:ascii="Times New Roman" w:hAnsi="Times New Roman"/>
                <w:sz w:val="20"/>
              </w:rPr>
              <w:t>–</w:t>
            </w:r>
          </w:p>
        </w:tc>
      </w:tr>
    </w:tbl>
    <w:p>
      <w:pPr>
        <w:pStyle w:val="Heading3"/>
      </w:pPr>
      <w:r>
        <w:rPr>
          <w:rFonts w:ascii="Times New Roman" w:hAnsi="Times New Roman"/>
          <w:color w:val="000000"/>
        </w:rPr>
        <w:t>Table D.6: Placebo Tests</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pPr>
              <w:spacing w:line="240" w:lineRule="auto"/>
            </w:pPr>
            <w:r>
              <w:rPr>
                <w:rFonts w:ascii="Times New Roman" w:hAnsi="Times New Roman"/>
                <w:b/>
                <w:sz w:val="20"/>
              </w:rPr>
              <w:t>Placebo Specification</w:t>
            </w:r>
          </w:p>
        </w:tc>
        <w:tc>
          <w:tcPr>
            <w:tcW w:type="dxa" w:w="1728"/>
          </w:tcPr>
          <w:p>
            <w:pPr>
              <w:spacing w:line="240" w:lineRule="auto"/>
            </w:pPr>
            <w:r>
              <w:rPr>
                <w:rFonts w:ascii="Times New Roman" w:hAnsi="Times New Roman"/>
                <w:b/>
                <w:sz w:val="20"/>
              </w:rPr>
              <w:t>Tradeoff Coefficient</w:t>
            </w:r>
          </w:p>
        </w:tc>
        <w:tc>
          <w:tcPr>
            <w:tcW w:type="dxa" w:w="1728"/>
          </w:tcPr>
          <w:p>
            <w:pPr>
              <w:spacing w:line="240" w:lineRule="auto"/>
            </w:pPr>
            <w:r>
              <w:rPr>
                <w:rFonts w:ascii="Times New Roman" w:hAnsi="Times New Roman"/>
                <w:b/>
                <w:sz w:val="20"/>
              </w:rPr>
              <w:t>SE</w:t>
            </w:r>
          </w:p>
        </w:tc>
        <w:tc>
          <w:tcPr>
            <w:tcW w:type="dxa" w:w="1728"/>
          </w:tcPr>
          <w:p>
            <w:pPr>
              <w:spacing w:line="240" w:lineRule="auto"/>
            </w:pPr>
            <w:r>
              <w:rPr>
                <w:rFonts w:ascii="Times New Roman" w:hAnsi="Times New Roman"/>
                <w:b/>
                <w:sz w:val="20"/>
              </w:rPr>
              <w:t>p-value</w:t>
            </w:r>
          </w:p>
        </w:tc>
        <w:tc>
          <w:tcPr>
            <w:tcW w:type="dxa" w:w="1728"/>
          </w:tcPr>
          <w:p>
            <w:pPr>
              <w:spacing w:line="240" w:lineRule="auto"/>
            </w:pPr>
            <w:r>
              <w:rPr>
                <w:rFonts w:ascii="Times New Roman" w:hAnsi="Times New Roman"/>
                <w:b/>
                <w:sz w:val="20"/>
              </w:rPr>
              <w:t>N</w:t>
            </w:r>
          </w:p>
        </w:tc>
      </w:tr>
      <w:tr>
        <w:tc>
          <w:tcPr>
            <w:tcW w:type="dxa" w:w="1728"/>
          </w:tcPr>
          <w:p>
            <w:pPr>
              <w:spacing w:line="240" w:lineRule="auto"/>
            </w:pPr>
            <w:r>
              <w:rPr>
                <w:rFonts w:ascii="Times New Roman" w:hAnsi="Times New Roman"/>
                <w:sz w:val="20"/>
              </w:rPr>
              <w:t>Commodity supply contracts (NAICS 31–33)</w:t>
            </w:r>
          </w:p>
        </w:tc>
        <w:tc>
          <w:tcPr>
            <w:tcW w:type="dxa" w:w="1728"/>
          </w:tcPr>
          <w:p>
            <w:pPr>
              <w:spacing w:line="240" w:lineRule="auto"/>
            </w:pPr>
            <w:r>
              <w:rPr>
                <w:rFonts w:ascii="Times New Roman" w:hAnsi="Times New Roman"/>
                <w:sz w:val="20"/>
              </w:rPr>
              <w:t>–</w:t>
            </w:r>
          </w:p>
        </w:tc>
        <w:tc>
          <w:tcPr>
            <w:tcW w:type="dxa" w:w="1728"/>
          </w:tcPr>
          <w:p>
            <w:pPr>
              <w:spacing w:line="240" w:lineRule="auto"/>
            </w:pPr>
            <w:r>
              <w:rPr>
                <w:rFonts w:ascii="Times New Roman" w:hAnsi="Times New Roman"/>
                <w:sz w:val="20"/>
              </w:rPr>
              <w:t>–</w:t>
            </w:r>
          </w:p>
        </w:tc>
        <w:tc>
          <w:tcPr>
            <w:tcW w:type="dxa" w:w="1728"/>
          </w:tcPr>
          <w:p>
            <w:pPr>
              <w:spacing w:line="240" w:lineRule="auto"/>
            </w:pPr>
            <w:r>
              <w:rPr>
                <w:rFonts w:ascii="Times New Roman" w:hAnsi="Times New Roman"/>
                <w:sz w:val="20"/>
              </w:rPr>
              <w:t>–</w:t>
            </w:r>
          </w:p>
        </w:tc>
        <w:tc>
          <w:tcPr>
            <w:tcW w:type="dxa" w:w="1728"/>
          </w:tcPr>
          <w:p>
            <w:pPr>
              <w:spacing w:line="240" w:lineRule="auto"/>
            </w:pPr>
            <w:r>
              <w:rPr>
                <w:rFonts w:ascii="Times New Roman" w:hAnsi="Times New Roman"/>
                <w:sz w:val="20"/>
              </w:rPr>
              <w:t>–</w:t>
            </w:r>
          </w:p>
        </w:tc>
      </w:tr>
      <w:tr>
        <w:tc>
          <w:tcPr>
            <w:tcW w:type="dxa" w:w="1728"/>
          </w:tcPr>
          <w:p>
            <w:pPr>
              <w:spacing w:line="240" w:lineRule="auto"/>
            </w:pPr>
            <w:r>
              <w:rPr>
                <w:rFonts w:ascii="Times New Roman" w:hAnsi="Times New Roman"/>
                <w:sz w:val="20"/>
              </w:rPr>
              <w:t>Pre-treatment period (DiD, pre-policy years only)</w:t>
            </w:r>
          </w:p>
        </w:tc>
        <w:tc>
          <w:tcPr>
            <w:tcW w:type="dxa" w:w="1728"/>
          </w:tcPr>
          <w:p>
            <w:pPr>
              <w:spacing w:line="240" w:lineRule="auto"/>
            </w:pPr>
            <w:r>
              <w:rPr>
                <w:rFonts w:ascii="Times New Roman" w:hAnsi="Times New Roman"/>
                <w:sz w:val="20"/>
              </w:rPr>
              <w:t>–</w:t>
            </w:r>
          </w:p>
        </w:tc>
        <w:tc>
          <w:tcPr>
            <w:tcW w:type="dxa" w:w="1728"/>
          </w:tcPr>
          <w:p>
            <w:pPr>
              <w:spacing w:line="240" w:lineRule="auto"/>
            </w:pPr>
            <w:r>
              <w:rPr>
                <w:rFonts w:ascii="Times New Roman" w:hAnsi="Times New Roman"/>
                <w:sz w:val="20"/>
              </w:rPr>
              <w:t>–</w:t>
            </w:r>
          </w:p>
        </w:tc>
        <w:tc>
          <w:tcPr>
            <w:tcW w:type="dxa" w:w="1728"/>
          </w:tcPr>
          <w:p>
            <w:pPr>
              <w:spacing w:line="240" w:lineRule="auto"/>
            </w:pPr>
            <w:r>
              <w:rPr>
                <w:rFonts w:ascii="Times New Roman" w:hAnsi="Times New Roman"/>
                <w:sz w:val="20"/>
              </w:rPr>
              <w:t>–</w:t>
            </w:r>
          </w:p>
        </w:tc>
        <w:tc>
          <w:tcPr>
            <w:tcW w:type="dxa" w:w="1728"/>
          </w:tcPr>
          <w:p>
            <w:pPr>
              <w:spacing w:line="240" w:lineRule="auto"/>
            </w:pPr>
            <w:r>
              <w:rPr>
                <w:rFonts w:ascii="Times New Roman" w:hAnsi="Times New Roman"/>
                <w:sz w:val="20"/>
              </w:rPr>
              <w:t>–</w:t>
            </w:r>
          </w:p>
        </w:tc>
      </w:tr>
    </w:tbl>
    <w:p>
      <w:pPr>
        <w:pStyle w:val="Heading3"/>
      </w:pPr>
      <w:r>
        <w:rPr>
          <w:rFonts w:ascii="Times New Roman" w:hAnsi="Times New Roman"/>
          <w:color w:val="000000"/>
        </w:rPr>
        <w:t>Table D.7: Subsample Replication</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pPr>
              <w:spacing w:line="240" w:lineRule="auto"/>
            </w:pPr>
            <w:r>
              <w:rPr>
                <w:rFonts w:ascii="Times New Roman" w:hAnsi="Times New Roman"/>
                <w:b/>
                <w:sz w:val="20"/>
              </w:rPr>
              <w:t>Subsample</w:t>
            </w:r>
          </w:p>
        </w:tc>
        <w:tc>
          <w:tcPr>
            <w:tcW w:type="dxa" w:w="1728"/>
          </w:tcPr>
          <w:p>
            <w:pPr>
              <w:spacing w:line="240" w:lineRule="auto"/>
            </w:pPr>
            <w:r>
              <w:rPr>
                <w:rFonts w:ascii="Times New Roman" w:hAnsi="Times New Roman"/>
                <w:b/>
                <w:sz w:val="20"/>
              </w:rPr>
              <w:t>Tradeoff (Cost Growth)</w:t>
            </w:r>
          </w:p>
        </w:tc>
        <w:tc>
          <w:tcPr>
            <w:tcW w:type="dxa" w:w="1728"/>
          </w:tcPr>
          <w:p>
            <w:pPr>
              <w:spacing w:line="240" w:lineRule="auto"/>
            </w:pPr>
            <w:r>
              <w:rPr>
                <w:rFonts w:ascii="Times New Roman" w:hAnsi="Times New Roman"/>
                <w:b/>
                <w:sz w:val="20"/>
              </w:rPr>
              <w:t>SE</w:t>
            </w:r>
          </w:p>
        </w:tc>
        <w:tc>
          <w:tcPr>
            <w:tcW w:type="dxa" w:w="1728"/>
          </w:tcPr>
          <w:p>
            <w:pPr>
              <w:spacing w:line="240" w:lineRule="auto"/>
            </w:pPr>
            <w:r>
              <w:rPr>
                <w:rFonts w:ascii="Times New Roman" w:hAnsi="Times New Roman"/>
                <w:b/>
                <w:sz w:val="20"/>
              </w:rPr>
              <w:t>p</w:t>
            </w:r>
          </w:p>
        </w:tc>
        <w:tc>
          <w:tcPr>
            <w:tcW w:type="dxa" w:w="1728"/>
          </w:tcPr>
          <w:p>
            <w:pPr>
              <w:spacing w:line="240" w:lineRule="auto"/>
            </w:pPr>
            <w:r>
              <w:rPr>
                <w:rFonts w:ascii="Times New Roman" w:hAnsi="Times New Roman"/>
                <w:b/>
                <w:sz w:val="20"/>
              </w:rPr>
              <w:t>N</w:t>
            </w:r>
          </w:p>
        </w:tc>
      </w:tr>
      <w:tr>
        <w:tc>
          <w:tcPr>
            <w:tcW w:type="dxa" w:w="1728"/>
          </w:tcPr>
          <w:p>
            <w:pPr>
              <w:spacing w:line="240" w:lineRule="auto"/>
            </w:pPr>
            <w:r>
              <w:rPr>
                <w:rFonts w:ascii="Times New Roman" w:hAnsi="Times New Roman"/>
                <w:sz w:val="20"/>
              </w:rPr>
              <w:t>Full sample</w:t>
            </w:r>
          </w:p>
        </w:tc>
        <w:tc>
          <w:tcPr>
            <w:tcW w:type="dxa" w:w="1728"/>
          </w:tcPr>
          <w:p>
            <w:pPr>
              <w:spacing w:line="240" w:lineRule="auto"/>
            </w:pPr>
            <w:r>
              <w:rPr>
                <w:rFonts w:ascii="Times New Roman" w:hAnsi="Times New Roman"/>
                <w:sz w:val="20"/>
              </w:rPr>
              <w:t>–</w:t>
            </w:r>
          </w:p>
        </w:tc>
        <w:tc>
          <w:tcPr>
            <w:tcW w:type="dxa" w:w="1728"/>
          </w:tcPr>
          <w:p>
            <w:pPr>
              <w:spacing w:line="240" w:lineRule="auto"/>
            </w:pPr>
            <w:r>
              <w:rPr>
                <w:rFonts w:ascii="Times New Roman" w:hAnsi="Times New Roman"/>
                <w:sz w:val="20"/>
              </w:rPr>
              <w:t>–</w:t>
            </w:r>
          </w:p>
        </w:tc>
        <w:tc>
          <w:tcPr>
            <w:tcW w:type="dxa" w:w="1728"/>
          </w:tcPr>
          <w:p>
            <w:pPr>
              <w:spacing w:line="240" w:lineRule="auto"/>
            </w:pPr>
            <w:r>
              <w:rPr>
                <w:rFonts w:ascii="Times New Roman" w:hAnsi="Times New Roman"/>
                <w:sz w:val="20"/>
              </w:rPr>
              <w:t>–</w:t>
            </w:r>
          </w:p>
        </w:tc>
        <w:tc>
          <w:tcPr>
            <w:tcW w:type="dxa" w:w="1728"/>
          </w:tcPr>
          <w:p>
            <w:pPr>
              <w:spacing w:line="240" w:lineRule="auto"/>
            </w:pPr>
            <w:r>
              <w:rPr>
                <w:rFonts w:ascii="Times New Roman" w:hAnsi="Times New Roman"/>
                <w:sz w:val="20"/>
              </w:rPr>
              <w:t>–</w:t>
            </w:r>
          </w:p>
        </w:tc>
      </w:tr>
      <w:tr>
        <w:tc>
          <w:tcPr>
            <w:tcW w:type="dxa" w:w="1728"/>
          </w:tcPr>
          <w:p>
            <w:pPr>
              <w:spacing w:line="240" w:lineRule="auto"/>
            </w:pPr>
            <w:r>
              <w:rPr>
                <w:rFonts w:ascii="Times New Roman" w:hAnsi="Times New Roman"/>
                <w:sz w:val="20"/>
              </w:rPr>
              <w:t>DoD only</w:t>
            </w:r>
          </w:p>
        </w:tc>
        <w:tc>
          <w:tcPr>
            <w:tcW w:type="dxa" w:w="1728"/>
          </w:tcPr>
          <w:p>
            <w:pPr>
              <w:spacing w:line="240" w:lineRule="auto"/>
            </w:pPr>
            <w:r>
              <w:rPr>
                <w:rFonts w:ascii="Times New Roman" w:hAnsi="Times New Roman"/>
                <w:sz w:val="20"/>
              </w:rPr>
              <w:t>–</w:t>
            </w:r>
          </w:p>
        </w:tc>
        <w:tc>
          <w:tcPr>
            <w:tcW w:type="dxa" w:w="1728"/>
          </w:tcPr>
          <w:p>
            <w:pPr>
              <w:spacing w:line="240" w:lineRule="auto"/>
            </w:pPr>
            <w:r>
              <w:rPr>
                <w:rFonts w:ascii="Times New Roman" w:hAnsi="Times New Roman"/>
                <w:sz w:val="20"/>
              </w:rPr>
              <w:t>–</w:t>
            </w:r>
          </w:p>
        </w:tc>
        <w:tc>
          <w:tcPr>
            <w:tcW w:type="dxa" w:w="1728"/>
          </w:tcPr>
          <w:p>
            <w:pPr>
              <w:spacing w:line="240" w:lineRule="auto"/>
            </w:pPr>
            <w:r>
              <w:rPr>
                <w:rFonts w:ascii="Times New Roman" w:hAnsi="Times New Roman"/>
                <w:sz w:val="20"/>
              </w:rPr>
              <w:t>–</w:t>
            </w:r>
          </w:p>
        </w:tc>
        <w:tc>
          <w:tcPr>
            <w:tcW w:type="dxa" w:w="1728"/>
          </w:tcPr>
          <w:p>
            <w:pPr>
              <w:spacing w:line="240" w:lineRule="auto"/>
            </w:pPr>
            <w:r>
              <w:rPr>
                <w:rFonts w:ascii="Times New Roman" w:hAnsi="Times New Roman"/>
                <w:sz w:val="20"/>
              </w:rPr>
              <w:t>–</w:t>
            </w:r>
          </w:p>
        </w:tc>
      </w:tr>
      <w:tr>
        <w:tc>
          <w:tcPr>
            <w:tcW w:type="dxa" w:w="1728"/>
          </w:tcPr>
          <w:p>
            <w:pPr>
              <w:spacing w:line="240" w:lineRule="auto"/>
            </w:pPr>
            <w:r>
              <w:rPr>
                <w:rFonts w:ascii="Times New Roman" w:hAnsi="Times New Roman"/>
                <w:sz w:val="20"/>
              </w:rPr>
              <w:t>Civilian agencies only</w:t>
            </w:r>
          </w:p>
        </w:tc>
        <w:tc>
          <w:tcPr>
            <w:tcW w:type="dxa" w:w="1728"/>
          </w:tcPr>
          <w:p>
            <w:pPr>
              <w:spacing w:line="240" w:lineRule="auto"/>
            </w:pPr>
            <w:r>
              <w:rPr>
                <w:rFonts w:ascii="Times New Roman" w:hAnsi="Times New Roman"/>
                <w:sz w:val="20"/>
              </w:rPr>
              <w:t>–</w:t>
            </w:r>
          </w:p>
        </w:tc>
        <w:tc>
          <w:tcPr>
            <w:tcW w:type="dxa" w:w="1728"/>
          </w:tcPr>
          <w:p>
            <w:pPr>
              <w:spacing w:line="240" w:lineRule="auto"/>
            </w:pPr>
            <w:r>
              <w:rPr>
                <w:rFonts w:ascii="Times New Roman" w:hAnsi="Times New Roman"/>
                <w:sz w:val="20"/>
              </w:rPr>
              <w:t>–</w:t>
            </w:r>
          </w:p>
        </w:tc>
        <w:tc>
          <w:tcPr>
            <w:tcW w:type="dxa" w:w="1728"/>
          </w:tcPr>
          <w:p>
            <w:pPr>
              <w:spacing w:line="240" w:lineRule="auto"/>
            </w:pPr>
            <w:r>
              <w:rPr>
                <w:rFonts w:ascii="Times New Roman" w:hAnsi="Times New Roman"/>
                <w:sz w:val="20"/>
              </w:rPr>
              <w:t>–</w:t>
            </w:r>
          </w:p>
        </w:tc>
        <w:tc>
          <w:tcPr>
            <w:tcW w:type="dxa" w:w="1728"/>
          </w:tcPr>
          <w:p>
            <w:pPr>
              <w:spacing w:line="240" w:lineRule="auto"/>
            </w:pPr>
            <w:r>
              <w:rPr>
                <w:rFonts w:ascii="Times New Roman" w:hAnsi="Times New Roman"/>
                <w:sz w:val="20"/>
              </w:rPr>
              <w:t>–</w:t>
            </w:r>
          </w:p>
        </w:tc>
      </w:tr>
      <w:tr>
        <w:tc>
          <w:tcPr>
            <w:tcW w:type="dxa" w:w="1728"/>
          </w:tcPr>
          <w:p>
            <w:pPr>
              <w:spacing w:line="240" w:lineRule="auto"/>
            </w:pPr>
            <w:r>
              <w:rPr>
                <w:rFonts w:ascii="Times New Roman" w:hAnsi="Times New Roman"/>
                <w:sz w:val="20"/>
              </w:rPr>
              <w:t>IT Services (NAICS 511/518) only</w:t>
            </w:r>
          </w:p>
        </w:tc>
        <w:tc>
          <w:tcPr>
            <w:tcW w:type="dxa" w:w="1728"/>
          </w:tcPr>
          <w:p>
            <w:pPr>
              <w:spacing w:line="240" w:lineRule="auto"/>
            </w:pPr>
            <w:r>
              <w:rPr>
                <w:rFonts w:ascii="Times New Roman" w:hAnsi="Times New Roman"/>
                <w:sz w:val="20"/>
              </w:rPr>
              <w:t>–</w:t>
            </w:r>
          </w:p>
        </w:tc>
        <w:tc>
          <w:tcPr>
            <w:tcW w:type="dxa" w:w="1728"/>
          </w:tcPr>
          <w:p>
            <w:pPr>
              <w:spacing w:line="240" w:lineRule="auto"/>
            </w:pPr>
            <w:r>
              <w:rPr>
                <w:rFonts w:ascii="Times New Roman" w:hAnsi="Times New Roman"/>
                <w:sz w:val="20"/>
              </w:rPr>
              <w:t>–</w:t>
            </w:r>
          </w:p>
        </w:tc>
        <w:tc>
          <w:tcPr>
            <w:tcW w:type="dxa" w:w="1728"/>
          </w:tcPr>
          <w:p>
            <w:pPr>
              <w:spacing w:line="240" w:lineRule="auto"/>
            </w:pPr>
            <w:r>
              <w:rPr>
                <w:rFonts w:ascii="Times New Roman" w:hAnsi="Times New Roman"/>
                <w:sz w:val="20"/>
              </w:rPr>
              <w:t>–</w:t>
            </w:r>
          </w:p>
        </w:tc>
        <w:tc>
          <w:tcPr>
            <w:tcW w:type="dxa" w:w="1728"/>
          </w:tcPr>
          <w:p>
            <w:pPr>
              <w:spacing w:line="240" w:lineRule="auto"/>
            </w:pPr>
            <w:r>
              <w:rPr>
                <w:rFonts w:ascii="Times New Roman" w:hAnsi="Times New Roman"/>
                <w:sz w:val="20"/>
              </w:rPr>
              <w:t>–</w:t>
            </w:r>
          </w:p>
        </w:tc>
      </w:tr>
      <w:tr>
        <w:tc>
          <w:tcPr>
            <w:tcW w:type="dxa" w:w="1728"/>
          </w:tcPr>
          <w:p>
            <w:pPr>
              <w:spacing w:line="240" w:lineRule="auto"/>
            </w:pPr>
            <w:r>
              <w:rPr>
                <w:rFonts w:ascii="Times New Roman" w:hAnsi="Times New Roman"/>
                <w:sz w:val="20"/>
              </w:rPr>
              <w:t>Consulting (NAICS 5416/5417) only</w:t>
            </w:r>
          </w:p>
        </w:tc>
        <w:tc>
          <w:tcPr>
            <w:tcW w:type="dxa" w:w="1728"/>
          </w:tcPr>
          <w:p>
            <w:pPr>
              <w:spacing w:line="240" w:lineRule="auto"/>
            </w:pPr>
            <w:r>
              <w:rPr>
                <w:rFonts w:ascii="Times New Roman" w:hAnsi="Times New Roman"/>
                <w:sz w:val="20"/>
              </w:rPr>
              <w:t>–</w:t>
            </w:r>
          </w:p>
        </w:tc>
        <w:tc>
          <w:tcPr>
            <w:tcW w:type="dxa" w:w="1728"/>
          </w:tcPr>
          <w:p>
            <w:pPr>
              <w:spacing w:line="240" w:lineRule="auto"/>
            </w:pPr>
            <w:r>
              <w:rPr>
                <w:rFonts w:ascii="Times New Roman" w:hAnsi="Times New Roman"/>
                <w:sz w:val="20"/>
              </w:rPr>
              <w:t>–</w:t>
            </w:r>
          </w:p>
        </w:tc>
        <w:tc>
          <w:tcPr>
            <w:tcW w:type="dxa" w:w="1728"/>
          </w:tcPr>
          <w:p>
            <w:pPr>
              <w:spacing w:line="240" w:lineRule="auto"/>
            </w:pPr>
            <w:r>
              <w:rPr>
                <w:rFonts w:ascii="Times New Roman" w:hAnsi="Times New Roman"/>
                <w:sz w:val="20"/>
              </w:rPr>
              <w:t>–</w:t>
            </w:r>
          </w:p>
        </w:tc>
        <w:tc>
          <w:tcPr>
            <w:tcW w:type="dxa" w:w="1728"/>
          </w:tcPr>
          <w:p>
            <w:pPr>
              <w:spacing w:line="240" w:lineRule="auto"/>
            </w:pPr>
            <w:r>
              <w:rPr>
                <w:rFonts w:ascii="Times New Roman" w:hAnsi="Times New Roman"/>
                <w:sz w:val="20"/>
              </w:rPr>
              <w:t>–</w:t>
            </w:r>
          </w:p>
        </w:tc>
      </w:tr>
      <w:tr>
        <w:tc>
          <w:tcPr>
            <w:tcW w:type="dxa" w:w="1728"/>
          </w:tcPr>
          <w:p>
            <w:pPr>
              <w:spacing w:line="240" w:lineRule="auto"/>
            </w:pPr>
            <w:r>
              <w:rPr>
                <w:rFonts w:ascii="Times New Roman" w:hAnsi="Times New Roman"/>
                <w:sz w:val="20"/>
              </w:rPr>
              <w:t>Large contracts (above median value)</w:t>
            </w:r>
          </w:p>
        </w:tc>
        <w:tc>
          <w:tcPr>
            <w:tcW w:type="dxa" w:w="1728"/>
          </w:tcPr>
          <w:p>
            <w:pPr>
              <w:spacing w:line="240" w:lineRule="auto"/>
            </w:pPr>
            <w:r>
              <w:rPr>
                <w:rFonts w:ascii="Times New Roman" w:hAnsi="Times New Roman"/>
                <w:sz w:val="20"/>
              </w:rPr>
              <w:t>–</w:t>
            </w:r>
          </w:p>
        </w:tc>
        <w:tc>
          <w:tcPr>
            <w:tcW w:type="dxa" w:w="1728"/>
          </w:tcPr>
          <w:p>
            <w:pPr>
              <w:spacing w:line="240" w:lineRule="auto"/>
            </w:pPr>
            <w:r>
              <w:rPr>
                <w:rFonts w:ascii="Times New Roman" w:hAnsi="Times New Roman"/>
                <w:sz w:val="20"/>
              </w:rPr>
              <w:t>–</w:t>
            </w:r>
          </w:p>
        </w:tc>
        <w:tc>
          <w:tcPr>
            <w:tcW w:type="dxa" w:w="1728"/>
          </w:tcPr>
          <w:p>
            <w:pPr>
              <w:spacing w:line="240" w:lineRule="auto"/>
            </w:pPr>
            <w:r>
              <w:rPr>
                <w:rFonts w:ascii="Times New Roman" w:hAnsi="Times New Roman"/>
                <w:sz w:val="20"/>
              </w:rPr>
              <w:t>–</w:t>
            </w:r>
          </w:p>
        </w:tc>
        <w:tc>
          <w:tcPr>
            <w:tcW w:type="dxa" w:w="1728"/>
          </w:tcPr>
          <w:p>
            <w:pPr>
              <w:spacing w:line="240" w:lineRule="auto"/>
            </w:pPr>
            <w:r>
              <w:rPr>
                <w:rFonts w:ascii="Times New Roman" w:hAnsi="Times New Roman"/>
                <w:sz w:val="20"/>
              </w:rPr>
              <w:t>–</w:t>
            </w:r>
          </w:p>
        </w:tc>
      </w:tr>
      <w:tr>
        <w:tc>
          <w:tcPr>
            <w:tcW w:type="dxa" w:w="1728"/>
          </w:tcPr>
          <w:p>
            <w:pPr>
              <w:spacing w:line="240" w:lineRule="auto"/>
            </w:pPr>
            <w:r>
              <w:rPr>
                <w:rFonts w:ascii="Times New Roman" w:hAnsi="Times New Roman"/>
                <w:sz w:val="20"/>
              </w:rPr>
              <w:t>Small contracts (below median value)</w:t>
            </w:r>
          </w:p>
        </w:tc>
        <w:tc>
          <w:tcPr>
            <w:tcW w:type="dxa" w:w="1728"/>
          </w:tcPr>
          <w:p>
            <w:pPr>
              <w:spacing w:line="240" w:lineRule="auto"/>
            </w:pPr>
            <w:r>
              <w:rPr>
                <w:rFonts w:ascii="Times New Roman" w:hAnsi="Times New Roman"/>
                <w:sz w:val="20"/>
              </w:rPr>
              <w:t>–</w:t>
            </w:r>
          </w:p>
        </w:tc>
        <w:tc>
          <w:tcPr>
            <w:tcW w:type="dxa" w:w="1728"/>
          </w:tcPr>
          <w:p>
            <w:pPr>
              <w:spacing w:line="240" w:lineRule="auto"/>
            </w:pPr>
            <w:r>
              <w:rPr>
                <w:rFonts w:ascii="Times New Roman" w:hAnsi="Times New Roman"/>
                <w:sz w:val="20"/>
              </w:rPr>
              <w:t>–</w:t>
            </w:r>
          </w:p>
        </w:tc>
        <w:tc>
          <w:tcPr>
            <w:tcW w:type="dxa" w:w="1728"/>
          </w:tcPr>
          <w:p>
            <w:pPr>
              <w:spacing w:line="240" w:lineRule="auto"/>
            </w:pPr>
            <w:r>
              <w:rPr>
                <w:rFonts w:ascii="Times New Roman" w:hAnsi="Times New Roman"/>
                <w:sz w:val="20"/>
              </w:rPr>
              <w:t>–</w:t>
            </w:r>
          </w:p>
        </w:tc>
        <w:tc>
          <w:tcPr>
            <w:tcW w:type="dxa" w:w="1728"/>
          </w:tcPr>
          <w:p>
            <w:pPr>
              <w:spacing w:line="240" w:lineRule="auto"/>
            </w:pPr>
            <w:r>
              <w:rPr>
                <w:rFonts w:ascii="Times New Roman" w:hAnsi="Times New Roman"/>
                <w:sz w:val="20"/>
              </w:rPr>
              <w:t>–</w:t>
            </w:r>
          </w:p>
        </w:tc>
      </w:tr>
      <w:tr>
        <w:tc>
          <w:tcPr>
            <w:tcW w:type="dxa" w:w="1728"/>
          </w:tcPr>
          <w:p>
            <w:pPr>
              <w:spacing w:line="240" w:lineRule="auto"/>
            </w:pPr>
            <w:r>
              <w:rPr>
                <w:rFonts w:ascii="Times New Roman" w:hAnsi="Times New Roman"/>
                <w:sz w:val="20"/>
              </w:rPr>
              <w:t>FY2020–FY2022</w:t>
            </w:r>
          </w:p>
        </w:tc>
        <w:tc>
          <w:tcPr>
            <w:tcW w:type="dxa" w:w="1728"/>
          </w:tcPr>
          <w:p>
            <w:pPr>
              <w:spacing w:line="240" w:lineRule="auto"/>
            </w:pPr>
            <w:r>
              <w:rPr>
                <w:rFonts w:ascii="Times New Roman" w:hAnsi="Times New Roman"/>
                <w:sz w:val="20"/>
              </w:rPr>
              <w:t>–</w:t>
            </w:r>
          </w:p>
        </w:tc>
        <w:tc>
          <w:tcPr>
            <w:tcW w:type="dxa" w:w="1728"/>
          </w:tcPr>
          <w:p>
            <w:pPr>
              <w:spacing w:line="240" w:lineRule="auto"/>
            </w:pPr>
            <w:r>
              <w:rPr>
                <w:rFonts w:ascii="Times New Roman" w:hAnsi="Times New Roman"/>
                <w:sz w:val="20"/>
              </w:rPr>
              <w:t>–</w:t>
            </w:r>
          </w:p>
        </w:tc>
        <w:tc>
          <w:tcPr>
            <w:tcW w:type="dxa" w:w="1728"/>
          </w:tcPr>
          <w:p>
            <w:pPr>
              <w:spacing w:line="240" w:lineRule="auto"/>
            </w:pPr>
            <w:r>
              <w:rPr>
                <w:rFonts w:ascii="Times New Roman" w:hAnsi="Times New Roman"/>
                <w:sz w:val="20"/>
              </w:rPr>
              <w:t>–</w:t>
            </w:r>
          </w:p>
        </w:tc>
        <w:tc>
          <w:tcPr>
            <w:tcW w:type="dxa" w:w="1728"/>
          </w:tcPr>
          <w:p>
            <w:pPr>
              <w:spacing w:line="240" w:lineRule="auto"/>
            </w:pPr>
            <w:r>
              <w:rPr>
                <w:rFonts w:ascii="Times New Roman" w:hAnsi="Times New Roman"/>
                <w:sz w:val="20"/>
              </w:rPr>
              <w:t>–</w:t>
            </w:r>
          </w:p>
        </w:tc>
      </w:tr>
      <w:tr>
        <w:tc>
          <w:tcPr>
            <w:tcW w:type="dxa" w:w="1728"/>
          </w:tcPr>
          <w:p>
            <w:pPr>
              <w:spacing w:line="240" w:lineRule="auto"/>
            </w:pPr>
            <w:r>
              <w:rPr>
                <w:rFonts w:ascii="Times New Roman" w:hAnsi="Times New Roman"/>
                <w:sz w:val="20"/>
              </w:rPr>
              <w:t>FY2023–FY2025</w:t>
            </w:r>
          </w:p>
        </w:tc>
        <w:tc>
          <w:tcPr>
            <w:tcW w:type="dxa" w:w="1728"/>
          </w:tcPr>
          <w:p>
            <w:pPr>
              <w:spacing w:line="240" w:lineRule="auto"/>
            </w:pPr>
            <w:r>
              <w:rPr>
                <w:rFonts w:ascii="Times New Roman" w:hAnsi="Times New Roman"/>
                <w:sz w:val="20"/>
              </w:rPr>
              <w:t>–</w:t>
            </w:r>
          </w:p>
        </w:tc>
        <w:tc>
          <w:tcPr>
            <w:tcW w:type="dxa" w:w="1728"/>
          </w:tcPr>
          <w:p>
            <w:pPr>
              <w:spacing w:line="240" w:lineRule="auto"/>
            </w:pPr>
            <w:r>
              <w:rPr>
                <w:rFonts w:ascii="Times New Roman" w:hAnsi="Times New Roman"/>
                <w:sz w:val="20"/>
              </w:rPr>
              <w:t>–</w:t>
            </w:r>
          </w:p>
        </w:tc>
        <w:tc>
          <w:tcPr>
            <w:tcW w:type="dxa" w:w="1728"/>
          </w:tcPr>
          <w:p>
            <w:pPr>
              <w:spacing w:line="240" w:lineRule="auto"/>
            </w:pPr>
            <w:r>
              <w:rPr>
                <w:rFonts w:ascii="Times New Roman" w:hAnsi="Times New Roman"/>
                <w:sz w:val="20"/>
              </w:rPr>
              <w:t>–</w:t>
            </w:r>
          </w:p>
        </w:tc>
        <w:tc>
          <w:tcPr>
            <w:tcW w:type="dxa" w:w="1728"/>
          </w:tcPr>
          <w:p>
            <w:pPr>
              <w:spacing w:line="240" w:lineRule="auto"/>
            </w:pPr>
            <w:r>
              <w:rPr>
                <w:rFonts w:ascii="Times New Roman" w:hAnsi="Times New Roman"/>
                <w:sz w:val="20"/>
              </w:rPr>
              <w:t>–</w:t>
            </w:r>
          </w:p>
        </w:tc>
      </w:tr>
    </w:tbl>
    <w:p>
      <w:pPr>
        <w:pStyle w:val="Heading3"/>
      </w:pPr>
      <w:r>
        <w:rPr>
          <w:rFonts w:ascii="Times New Roman" w:hAnsi="Times New Roman"/>
          <w:color w:val="000000"/>
        </w:rPr>
        <w:t>Table D.8: Quantile Regression Results (Cost Growth)</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pPr>
              <w:spacing w:line="240" w:lineRule="auto"/>
            </w:pPr>
            <w:r>
              <w:rPr>
                <w:rFonts w:ascii="Times New Roman" w:hAnsi="Times New Roman"/>
                <w:b/>
                <w:sz w:val="20"/>
              </w:rPr>
              <w:t>Quantile</w:t>
            </w:r>
          </w:p>
        </w:tc>
        <w:tc>
          <w:tcPr>
            <w:tcW w:type="dxa" w:w="2160"/>
          </w:tcPr>
          <w:p>
            <w:pPr>
              <w:spacing w:line="240" w:lineRule="auto"/>
            </w:pPr>
            <w:r>
              <w:rPr>
                <w:rFonts w:ascii="Times New Roman" w:hAnsi="Times New Roman"/>
                <w:b/>
                <w:sz w:val="20"/>
              </w:rPr>
              <w:t>Tradeoff Coefficient</w:t>
            </w:r>
          </w:p>
        </w:tc>
        <w:tc>
          <w:tcPr>
            <w:tcW w:type="dxa" w:w="2160"/>
          </w:tcPr>
          <w:p>
            <w:pPr>
              <w:spacing w:line="240" w:lineRule="auto"/>
            </w:pPr>
            <w:r>
              <w:rPr>
                <w:rFonts w:ascii="Times New Roman" w:hAnsi="Times New Roman"/>
                <w:b/>
                <w:sz w:val="20"/>
              </w:rPr>
              <w:t>SE</w:t>
            </w:r>
          </w:p>
        </w:tc>
        <w:tc>
          <w:tcPr>
            <w:tcW w:type="dxa" w:w="2160"/>
          </w:tcPr>
          <w:p>
            <w:pPr>
              <w:spacing w:line="240" w:lineRule="auto"/>
            </w:pPr>
            <w:r>
              <w:rPr>
                <w:rFonts w:ascii="Times New Roman" w:hAnsi="Times New Roman"/>
                <w:b/>
                <w:sz w:val="20"/>
              </w:rPr>
              <w:t>p-value</w:t>
            </w:r>
          </w:p>
        </w:tc>
      </w:tr>
      <w:tr>
        <w:tc>
          <w:tcPr>
            <w:tcW w:type="dxa" w:w="2160"/>
          </w:tcPr>
          <w:p>
            <w:pPr>
              <w:spacing w:line="240" w:lineRule="auto"/>
            </w:pPr>
            <w:r>
              <w:rPr>
                <w:rFonts w:ascii="Times New Roman" w:hAnsi="Times New Roman"/>
                <w:sz w:val="20"/>
              </w:rPr>
              <w:t>25th percentile</w:t>
            </w:r>
          </w:p>
        </w:tc>
        <w:tc>
          <w:tcPr>
            <w:tcW w:type="dxa" w:w="2160"/>
          </w:tcPr>
          <w:p>
            <w:pPr>
              <w:spacing w:line="240" w:lineRule="auto"/>
            </w:pPr>
            <w:r>
              <w:rPr>
                <w:rFonts w:ascii="Times New Roman" w:hAnsi="Times New Roman"/>
                <w:sz w:val="20"/>
              </w:rPr>
              <w:t>–</w:t>
            </w:r>
          </w:p>
        </w:tc>
        <w:tc>
          <w:tcPr>
            <w:tcW w:type="dxa" w:w="2160"/>
          </w:tcPr>
          <w:p>
            <w:pPr>
              <w:spacing w:line="240" w:lineRule="auto"/>
            </w:pPr>
            <w:r>
              <w:rPr>
                <w:rFonts w:ascii="Times New Roman" w:hAnsi="Times New Roman"/>
                <w:sz w:val="20"/>
              </w:rPr>
              <w:t>–</w:t>
            </w:r>
          </w:p>
        </w:tc>
        <w:tc>
          <w:tcPr>
            <w:tcW w:type="dxa" w:w="2160"/>
          </w:tcPr>
          <w:p>
            <w:pPr>
              <w:spacing w:line="240" w:lineRule="auto"/>
            </w:pPr>
            <w:r>
              <w:rPr>
                <w:rFonts w:ascii="Times New Roman" w:hAnsi="Times New Roman"/>
                <w:sz w:val="20"/>
              </w:rPr>
              <w:t>–</w:t>
            </w:r>
          </w:p>
        </w:tc>
      </w:tr>
      <w:tr>
        <w:tc>
          <w:tcPr>
            <w:tcW w:type="dxa" w:w="2160"/>
          </w:tcPr>
          <w:p>
            <w:pPr>
              <w:spacing w:line="240" w:lineRule="auto"/>
            </w:pPr>
            <w:r>
              <w:rPr>
                <w:rFonts w:ascii="Times New Roman" w:hAnsi="Times New Roman"/>
                <w:sz w:val="20"/>
              </w:rPr>
              <w:t>50th percentile (median)</w:t>
            </w:r>
          </w:p>
        </w:tc>
        <w:tc>
          <w:tcPr>
            <w:tcW w:type="dxa" w:w="2160"/>
          </w:tcPr>
          <w:p>
            <w:pPr>
              <w:spacing w:line="240" w:lineRule="auto"/>
            </w:pPr>
            <w:r>
              <w:rPr>
                <w:rFonts w:ascii="Times New Roman" w:hAnsi="Times New Roman"/>
                <w:sz w:val="20"/>
              </w:rPr>
              <w:t>–</w:t>
            </w:r>
          </w:p>
        </w:tc>
        <w:tc>
          <w:tcPr>
            <w:tcW w:type="dxa" w:w="2160"/>
          </w:tcPr>
          <w:p>
            <w:pPr>
              <w:spacing w:line="240" w:lineRule="auto"/>
            </w:pPr>
            <w:r>
              <w:rPr>
                <w:rFonts w:ascii="Times New Roman" w:hAnsi="Times New Roman"/>
                <w:sz w:val="20"/>
              </w:rPr>
              <w:t>–</w:t>
            </w:r>
          </w:p>
        </w:tc>
        <w:tc>
          <w:tcPr>
            <w:tcW w:type="dxa" w:w="2160"/>
          </w:tcPr>
          <w:p>
            <w:pPr>
              <w:spacing w:line="240" w:lineRule="auto"/>
            </w:pPr>
            <w:r>
              <w:rPr>
                <w:rFonts w:ascii="Times New Roman" w:hAnsi="Times New Roman"/>
                <w:sz w:val="20"/>
              </w:rPr>
              <w:t>–</w:t>
            </w:r>
          </w:p>
        </w:tc>
      </w:tr>
      <w:tr>
        <w:tc>
          <w:tcPr>
            <w:tcW w:type="dxa" w:w="2160"/>
          </w:tcPr>
          <w:p>
            <w:pPr>
              <w:spacing w:line="240" w:lineRule="auto"/>
            </w:pPr>
            <w:r>
              <w:rPr>
                <w:rFonts w:ascii="Times New Roman" w:hAnsi="Times New Roman"/>
                <w:sz w:val="20"/>
              </w:rPr>
              <w:t>75th percentile</w:t>
            </w:r>
          </w:p>
        </w:tc>
        <w:tc>
          <w:tcPr>
            <w:tcW w:type="dxa" w:w="2160"/>
          </w:tcPr>
          <w:p>
            <w:pPr>
              <w:spacing w:line="240" w:lineRule="auto"/>
            </w:pPr>
            <w:r>
              <w:rPr>
                <w:rFonts w:ascii="Times New Roman" w:hAnsi="Times New Roman"/>
                <w:sz w:val="20"/>
              </w:rPr>
              <w:t>–</w:t>
            </w:r>
          </w:p>
        </w:tc>
        <w:tc>
          <w:tcPr>
            <w:tcW w:type="dxa" w:w="2160"/>
          </w:tcPr>
          <w:p>
            <w:pPr>
              <w:spacing w:line="240" w:lineRule="auto"/>
            </w:pPr>
            <w:r>
              <w:rPr>
                <w:rFonts w:ascii="Times New Roman" w:hAnsi="Times New Roman"/>
                <w:sz w:val="20"/>
              </w:rPr>
              <w:t>–</w:t>
            </w:r>
          </w:p>
        </w:tc>
        <w:tc>
          <w:tcPr>
            <w:tcW w:type="dxa" w:w="2160"/>
          </w:tcPr>
          <w:p>
            <w:pPr>
              <w:spacing w:line="240" w:lineRule="auto"/>
            </w:pPr>
            <w:r>
              <w:rPr>
                <w:rFonts w:ascii="Times New Roman" w:hAnsi="Times New Roman"/>
                <w:sz w:val="20"/>
              </w:rPr>
              <w:t>–</w:t>
            </w:r>
          </w:p>
        </w:tc>
      </w:tr>
    </w:tbl>
    <w:p>
      <w:pPr>
        <w:pStyle w:val="Heading3"/>
      </w:pPr>
      <w:r>
        <w:rPr>
          <w:rFonts w:ascii="Times New Roman" w:hAnsi="Times New Roman"/>
          <w:color w:val="000000"/>
        </w:rPr>
        <w:t>Table D.9: High-Leverage Observation Analysis</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pPr>
              <w:spacing w:line="240" w:lineRule="auto"/>
            </w:pPr>
            <w:r>
              <w:rPr>
                <w:rFonts w:ascii="Times New Roman" w:hAnsi="Times New Roman"/>
                <w:b/>
                <w:sz w:val="20"/>
              </w:rPr>
              <w:t>Specification</w:t>
            </w:r>
          </w:p>
        </w:tc>
        <w:tc>
          <w:tcPr>
            <w:tcW w:type="dxa" w:w="1728"/>
          </w:tcPr>
          <w:p>
            <w:pPr>
              <w:spacing w:line="240" w:lineRule="auto"/>
            </w:pPr>
            <w:r>
              <w:rPr>
                <w:rFonts w:ascii="Times New Roman" w:hAnsi="Times New Roman"/>
                <w:b/>
                <w:sz w:val="20"/>
              </w:rPr>
              <w:t>Tradeoff (Cost Growth)</w:t>
            </w:r>
          </w:p>
        </w:tc>
        <w:tc>
          <w:tcPr>
            <w:tcW w:type="dxa" w:w="1728"/>
          </w:tcPr>
          <w:p>
            <w:pPr>
              <w:spacing w:line="240" w:lineRule="auto"/>
            </w:pPr>
            <w:r>
              <w:rPr>
                <w:rFonts w:ascii="Times New Roman" w:hAnsi="Times New Roman"/>
                <w:b/>
                <w:sz w:val="20"/>
              </w:rPr>
              <w:t>SE</w:t>
            </w:r>
          </w:p>
        </w:tc>
        <w:tc>
          <w:tcPr>
            <w:tcW w:type="dxa" w:w="1728"/>
          </w:tcPr>
          <w:p>
            <w:pPr>
              <w:spacing w:line="240" w:lineRule="auto"/>
            </w:pPr>
            <w:r>
              <w:rPr>
                <w:rFonts w:ascii="Times New Roman" w:hAnsi="Times New Roman"/>
                <w:b/>
                <w:sz w:val="20"/>
              </w:rPr>
              <w:t>p</w:t>
            </w:r>
          </w:p>
        </w:tc>
        <w:tc>
          <w:tcPr>
            <w:tcW w:type="dxa" w:w="1728"/>
          </w:tcPr>
          <w:p>
            <w:pPr>
              <w:spacing w:line="240" w:lineRule="auto"/>
            </w:pPr>
            <w:r>
              <w:rPr>
                <w:rFonts w:ascii="Times New Roman" w:hAnsi="Times New Roman"/>
                <w:b/>
                <w:sz w:val="20"/>
              </w:rPr>
              <w:t>N</w:t>
            </w:r>
          </w:p>
        </w:tc>
      </w:tr>
      <w:tr>
        <w:tc>
          <w:tcPr>
            <w:tcW w:type="dxa" w:w="1728"/>
          </w:tcPr>
          <w:p>
            <w:pPr>
              <w:spacing w:line="240" w:lineRule="auto"/>
            </w:pPr>
            <w:r>
              <w:rPr>
                <w:rFonts w:ascii="Times New Roman" w:hAnsi="Times New Roman"/>
                <w:sz w:val="20"/>
              </w:rPr>
              <w:t>Full sample</w:t>
            </w:r>
          </w:p>
        </w:tc>
        <w:tc>
          <w:tcPr>
            <w:tcW w:type="dxa" w:w="1728"/>
          </w:tcPr>
          <w:p>
            <w:pPr>
              <w:spacing w:line="240" w:lineRule="auto"/>
            </w:pPr>
            <w:r>
              <w:rPr>
                <w:rFonts w:ascii="Times New Roman" w:hAnsi="Times New Roman"/>
                <w:sz w:val="20"/>
              </w:rPr>
              <w:t>–</w:t>
            </w:r>
          </w:p>
        </w:tc>
        <w:tc>
          <w:tcPr>
            <w:tcW w:type="dxa" w:w="1728"/>
          </w:tcPr>
          <w:p>
            <w:pPr>
              <w:spacing w:line="240" w:lineRule="auto"/>
            </w:pPr>
            <w:r>
              <w:rPr>
                <w:rFonts w:ascii="Times New Roman" w:hAnsi="Times New Roman"/>
                <w:sz w:val="20"/>
              </w:rPr>
              <w:t>–</w:t>
            </w:r>
          </w:p>
        </w:tc>
        <w:tc>
          <w:tcPr>
            <w:tcW w:type="dxa" w:w="1728"/>
          </w:tcPr>
          <w:p>
            <w:pPr>
              <w:spacing w:line="240" w:lineRule="auto"/>
            </w:pPr>
            <w:r>
              <w:rPr>
                <w:rFonts w:ascii="Times New Roman" w:hAnsi="Times New Roman"/>
                <w:sz w:val="20"/>
              </w:rPr>
              <w:t>–</w:t>
            </w:r>
          </w:p>
        </w:tc>
        <w:tc>
          <w:tcPr>
            <w:tcW w:type="dxa" w:w="1728"/>
          </w:tcPr>
          <w:p>
            <w:pPr>
              <w:spacing w:line="240" w:lineRule="auto"/>
            </w:pPr>
            <w:r>
              <w:rPr>
                <w:rFonts w:ascii="Times New Roman" w:hAnsi="Times New Roman"/>
                <w:sz w:val="20"/>
              </w:rPr>
              <w:t>–</w:t>
            </w:r>
          </w:p>
        </w:tc>
      </w:tr>
      <w:tr>
        <w:tc>
          <w:tcPr>
            <w:tcW w:type="dxa" w:w="1728"/>
          </w:tcPr>
          <w:p>
            <w:pPr>
              <w:spacing w:line="240" w:lineRule="auto"/>
            </w:pPr>
            <w:r>
              <w:rPr>
                <w:rFonts w:ascii="Times New Roman" w:hAnsi="Times New Roman"/>
                <w:sz w:val="20"/>
              </w:rPr>
              <w:t>Excluding Cook's D &gt; 4/N</w:t>
            </w:r>
          </w:p>
        </w:tc>
        <w:tc>
          <w:tcPr>
            <w:tcW w:type="dxa" w:w="1728"/>
          </w:tcPr>
          <w:p>
            <w:pPr>
              <w:spacing w:line="240" w:lineRule="auto"/>
            </w:pPr>
            <w:r>
              <w:rPr>
                <w:rFonts w:ascii="Times New Roman" w:hAnsi="Times New Roman"/>
                <w:sz w:val="20"/>
              </w:rPr>
              <w:t>–</w:t>
            </w:r>
          </w:p>
        </w:tc>
        <w:tc>
          <w:tcPr>
            <w:tcW w:type="dxa" w:w="1728"/>
          </w:tcPr>
          <w:p>
            <w:pPr>
              <w:spacing w:line="240" w:lineRule="auto"/>
            </w:pPr>
            <w:r>
              <w:rPr>
                <w:rFonts w:ascii="Times New Roman" w:hAnsi="Times New Roman"/>
                <w:sz w:val="20"/>
              </w:rPr>
              <w:t>–</w:t>
            </w:r>
          </w:p>
        </w:tc>
        <w:tc>
          <w:tcPr>
            <w:tcW w:type="dxa" w:w="1728"/>
          </w:tcPr>
          <w:p>
            <w:pPr>
              <w:spacing w:line="240" w:lineRule="auto"/>
            </w:pPr>
            <w:r>
              <w:rPr>
                <w:rFonts w:ascii="Times New Roman" w:hAnsi="Times New Roman"/>
                <w:sz w:val="20"/>
              </w:rPr>
              <w:t>–</w:t>
            </w:r>
          </w:p>
        </w:tc>
        <w:tc>
          <w:tcPr>
            <w:tcW w:type="dxa" w:w="1728"/>
          </w:tcPr>
          <w:p>
            <w:pPr>
              <w:spacing w:line="240" w:lineRule="auto"/>
            </w:pPr>
            <w:r>
              <w:rPr>
                <w:rFonts w:ascii="Times New Roman" w:hAnsi="Times New Roman"/>
                <w:sz w:val="20"/>
              </w:rPr>
              <w:t>–</w:t>
            </w:r>
          </w:p>
        </w:tc>
      </w:tr>
    </w:tbl>
    <w:p>
      <w:pPr>
        <w:pStyle w:val="Heading3"/>
      </w:pPr>
      <w:r>
        <w:rPr>
          <w:rFonts w:ascii="Times New Roman" w:hAnsi="Times New Roman"/>
          <w:color w:val="000000"/>
        </w:rPr>
        <w:t>Table D.10: Cross-Strategy Comparison Summary</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pPr>
              <w:spacing w:line="240" w:lineRule="auto"/>
            </w:pPr>
            <w:r>
              <w:rPr>
                <w:rFonts w:ascii="Times New Roman" w:hAnsi="Times New Roman"/>
                <w:b/>
                <w:sz w:val="20"/>
              </w:rPr>
              <w:t>Identification Strategy</w:t>
            </w:r>
          </w:p>
        </w:tc>
        <w:tc>
          <w:tcPr>
            <w:tcW w:type="dxa" w:w="1728"/>
          </w:tcPr>
          <w:p>
            <w:pPr>
              <w:spacing w:line="240" w:lineRule="auto"/>
            </w:pPr>
            <w:r>
              <w:rPr>
                <w:rFonts w:ascii="Times New Roman" w:hAnsi="Times New Roman"/>
                <w:b/>
                <w:sz w:val="20"/>
              </w:rPr>
              <w:t>Tradeoff Effect (Cost Growth)</w:t>
            </w:r>
          </w:p>
        </w:tc>
        <w:tc>
          <w:tcPr>
            <w:tcW w:type="dxa" w:w="1728"/>
          </w:tcPr>
          <w:p>
            <w:pPr>
              <w:spacing w:line="240" w:lineRule="auto"/>
            </w:pPr>
            <w:r>
              <w:rPr>
                <w:rFonts w:ascii="Times New Roman" w:hAnsi="Times New Roman"/>
                <w:b/>
                <w:sz w:val="20"/>
              </w:rPr>
              <w:t>SE</w:t>
            </w:r>
          </w:p>
        </w:tc>
        <w:tc>
          <w:tcPr>
            <w:tcW w:type="dxa" w:w="1728"/>
          </w:tcPr>
          <w:p>
            <w:pPr>
              <w:spacing w:line="240" w:lineRule="auto"/>
            </w:pPr>
            <w:r>
              <w:rPr>
                <w:rFonts w:ascii="Times New Roman" w:hAnsi="Times New Roman"/>
                <w:b/>
                <w:sz w:val="20"/>
              </w:rPr>
              <w:t>p</w:t>
            </w:r>
          </w:p>
        </w:tc>
        <w:tc>
          <w:tcPr>
            <w:tcW w:type="dxa" w:w="1728"/>
          </w:tcPr>
          <w:p>
            <w:pPr>
              <w:spacing w:line="240" w:lineRule="auto"/>
            </w:pPr>
            <w:r>
              <w:rPr>
                <w:rFonts w:ascii="Times New Roman" w:hAnsi="Times New Roman"/>
                <w:b/>
                <w:sz w:val="20"/>
              </w:rPr>
              <w:t>Sign Consistent?</w:t>
            </w:r>
          </w:p>
        </w:tc>
      </w:tr>
      <w:tr>
        <w:tc>
          <w:tcPr>
            <w:tcW w:type="dxa" w:w="1728"/>
          </w:tcPr>
          <w:p>
            <w:pPr>
              <w:spacing w:line="240" w:lineRule="auto"/>
            </w:pPr>
            <w:r>
              <w:rPr>
                <w:rFonts w:ascii="Times New Roman" w:hAnsi="Times New Roman"/>
                <w:sz w:val="20"/>
              </w:rPr>
              <w:t>Full-sample OLS with FE</w:t>
            </w:r>
          </w:p>
        </w:tc>
        <w:tc>
          <w:tcPr>
            <w:tcW w:type="dxa" w:w="1728"/>
          </w:tcPr>
          <w:p>
            <w:pPr>
              <w:spacing w:line="240" w:lineRule="auto"/>
            </w:pPr>
            <w:r>
              <w:rPr>
                <w:rFonts w:ascii="Times New Roman" w:hAnsi="Times New Roman"/>
                <w:sz w:val="20"/>
              </w:rPr>
              <w:t>–</w:t>
            </w:r>
          </w:p>
        </w:tc>
        <w:tc>
          <w:tcPr>
            <w:tcW w:type="dxa" w:w="1728"/>
          </w:tcPr>
          <w:p>
            <w:pPr>
              <w:spacing w:line="240" w:lineRule="auto"/>
            </w:pPr>
            <w:r>
              <w:rPr>
                <w:rFonts w:ascii="Times New Roman" w:hAnsi="Times New Roman"/>
                <w:sz w:val="20"/>
              </w:rPr>
              <w:t>–</w:t>
            </w:r>
          </w:p>
        </w:tc>
        <w:tc>
          <w:tcPr>
            <w:tcW w:type="dxa" w:w="1728"/>
          </w:tcPr>
          <w:p>
            <w:pPr>
              <w:spacing w:line="240" w:lineRule="auto"/>
            </w:pPr>
            <w:r>
              <w:rPr>
                <w:rFonts w:ascii="Times New Roman" w:hAnsi="Times New Roman"/>
                <w:sz w:val="20"/>
              </w:rPr>
              <w:t>–</w:t>
            </w:r>
          </w:p>
        </w:tc>
        <w:tc>
          <w:tcPr>
            <w:tcW w:type="dxa" w:w="1728"/>
          </w:tcPr>
          <w:p>
            <w:pPr>
              <w:spacing w:line="240" w:lineRule="auto"/>
            </w:pPr>
            <w:r>
              <w:rPr>
                <w:rFonts w:ascii="Times New Roman" w:hAnsi="Times New Roman"/>
                <w:sz w:val="20"/>
              </w:rPr>
              <w:t>–</w:t>
            </w:r>
          </w:p>
        </w:tc>
      </w:tr>
      <w:tr>
        <w:tc>
          <w:tcPr>
            <w:tcW w:type="dxa" w:w="1728"/>
          </w:tcPr>
          <w:p>
            <w:pPr>
              <w:spacing w:line="240" w:lineRule="auto"/>
            </w:pPr>
            <w:r>
              <w:rPr>
                <w:rFonts w:ascii="Times New Roman" w:hAnsi="Times New Roman"/>
                <w:sz w:val="20"/>
              </w:rPr>
              <w:t>PSM (1:1 NN)</w:t>
            </w:r>
          </w:p>
        </w:tc>
        <w:tc>
          <w:tcPr>
            <w:tcW w:type="dxa" w:w="1728"/>
          </w:tcPr>
          <w:p>
            <w:pPr>
              <w:spacing w:line="240" w:lineRule="auto"/>
            </w:pPr>
            <w:r>
              <w:rPr>
                <w:rFonts w:ascii="Times New Roman" w:hAnsi="Times New Roman"/>
                <w:sz w:val="20"/>
              </w:rPr>
              <w:t>–</w:t>
            </w:r>
          </w:p>
        </w:tc>
        <w:tc>
          <w:tcPr>
            <w:tcW w:type="dxa" w:w="1728"/>
          </w:tcPr>
          <w:p>
            <w:pPr>
              <w:spacing w:line="240" w:lineRule="auto"/>
            </w:pPr>
            <w:r>
              <w:rPr>
                <w:rFonts w:ascii="Times New Roman" w:hAnsi="Times New Roman"/>
                <w:sz w:val="20"/>
              </w:rPr>
              <w:t>–</w:t>
            </w:r>
          </w:p>
        </w:tc>
        <w:tc>
          <w:tcPr>
            <w:tcW w:type="dxa" w:w="1728"/>
          </w:tcPr>
          <w:p>
            <w:pPr>
              <w:spacing w:line="240" w:lineRule="auto"/>
            </w:pPr>
            <w:r>
              <w:rPr>
                <w:rFonts w:ascii="Times New Roman" w:hAnsi="Times New Roman"/>
                <w:sz w:val="20"/>
              </w:rPr>
              <w:t>–</w:t>
            </w:r>
          </w:p>
        </w:tc>
        <w:tc>
          <w:tcPr>
            <w:tcW w:type="dxa" w:w="1728"/>
          </w:tcPr>
          <w:p>
            <w:pPr>
              <w:spacing w:line="240" w:lineRule="auto"/>
            </w:pPr>
            <w:r>
              <w:rPr>
                <w:rFonts w:ascii="Times New Roman" w:hAnsi="Times New Roman"/>
                <w:sz w:val="20"/>
              </w:rPr>
              <w:t>–</w:t>
            </w:r>
          </w:p>
        </w:tc>
      </w:tr>
      <w:tr>
        <w:tc>
          <w:tcPr>
            <w:tcW w:type="dxa" w:w="1728"/>
          </w:tcPr>
          <w:p>
            <w:pPr>
              <w:spacing w:line="240" w:lineRule="auto"/>
            </w:pPr>
            <w:r>
              <w:rPr>
                <w:rFonts w:ascii="Times New Roman" w:hAnsi="Times New Roman"/>
                <w:sz w:val="20"/>
              </w:rPr>
              <w:t>DiD</w:t>
            </w:r>
          </w:p>
        </w:tc>
        <w:tc>
          <w:tcPr>
            <w:tcW w:type="dxa" w:w="1728"/>
          </w:tcPr>
          <w:p>
            <w:pPr>
              <w:spacing w:line="240" w:lineRule="auto"/>
            </w:pPr>
            <w:r>
              <w:rPr>
                <w:rFonts w:ascii="Times New Roman" w:hAnsi="Times New Roman"/>
                <w:sz w:val="20"/>
              </w:rPr>
              <w:t>–</w:t>
            </w:r>
          </w:p>
        </w:tc>
        <w:tc>
          <w:tcPr>
            <w:tcW w:type="dxa" w:w="1728"/>
          </w:tcPr>
          <w:p>
            <w:pPr>
              <w:spacing w:line="240" w:lineRule="auto"/>
            </w:pPr>
            <w:r>
              <w:rPr>
                <w:rFonts w:ascii="Times New Roman" w:hAnsi="Times New Roman"/>
                <w:sz w:val="20"/>
              </w:rPr>
              <w:t>–</w:t>
            </w:r>
          </w:p>
        </w:tc>
        <w:tc>
          <w:tcPr>
            <w:tcW w:type="dxa" w:w="1728"/>
          </w:tcPr>
          <w:p>
            <w:pPr>
              <w:spacing w:line="240" w:lineRule="auto"/>
            </w:pPr>
            <w:r>
              <w:rPr>
                <w:rFonts w:ascii="Times New Roman" w:hAnsi="Times New Roman"/>
                <w:sz w:val="20"/>
              </w:rPr>
              <w:t>–</w:t>
            </w:r>
          </w:p>
        </w:tc>
        <w:tc>
          <w:tcPr>
            <w:tcW w:type="dxa" w:w="1728"/>
          </w:tcPr>
          <w:p>
            <w:pPr>
              <w:spacing w:line="240" w:lineRule="auto"/>
            </w:pPr>
            <w:r>
              <w:rPr>
                <w:rFonts w:ascii="Times New Roman" w:hAnsi="Times New Roman"/>
                <w:sz w:val="20"/>
              </w:rPr>
              <w:t>–</w:t>
            </w:r>
          </w:p>
        </w:tc>
      </w:tr>
      <w:tr>
        <w:tc>
          <w:tcPr>
            <w:tcW w:type="dxa" w:w="1728"/>
          </w:tcPr>
          <w:p>
            <w:pPr>
              <w:spacing w:line="240" w:lineRule="auto"/>
            </w:pPr>
            <w:r>
              <w:rPr>
                <w:rFonts w:ascii="Times New Roman" w:hAnsi="Times New Roman"/>
                <w:sz w:val="20"/>
              </w:rPr>
              <w:t>Multi-level model</w:t>
            </w:r>
          </w:p>
        </w:tc>
        <w:tc>
          <w:tcPr>
            <w:tcW w:type="dxa" w:w="1728"/>
          </w:tcPr>
          <w:p>
            <w:pPr>
              <w:spacing w:line="240" w:lineRule="auto"/>
            </w:pPr>
            <w:r>
              <w:rPr>
                <w:rFonts w:ascii="Times New Roman" w:hAnsi="Times New Roman"/>
                <w:sz w:val="20"/>
              </w:rPr>
              <w:t>–</w:t>
            </w:r>
          </w:p>
        </w:tc>
        <w:tc>
          <w:tcPr>
            <w:tcW w:type="dxa" w:w="1728"/>
          </w:tcPr>
          <w:p>
            <w:pPr>
              <w:spacing w:line="240" w:lineRule="auto"/>
            </w:pPr>
            <w:r>
              <w:rPr>
                <w:rFonts w:ascii="Times New Roman" w:hAnsi="Times New Roman"/>
                <w:sz w:val="20"/>
              </w:rPr>
              <w:t>–</w:t>
            </w:r>
          </w:p>
        </w:tc>
        <w:tc>
          <w:tcPr>
            <w:tcW w:type="dxa" w:w="1728"/>
          </w:tcPr>
          <w:p>
            <w:pPr>
              <w:spacing w:line="240" w:lineRule="auto"/>
            </w:pPr>
            <w:r>
              <w:rPr>
                <w:rFonts w:ascii="Times New Roman" w:hAnsi="Times New Roman"/>
                <w:sz w:val="20"/>
              </w:rPr>
              <w:t>–</w:t>
            </w:r>
          </w:p>
        </w:tc>
        <w:tc>
          <w:tcPr>
            <w:tcW w:type="dxa" w:w="1728"/>
          </w:tcPr>
          <w:p>
            <w:pPr>
              <w:spacing w:line="240" w:lineRule="auto"/>
            </w:pPr>
            <w:r>
              <w:rPr>
                <w:rFonts w:ascii="Times New Roman" w:hAnsi="Times New Roman"/>
                <w:sz w:val="20"/>
              </w:rPr>
              <w:t>–</w:t>
            </w:r>
          </w:p>
        </w:tc>
      </w:tr>
    </w:tbl>
    <w:p>
      <w:pPr>
        <w:pStyle w:val="Heading2"/>
      </w:pPr>
      <w:r>
        <w:rPr>
          <w:rFonts w:ascii="Times New Roman" w:hAnsi="Times New Roman"/>
          <w:color w:val="000000"/>
        </w:rPr>
        <w:t>Appendix E: Acronym List</w:t>
      </w:r>
    </w:p>
    <w:tbl>
      <w:tblPr>
        <w:tblStyle w:val="TableGrid"/>
        <w:tblW w:type="auto" w:w="0"/>
        <w:tblLook w:firstColumn="1" w:firstRow="1" w:lastColumn="0" w:lastRow="0" w:noHBand="0" w:noVBand="1" w:val="04A0"/>
      </w:tblPr>
      <w:tblGrid>
        <w:gridCol w:w="4320"/>
        <w:gridCol w:w="4320"/>
      </w:tblGrid>
      <w:tr>
        <w:tc>
          <w:tcPr>
            <w:tcW w:type="dxa" w:w="4320"/>
          </w:tcPr>
          <w:p>
            <w:pPr>
              <w:spacing w:line="240" w:lineRule="auto"/>
            </w:pPr>
            <w:r>
              <w:rPr>
                <w:rFonts w:ascii="Times New Roman" w:hAnsi="Times New Roman"/>
                <w:b/>
                <w:sz w:val="20"/>
              </w:rPr>
              <w:t>Acronym</w:t>
            </w:r>
          </w:p>
        </w:tc>
        <w:tc>
          <w:tcPr>
            <w:tcW w:type="dxa" w:w="4320"/>
          </w:tcPr>
          <w:p>
            <w:pPr>
              <w:spacing w:line="240" w:lineRule="auto"/>
            </w:pPr>
            <w:r>
              <w:rPr>
                <w:rFonts w:ascii="Times New Roman" w:hAnsi="Times New Roman"/>
                <w:b/>
                <w:sz w:val="20"/>
              </w:rPr>
              <w:t>Full Term</w:t>
            </w:r>
          </w:p>
        </w:tc>
      </w:tr>
      <w:tr>
        <w:tc>
          <w:tcPr>
            <w:tcW w:type="dxa" w:w="4320"/>
          </w:tcPr>
          <w:p>
            <w:pPr>
              <w:spacing w:line="240" w:lineRule="auto"/>
            </w:pPr>
            <w:r>
              <w:rPr>
                <w:rFonts w:ascii="Times New Roman" w:hAnsi="Times New Roman"/>
                <w:sz w:val="20"/>
              </w:rPr>
              <w:t>ADB</w:t>
            </w:r>
          </w:p>
        </w:tc>
        <w:tc>
          <w:tcPr>
            <w:tcW w:type="dxa" w:w="4320"/>
          </w:tcPr>
          <w:p>
            <w:pPr>
              <w:spacing w:line="240" w:lineRule="auto"/>
            </w:pPr>
            <w:r>
              <w:rPr>
                <w:rFonts w:ascii="Times New Roman" w:hAnsi="Times New Roman"/>
                <w:sz w:val="20"/>
              </w:rPr>
              <w:t>Asian Development Bank</w:t>
            </w:r>
          </w:p>
        </w:tc>
      </w:tr>
      <w:tr>
        <w:tc>
          <w:tcPr>
            <w:tcW w:type="dxa" w:w="4320"/>
          </w:tcPr>
          <w:p>
            <w:pPr>
              <w:spacing w:line="240" w:lineRule="auto"/>
            </w:pPr>
            <w:r>
              <w:rPr>
                <w:rFonts w:ascii="Times New Roman" w:hAnsi="Times New Roman"/>
                <w:sz w:val="20"/>
              </w:rPr>
              <w:t>APA</w:t>
            </w:r>
          </w:p>
        </w:tc>
        <w:tc>
          <w:tcPr>
            <w:tcW w:type="dxa" w:w="4320"/>
          </w:tcPr>
          <w:p>
            <w:pPr>
              <w:spacing w:line="240" w:lineRule="auto"/>
            </w:pPr>
            <w:r>
              <w:rPr>
                <w:rFonts w:ascii="Times New Roman" w:hAnsi="Times New Roman"/>
                <w:sz w:val="20"/>
              </w:rPr>
              <w:t>American Psychological Association</w:t>
            </w:r>
          </w:p>
        </w:tc>
      </w:tr>
      <w:tr>
        <w:tc>
          <w:tcPr>
            <w:tcW w:type="dxa" w:w="4320"/>
          </w:tcPr>
          <w:p>
            <w:pPr>
              <w:spacing w:line="240" w:lineRule="auto"/>
            </w:pPr>
            <w:r>
              <w:rPr>
                <w:rFonts w:ascii="Times New Roman" w:hAnsi="Times New Roman"/>
                <w:sz w:val="20"/>
              </w:rPr>
              <w:t>ATE</w:t>
            </w:r>
          </w:p>
        </w:tc>
        <w:tc>
          <w:tcPr>
            <w:tcW w:type="dxa" w:w="4320"/>
          </w:tcPr>
          <w:p>
            <w:pPr>
              <w:spacing w:line="240" w:lineRule="auto"/>
            </w:pPr>
            <w:r>
              <w:rPr>
                <w:rFonts w:ascii="Times New Roman" w:hAnsi="Times New Roman"/>
                <w:sz w:val="20"/>
              </w:rPr>
              <w:t>Average Treatment Effect</w:t>
            </w:r>
          </w:p>
        </w:tc>
      </w:tr>
      <w:tr>
        <w:tc>
          <w:tcPr>
            <w:tcW w:type="dxa" w:w="4320"/>
          </w:tcPr>
          <w:p>
            <w:pPr>
              <w:spacing w:line="240" w:lineRule="auto"/>
            </w:pPr>
            <w:r>
              <w:rPr>
                <w:rFonts w:ascii="Times New Roman" w:hAnsi="Times New Roman"/>
                <w:sz w:val="20"/>
              </w:rPr>
              <w:t>ATT</w:t>
            </w:r>
          </w:p>
        </w:tc>
        <w:tc>
          <w:tcPr>
            <w:tcW w:type="dxa" w:w="4320"/>
          </w:tcPr>
          <w:p>
            <w:pPr>
              <w:spacing w:line="240" w:lineRule="auto"/>
            </w:pPr>
            <w:r>
              <w:rPr>
                <w:rFonts w:ascii="Times New Roman" w:hAnsi="Times New Roman"/>
                <w:sz w:val="20"/>
              </w:rPr>
              <w:t>Average Treatment Effect on the Treated</w:t>
            </w:r>
          </w:p>
        </w:tc>
      </w:tr>
      <w:tr>
        <w:tc>
          <w:tcPr>
            <w:tcW w:type="dxa" w:w="4320"/>
          </w:tcPr>
          <w:p>
            <w:pPr>
              <w:spacing w:line="240" w:lineRule="auto"/>
            </w:pPr>
            <w:r>
              <w:rPr>
                <w:rFonts w:ascii="Times New Roman" w:hAnsi="Times New Roman"/>
                <w:sz w:val="20"/>
              </w:rPr>
              <w:t>BPA</w:t>
            </w:r>
          </w:p>
        </w:tc>
        <w:tc>
          <w:tcPr>
            <w:tcW w:type="dxa" w:w="4320"/>
          </w:tcPr>
          <w:p>
            <w:pPr>
              <w:spacing w:line="240" w:lineRule="auto"/>
            </w:pPr>
            <w:r>
              <w:rPr>
                <w:rFonts w:ascii="Times New Roman" w:hAnsi="Times New Roman"/>
                <w:sz w:val="20"/>
              </w:rPr>
              <w:t>Blanket Purchase Agreement</w:t>
            </w:r>
          </w:p>
        </w:tc>
      </w:tr>
      <w:tr>
        <w:tc>
          <w:tcPr>
            <w:tcW w:type="dxa" w:w="4320"/>
          </w:tcPr>
          <w:p>
            <w:pPr>
              <w:spacing w:line="240" w:lineRule="auto"/>
            </w:pPr>
            <w:r>
              <w:rPr>
                <w:rFonts w:ascii="Times New Roman" w:hAnsi="Times New Roman"/>
                <w:sz w:val="20"/>
              </w:rPr>
              <w:t>BOA</w:t>
            </w:r>
          </w:p>
        </w:tc>
        <w:tc>
          <w:tcPr>
            <w:tcW w:type="dxa" w:w="4320"/>
          </w:tcPr>
          <w:p>
            <w:pPr>
              <w:spacing w:line="240" w:lineRule="auto"/>
            </w:pPr>
            <w:r>
              <w:rPr>
                <w:rFonts w:ascii="Times New Roman" w:hAnsi="Times New Roman"/>
                <w:sz w:val="20"/>
              </w:rPr>
              <w:t>Basic Ordering Agreement</w:t>
            </w:r>
          </w:p>
        </w:tc>
      </w:tr>
      <w:tr>
        <w:tc>
          <w:tcPr>
            <w:tcW w:type="dxa" w:w="4320"/>
          </w:tcPr>
          <w:p>
            <w:pPr>
              <w:spacing w:line="240" w:lineRule="auto"/>
            </w:pPr>
            <w:r>
              <w:rPr>
                <w:rFonts w:ascii="Times New Roman" w:hAnsi="Times New Roman"/>
                <w:sz w:val="20"/>
              </w:rPr>
              <w:t>CICA</w:t>
            </w:r>
          </w:p>
        </w:tc>
        <w:tc>
          <w:tcPr>
            <w:tcW w:type="dxa" w:w="4320"/>
          </w:tcPr>
          <w:p>
            <w:pPr>
              <w:spacing w:line="240" w:lineRule="auto"/>
            </w:pPr>
            <w:r>
              <w:rPr>
                <w:rFonts w:ascii="Times New Roman" w:hAnsi="Times New Roman"/>
                <w:sz w:val="20"/>
              </w:rPr>
              <w:t>Competition in Contracting Act</w:t>
            </w:r>
          </w:p>
        </w:tc>
      </w:tr>
      <w:tr>
        <w:tc>
          <w:tcPr>
            <w:tcW w:type="dxa" w:w="4320"/>
          </w:tcPr>
          <w:p>
            <w:pPr>
              <w:spacing w:line="240" w:lineRule="auto"/>
            </w:pPr>
            <w:r>
              <w:rPr>
                <w:rFonts w:ascii="Times New Roman" w:hAnsi="Times New Roman"/>
                <w:sz w:val="20"/>
              </w:rPr>
              <w:t>COFC</w:t>
            </w:r>
          </w:p>
        </w:tc>
        <w:tc>
          <w:tcPr>
            <w:tcW w:type="dxa" w:w="4320"/>
          </w:tcPr>
          <w:p>
            <w:pPr>
              <w:spacing w:line="240" w:lineRule="auto"/>
            </w:pPr>
            <w:r>
              <w:rPr>
                <w:rFonts w:ascii="Times New Roman" w:hAnsi="Times New Roman"/>
                <w:sz w:val="20"/>
              </w:rPr>
              <w:t>Court of Federal Claims</w:t>
            </w:r>
          </w:p>
        </w:tc>
      </w:tr>
      <w:tr>
        <w:tc>
          <w:tcPr>
            <w:tcW w:type="dxa" w:w="4320"/>
          </w:tcPr>
          <w:p>
            <w:pPr>
              <w:spacing w:line="240" w:lineRule="auto"/>
            </w:pPr>
            <w:r>
              <w:rPr>
                <w:rFonts w:ascii="Times New Roman" w:hAnsi="Times New Roman"/>
                <w:sz w:val="20"/>
              </w:rPr>
              <w:t>COTR</w:t>
            </w:r>
          </w:p>
        </w:tc>
        <w:tc>
          <w:tcPr>
            <w:tcW w:type="dxa" w:w="4320"/>
          </w:tcPr>
          <w:p>
            <w:pPr>
              <w:spacing w:line="240" w:lineRule="auto"/>
            </w:pPr>
            <w:r>
              <w:rPr>
                <w:rFonts w:ascii="Times New Roman" w:hAnsi="Times New Roman"/>
                <w:sz w:val="20"/>
              </w:rPr>
              <w:t>Contracting Officer's Technical Representative</w:t>
            </w:r>
          </w:p>
        </w:tc>
      </w:tr>
      <w:tr>
        <w:tc>
          <w:tcPr>
            <w:tcW w:type="dxa" w:w="4320"/>
          </w:tcPr>
          <w:p>
            <w:pPr>
              <w:spacing w:line="240" w:lineRule="auto"/>
            </w:pPr>
            <w:r>
              <w:rPr>
                <w:rFonts w:ascii="Times New Roman" w:hAnsi="Times New Roman"/>
                <w:sz w:val="20"/>
              </w:rPr>
              <w:t>CPARS</w:t>
            </w:r>
          </w:p>
        </w:tc>
        <w:tc>
          <w:tcPr>
            <w:tcW w:type="dxa" w:w="4320"/>
          </w:tcPr>
          <w:p>
            <w:pPr>
              <w:spacing w:line="240" w:lineRule="auto"/>
            </w:pPr>
            <w:r>
              <w:rPr>
                <w:rFonts w:ascii="Times New Roman" w:hAnsi="Times New Roman"/>
                <w:sz w:val="20"/>
              </w:rPr>
              <w:t>Contractor Performance Assessment Reporting System</w:t>
            </w:r>
          </w:p>
        </w:tc>
      </w:tr>
      <w:tr>
        <w:tc>
          <w:tcPr>
            <w:tcW w:type="dxa" w:w="4320"/>
          </w:tcPr>
          <w:p>
            <w:pPr>
              <w:spacing w:line="240" w:lineRule="auto"/>
            </w:pPr>
            <w:r>
              <w:rPr>
                <w:rFonts w:ascii="Times New Roman" w:hAnsi="Times New Roman"/>
                <w:sz w:val="20"/>
              </w:rPr>
              <w:t>CPFF</w:t>
            </w:r>
          </w:p>
        </w:tc>
        <w:tc>
          <w:tcPr>
            <w:tcW w:type="dxa" w:w="4320"/>
          </w:tcPr>
          <w:p>
            <w:pPr>
              <w:spacing w:line="240" w:lineRule="auto"/>
            </w:pPr>
            <w:r>
              <w:rPr>
                <w:rFonts w:ascii="Times New Roman" w:hAnsi="Times New Roman"/>
                <w:sz w:val="20"/>
              </w:rPr>
              <w:t>Cost-Plus-Fixed-Fee</w:t>
            </w:r>
          </w:p>
        </w:tc>
      </w:tr>
      <w:tr>
        <w:tc>
          <w:tcPr>
            <w:tcW w:type="dxa" w:w="4320"/>
          </w:tcPr>
          <w:p>
            <w:pPr>
              <w:spacing w:line="240" w:lineRule="auto"/>
            </w:pPr>
            <w:r>
              <w:rPr>
                <w:rFonts w:ascii="Times New Roman" w:hAnsi="Times New Roman"/>
                <w:sz w:val="20"/>
              </w:rPr>
              <w:t>CRS</w:t>
            </w:r>
          </w:p>
        </w:tc>
        <w:tc>
          <w:tcPr>
            <w:tcW w:type="dxa" w:w="4320"/>
          </w:tcPr>
          <w:p>
            <w:pPr>
              <w:spacing w:line="240" w:lineRule="auto"/>
            </w:pPr>
            <w:r>
              <w:rPr>
                <w:rFonts w:ascii="Times New Roman" w:hAnsi="Times New Roman"/>
                <w:sz w:val="20"/>
              </w:rPr>
              <w:t>Congressional Research Service</w:t>
            </w:r>
          </w:p>
        </w:tc>
      </w:tr>
      <w:tr>
        <w:tc>
          <w:tcPr>
            <w:tcW w:type="dxa" w:w="4320"/>
          </w:tcPr>
          <w:p>
            <w:pPr>
              <w:spacing w:line="240" w:lineRule="auto"/>
            </w:pPr>
            <w:r>
              <w:rPr>
                <w:rFonts w:ascii="Times New Roman" w:hAnsi="Times New Roman"/>
                <w:sz w:val="20"/>
              </w:rPr>
              <w:t>CSV</w:t>
            </w:r>
          </w:p>
        </w:tc>
        <w:tc>
          <w:tcPr>
            <w:tcW w:type="dxa" w:w="4320"/>
          </w:tcPr>
          <w:p>
            <w:pPr>
              <w:spacing w:line="240" w:lineRule="auto"/>
            </w:pPr>
            <w:r>
              <w:rPr>
                <w:rFonts w:ascii="Times New Roman" w:hAnsi="Times New Roman"/>
                <w:sz w:val="20"/>
              </w:rPr>
              <w:t>Comma-Separated Values</w:t>
            </w:r>
          </w:p>
        </w:tc>
      </w:tr>
      <w:tr>
        <w:tc>
          <w:tcPr>
            <w:tcW w:type="dxa" w:w="4320"/>
          </w:tcPr>
          <w:p>
            <w:pPr>
              <w:spacing w:line="240" w:lineRule="auto"/>
            </w:pPr>
            <w:r>
              <w:rPr>
                <w:rFonts w:ascii="Times New Roman" w:hAnsi="Times New Roman"/>
                <w:sz w:val="20"/>
              </w:rPr>
              <w:t>DATA Act</w:t>
            </w:r>
          </w:p>
        </w:tc>
        <w:tc>
          <w:tcPr>
            <w:tcW w:type="dxa" w:w="4320"/>
          </w:tcPr>
          <w:p>
            <w:pPr>
              <w:spacing w:line="240" w:lineRule="auto"/>
            </w:pPr>
            <w:r>
              <w:rPr>
                <w:rFonts w:ascii="Times New Roman" w:hAnsi="Times New Roman"/>
                <w:sz w:val="20"/>
              </w:rPr>
              <w:t>Digital Accountability and Transparency Act</w:t>
            </w:r>
          </w:p>
        </w:tc>
      </w:tr>
      <w:tr>
        <w:tc>
          <w:tcPr>
            <w:tcW w:type="dxa" w:w="4320"/>
          </w:tcPr>
          <w:p>
            <w:pPr>
              <w:spacing w:line="240" w:lineRule="auto"/>
            </w:pPr>
            <w:r>
              <w:rPr>
                <w:rFonts w:ascii="Times New Roman" w:hAnsi="Times New Roman"/>
                <w:sz w:val="20"/>
              </w:rPr>
              <w:t>DAU</w:t>
            </w:r>
          </w:p>
        </w:tc>
        <w:tc>
          <w:tcPr>
            <w:tcW w:type="dxa" w:w="4320"/>
          </w:tcPr>
          <w:p>
            <w:pPr>
              <w:spacing w:line="240" w:lineRule="auto"/>
            </w:pPr>
            <w:r>
              <w:rPr>
                <w:rFonts w:ascii="Times New Roman" w:hAnsi="Times New Roman"/>
                <w:sz w:val="20"/>
              </w:rPr>
              <w:t>Defense Acquisition University</w:t>
            </w:r>
          </w:p>
        </w:tc>
      </w:tr>
      <w:tr>
        <w:tc>
          <w:tcPr>
            <w:tcW w:type="dxa" w:w="4320"/>
          </w:tcPr>
          <w:p>
            <w:pPr>
              <w:spacing w:line="240" w:lineRule="auto"/>
            </w:pPr>
            <w:r>
              <w:rPr>
                <w:rFonts w:ascii="Times New Roman" w:hAnsi="Times New Roman"/>
                <w:sz w:val="20"/>
              </w:rPr>
              <w:t>DCAA</w:t>
            </w:r>
          </w:p>
        </w:tc>
        <w:tc>
          <w:tcPr>
            <w:tcW w:type="dxa" w:w="4320"/>
          </w:tcPr>
          <w:p>
            <w:pPr>
              <w:spacing w:line="240" w:lineRule="auto"/>
            </w:pPr>
            <w:r>
              <w:rPr>
                <w:rFonts w:ascii="Times New Roman" w:hAnsi="Times New Roman"/>
                <w:sz w:val="20"/>
              </w:rPr>
              <w:t>Defense Contract Audit Agency</w:t>
            </w:r>
          </w:p>
        </w:tc>
      </w:tr>
      <w:tr>
        <w:tc>
          <w:tcPr>
            <w:tcW w:type="dxa" w:w="4320"/>
          </w:tcPr>
          <w:p>
            <w:pPr>
              <w:spacing w:line="240" w:lineRule="auto"/>
            </w:pPr>
            <w:r>
              <w:rPr>
                <w:rFonts w:ascii="Times New Roman" w:hAnsi="Times New Roman"/>
                <w:sz w:val="20"/>
              </w:rPr>
              <w:t>DFARS</w:t>
            </w:r>
          </w:p>
        </w:tc>
        <w:tc>
          <w:tcPr>
            <w:tcW w:type="dxa" w:w="4320"/>
          </w:tcPr>
          <w:p>
            <w:pPr>
              <w:spacing w:line="240" w:lineRule="auto"/>
            </w:pPr>
            <w:r>
              <w:rPr>
                <w:rFonts w:ascii="Times New Roman" w:hAnsi="Times New Roman"/>
                <w:sz w:val="20"/>
              </w:rPr>
              <w:t>Defense Federal Acquisition Regulation Supplement</w:t>
            </w:r>
          </w:p>
        </w:tc>
      </w:tr>
      <w:tr>
        <w:tc>
          <w:tcPr>
            <w:tcW w:type="dxa" w:w="4320"/>
          </w:tcPr>
          <w:p>
            <w:pPr>
              <w:spacing w:line="240" w:lineRule="auto"/>
            </w:pPr>
            <w:r>
              <w:rPr>
                <w:rFonts w:ascii="Times New Roman" w:hAnsi="Times New Roman"/>
                <w:sz w:val="20"/>
              </w:rPr>
              <w:t>DiD</w:t>
            </w:r>
          </w:p>
        </w:tc>
        <w:tc>
          <w:tcPr>
            <w:tcW w:type="dxa" w:w="4320"/>
          </w:tcPr>
          <w:p>
            <w:pPr>
              <w:spacing w:line="240" w:lineRule="auto"/>
            </w:pPr>
            <w:r>
              <w:rPr>
                <w:rFonts w:ascii="Times New Roman" w:hAnsi="Times New Roman"/>
                <w:sz w:val="20"/>
              </w:rPr>
              <w:t>Difference-in-Differences</w:t>
            </w:r>
          </w:p>
        </w:tc>
      </w:tr>
      <w:tr>
        <w:tc>
          <w:tcPr>
            <w:tcW w:type="dxa" w:w="4320"/>
          </w:tcPr>
          <w:p>
            <w:pPr>
              <w:spacing w:line="240" w:lineRule="auto"/>
            </w:pPr>
            <w:r>
              <w:rPr>
                <w:rFonts w:ascii="Times New Roman" w:hAnsi="Times New Roman"/>
                <w:sz w:val="20"/>
              </w:rPr>
              <w:t>DoD</w:t>
            </w:r>
          </w:p>
        </w:tc>
        <w:tc>
          <w:tcPr>
            <w:tcW w:type="dxa" w:w="4320"/>
          </w:tcPr>
          <w:p>
            <w:pPr>
              <w:spacing w:line="240" w:lineRule="auto"/>
            </w:pPr>
            <w:r>
              <w:rPr>
                <w:rFonts w:ascii="Times New Roman" w:hAnsi="Times New Roman"/>
                <w:sz w:val="20"/>
              </w:rPr>
              <w:t>Department of Defense</w:t>
            </w:r>
          </w:p>
        </w:tc>
      </w:tr>
      <w:tr>
        <w:tc>
          <w:tcPr>
            <w:tcW w:type="dxa" w:w="4320"/>
          </w:tcPr>
          <w:p>
            <w:pPr>
              <w:spacing w:line="240" w:lineRule="auto"/>
            </w:pPr>
            <w:r>
              <w:rPr>
                <w:rFonts w:ascii="Times New Roman" w:hAnsi="Times New Roman"/>
                <w:sz w:val="20"/>
              </w:rPr>
              <w:t>DPC</w:t>
            </w:r>
          </w:p>
        </w:tc>
        <w:tc>
          <w:tcPr>
            <w:tcW w:type="dxa" w:w="4320"/>
          </w:tcPr>
          <w:p>
            <w:pPr>
              <w:spacing w:line="240" w:lineRule="auto"/>
            </w:pPr>
            <w:r>
              <w:rPr>
                <w:rFonts w:ascii="Times New Roman" w:hAnsi="Times New Roman"/>
                <w:sz w:val="20"/>
              </w:rPr>
              <w:t>Data Procedures Committee</w:t>
            </w:r>
          </w:p>
        </w:tc>
      </w:tr>
      <w:tr>
        <w:tc>
          <w:tcPr>
            <w:tcW w:type="dxa" w:w="4320"/>
          </w:tcPr>
          <w:p>
            <w:pPr>
              <w:spacing w:line="240" w:lineRule="auto"/>
            </w:pPr>
            <w:r>
              <w:rPr>
                <w:rFonts w:ascii="Times New Roman" w:hAnsi="Times New Roman"/>
                <w:sz w:val="20"/>
              </w:rPr>
              <w:t>DPAP</w:t>
            </w:r>
          </w:p>
        </w:tc>
        <w:tc>
          <w:tcPr>
            <w:tcW w:type="dxa" w:w="4320"/>
          </w:tcPr>
          <w:p>
            <w:pPr>
              <w:spacing w:line="240" w:lineRule="auto"/>
            </w:pPr>
            <w:r>
              <w:rPr>
                <w:rFonts w:ascii="Times New Roman" w:hAnsi="Times New Roman"/>
                <w:sz w:val="20"/>
              </w:rPr>
              <w:t>Defense Procurement and Acquisition Policy</w:t>
            </w:r>
          </w:p>
        </w:tc>
      </w:tr>
      <w:tr>
        <w:tc>
          <w:tcPr>
            <w:tcW w:type="dxa" w:w="4320"/>
          </w:tcPr>
          <w:p>
            <w:pPr>
              <w:spacing w:line="240" w:lineRule="auto"/>
            </w:pPr>
            <w:r>
              <w:rPr>
                <w:rFonts w:ascii="Times New Roman" w:hAnsi="Times New Roman"/>
                <w:sz w:val="20"/>
              </w:rPr>
              <w:t>EBRD</w:t>
            </w:r>
          </w:p>
        </w:tc>
        <w:tc>
          <w:tcPr>
            <w:tcW w:type="dxa" w:w="4320"/>
          </w:tcPr>
          <w:p>
            <w:pPr>
              <w:spacing w:line="240" w:lineRule="auto"/>
            </w:pPr>
            <w:r>
              <w:rPr>
                <w:rFonts w:ascii="Times New Roman" w:hAnsi="Times New Roman"/>
                <w:sz w:val="20"/>
              </w:rPr>
              <w:t>European Bank for Reconstruction and Development</w:t>
            </w:r>
          </w:p>
        </w:tc>
      </w:tr>
      <w:tr>
        <w:tc>
          <w:tcPr>
            <w:tcW w:type="dxa" w:w="4320"/>
          </w:tcPr>
          <w:p>
            <w:pPr>
              <w:spacing w:line="240" w:lineRule="auto"/>
            </w:pPr>
            <w:r>
              <w:rPr>
                <w:rFonts w:ascii="Times New Roman" w:hAnsi="Times New Roman"/>
                <w:sz w:val="20"/>
              </w:rPr>
              <w:t>ETL</w:t>
            </w:r>
          </w:p>
        </w:tc>
        <w:tc>
          <w:tcPr>
            <w:tcW w:type="dxa" w:w="4320"/>
          </w:tcPr>
          <w:p>
            <w:pPr>
              <w:spacing w:line="240" w:lineRule="auto"/>
            </w:pPr>
            <w:r>
              <w:rPr>
                <w:rFonts w:ascii="Times New Roman" w:hAnsi="Times New Roman"/>
                <w:sz w:val="20"/>
              </w:rPr>
              <w:t>Extract, Transform, Load</w:t>
            </w:r>
          </w:p>
        </w:tc>
      </w:tr>
      <w:tr>
        <w:tc>
          <w:tcPr>
            <w:tcW w:type="dxa" w:w="4320"/>
          </w:tcPr>
          <w:p>
            <w:pPr>
              <w:spacing w:line="240" w:lineRule="auto"/>
            </w:pPr>
            <w:r>
              <w:rPr>
                <w:rFonts w:ascii="Times New Roman" w:hAnsi="Times New Roman"/>
                <w:sz w:val="20"/>
              </w:rPr>
              <w:t>FAR</w:t>
            </w:r>
          </w:p>
        </w:tc>
        <w:tc>
          <w:tcPr>
            <w:tcW w:type="dxa" w:w="4320"/>
          </w:tcPr>
          <w:p>
            <w:pPr>
              <w:spacing w:line="240" w:lineRule="auto"/>
            </w:pPr>
            <w:r>
              <w:rPr>
                <w:rFonts w:ascii="Times New Roman" w:hAnsi="Times New Roman"/>
                <w:sz w:val="20"/>
              </w:rPr>
              <w:t>Federal Acquisition Regulation</w:t>
            </w:r>
          </w:p>
        </w:tc>
      </w:tr>
      <w:tr>
        <w:tc>
          <w:tcPr>
            <w:tcW w:type="dxa" w:w="4320"/>
          </w:tcPr>
          <w:p>
            <w:pPr>
              <w:spacing w:line="240" w:lineRule="auto"/>
            </w:pPr>
            <w:r>
              <w:rPr>
                <w:rFonts w:ascii="Times New Roman" w:hAnsi="Times New Roman"/>
                <w:sz w:val="20"/>
              </w:rPr>
              <w:t>FARA</w:t>
            </w:r>
          </w:p>
        </w:tc>
        <w:tc>
          <w:tcPr>
            <w:tcW w:type="dxa" w:w="4320"/>
          </w:tcPr>
          <w:p>
            <w:pPr>
              <w:spacing w:line="240" w:lineRule="auto"/>
            </w:pPr>
            <w:r>
              <w:rPr>
                <w:rFonts w:ascii="Times New Roman" w:hAnsi="Times New Roman"/>
                <w:sz w:val="20"/>
              </w:rPr>
              <w:t>Federal Acquisition Reform Act</w:t>
            </w:r>
          </w:p>
        </w:tc>
      </w:tr>
      <w:tr>
        <w:tc>
          <w:tcPr>
            <w:tcW w:type="dxa" w:w="4320"/>
          </w:tcPr>
          <w:p>
            <w:pPr>
              <w:spacing w:line="240" w:lineRule="auto"/>
            </w:pPr>
            <w:r>
              <w:rPr>
                <w:rFonts w:ascii="Times New Roman" w:hAnsi="Times New Roman"/>
                <w:sz w:val="20"/>
              </w:rPr>
              <w:t>FASA</w:t>
            </w:r>
          </w:p>
        </w:tc>
        <w:tc>
          <w:tcPr>
            <w:tcW w:type="dxa" w:w="4320"/>
          </w:tcPr>
          <w:p>
            <w:pPr>
              <w:spacing w:line="240" w:lineRule="auto"/>
            </w:pPr>
            <w:r>
              <w:rPr>
                <w:rFonts w:ascii="Times New Roman" w:hAnsi="Times New Roman"/>
                <w:sz w:val="20"/>
              </w:rPr>
              <w:t>Federal Acquisition Streamlining Act</w:t>
            </w:r>
          </w:p>
        </w:tc>
      </w:tr>
      <w:tr>
        <w:tc>
          <w:tcPr>
            <w:tcW w:type="dxa" w:w="4320"/>
          </w:tcPr>
          <w:p>
            <w:pPr>
              <w:spacing w:line="240" w:lineRule="auto"/>
            </w:pPr>
            <w:r>
              <w:rPr>
                <w:rFonts w:ascii="Times New Roman" w:hAnsi="Times New Roman"/>
                <w:sz w:val="20"/>
              </w:rPr>
              <w:t>FDR</w:t>
            </w:r>
          </w:p>
        </w:tc>
        <w:tc>
          <w:tcPr>
            <w:tcW w:type="dxa" w:w="4320"/>
          </w:tcPr>
          <w:p>
            <w:pPr>
              <w:spacing w:line="240" w:lineRule="auto"/>
            </w:pPr>
            <w:r>
              <w:rPr>
                <w:rFonts w:ascii="Times New Roman" w:hAnsi="Times New Roman"/>
                <w:sz w:val="20"/>
              </w:rPr>
              <w:t>False Discovery Rate</w:t>
            </w:r>
          </w:p>
        </w:tc>
      </w:tr>
      <w:tr>
        <w:tc>
          <w:tcPr>
            <w:tcW w:type="dxa" w:w="4320"/>
          </w:tcPr>
          <w:p>
            <w:pPr>
              <w:spacing w:line="240" w:lineRule="auto"/>
            </w:pPr>
            <w:r>
              <w:rPr>
                <w:rFonts w:ascii="Times New Roman" w:hAnsi="Times New Roman"/>
                <w:sz w:val="20"/>
              </w:rPr>
              <w:t>FFATA</w:t>
            </w:r>
          </w:p>
        </w:tc>
        <w:tc>
          <w:tcPr>
            <w:tcW w:type="dxa" w:w="4320"/>
          </w:tcPr>
          <w:p>
            <w:pPr>
              <w:spacing w:line="240" w:lineRule="auto"/>
            </w:pPr>
            <w:r>
              <w:rPr>
                <w:rFonts w:ascii="Times New Roman" w:hAnsi="Times New Roman"/>
                <w:sz w:val="20"/>
              </w:rPr>
              <w:t>Federal Funding Accountability and Transparency Act</w:t>
            </w:r>
          </w:p>
        </w:tc>
      </w:tr>
      <w:tr>
        <w:tc>
          <w:tcPr>
            <w:tcW w:type="dxa" w:w="4320"/>
          </w:tcPr>
          <w:p>
            <w:pPr>
              <w:spacing w:line="240" w:lineRule="auto"/>
            </w:pPr>
            <w:r>
              <w:rPr>
                <w:rFonts w:ascii="Times New Roman" w:hAnsi="Times New Roman"/>
                <w:sz w:val="20"/>
              </w:rPr>
              <w:t>FFP</w:t>
            </w:r>
          </w:p>
        </w:tc>
        <w:tc>
          <w:tcPr>
            <w:tcW w:type="dxa" w:w="4320"/>
          </w:tcPr>
          <w:p>
            <w:pPr>
              <w:spacing w:line="240" w:lineRule="auto"/>
            </w:pPr>
            <w:r>
              <w:rPr>
                <w:rFonts w:ascii="Times New Roman" w:hAnsi="Times New Roman"/>
                <w:sz w:val="20"/>
              </w:rPr>
              <w:t>Firm-Fixed-Price</w:t>
            </w:r>
          </w:p>
        </w:tc>
      </w:tr>
      <w:tr>
        <w:tc>
          <w:tcPr>
            <w:tcW w:type="dxa" w:w="4320"/>
          </w:tcPr>
          <w:p>
            <w:pPr>
              <w:spacing w:line="240" w:lineRule="auto"/>
            </w:pPr>
            <w:r>
              <w:rPr>
                <w:rFonts w:ascii="Times New Roman" w:hAnsi="Times New Roman"/>
                <w:sz w:val="20"/>
              </w:rPr>
              <w:t>FOIA</w:t>
            </w:r>
          </w:p>
        </w:tc>
        <w:tc>
          <w:tcPr>
            <w:tcW w:type="dxa" w:w="4320"/>
          </w:tcPr>
          <w:p>
            <w:pPr>
              <w:spacing w:line="240" w:lineRule="auto"/>
            </w:pPr>
            <w:r>
              <w:rPr>
                <w:rFonts w:ascii="Times New Roman" w:hAnsi="Times New Roman"/>
                <w:sz w:val="20"/>
              </w:rPr>
              <w:t>Freedom of Information Act</w:t>
            </w:r>
          </w:p>
        </w:tc>
      </w:tr>
      <w:tr>
        <w:tc>
          <w:tcPr>
            <w:tcW w:type="dxa" w:w="4320"/>
          </w:tcPr>
          <w:p>
            <w:pPr>
              <w:spacing w:line="240" w:lineRule="auto"/>
            </w:pPr>
            <w:r>
              <w:rPr>
                <w:rFonts w:ascii="Times New Roman" w:hAnsi="Times New Roman"/>
                <w:sz w:val="20"/>
              </w:rPr>
              <w:t>FPDS</w:t>
            </w:r>
          </w:p>
        </w:tc>
        <w:tc>
          <w:tcPr>
            <w:tcW w:type="dxa" w:w="4320"/>
          </w:tcPr>
          <w:p>
            <w:pPr>
              <w:spacing w:line="240" w:lineRule="auto"/>
            </w:pPr>
            <w:r>
              <w:rPr>
                <w:rFonts w:ascii="Times New Roman" w:hAnsi="Times New Roman"/>
                <w:sz w:val="20"/>
              </w:rPr>
              <w:t>Federal Procurement Data System</w:t>
            </w:r>
          </w:p>
        </w:tc>
      </w:tr>
      <w:tr>
        <w:tc>
          <w:tcPr>
            <w:tcW w:type="dxa" w:w="4320"/>
          </w:tcPr>
          <w:p>
            <w:pPr>
              <w:spacing w:line="240" w:lineRule="auto"/>
            </w:pPr>
            <w:r>
              <w:rPr>
                <w:rFonts w:ascii="Times New Roman" w:hAnsi="Times New Roman"/>
                <w:sz w:val="20"/>
              </w:rPr>
              <w:t>FPDS-NG</w:t>
            </w:r>
          </w:p>
        </w:tc>
        <w:tc>
          <w:tcPr>
            <w:tcW w:type="dxa" w:w="4320"/>
          </w:tcPr>
          <w:p>
            <w:pPr>
              <w:spacing w:line="240" w:lineRule="auto"/>
            </w:pPr>
            <w:r>
              <w:rPr>
                <w:rFonts w:ascii="Times New Roman" w:hAnsi="Times New Roman"/>
                <w:sz w:val="20"/>
              </w:rPr>
              <w:t>Federal Procurement Data System–Next Generation</w:t>
            </w:r>
          </w:p>
        </w:tc>
      </w:tr>
      <w:tr>
        <w:tc>
          <w:tcPr>
            <w:tcW w:type="dxa" w:w="4320"/>
          </w:tcPr>
          <w:p>
            <w:pPr>
              <w:spacing w:line="240" w:lineRule="auto"/>
            </w:pPr>
            <w:r>
              <w:rPr>
                <w:rFonts w:ascii="Times New Roman" w:hAnsi="Times New Roman"/>
                <w:sz w:val="20"/>
              </w:rPr>
              <w:t>FY</w:t>
            </w:r>
          </w:p>
        </w:tc>
        <w:tc>
          <w:tcPr>
            <w:tcW w:type="dxa" w:w="4320"/>
          </w:tcPr>
          <w:p>
            <w:pPr>
              <w:spacing w:line="240" w:lineRule="auto"/>
            </w:pPr>
            <w:r>
              <w:rPr>
                <w:rFonts w:ascii="Times New Roman" w:hAnsi="Times New Roman"/>
                <w:sz w:val="20"/>
              </w:rPr>
              <w:t>Fiscal Year</w:t>
            </w:r>
          </w:p>
        </w:tc>
      </w:tr>
      <w:tr>
        <w:tc>
          <w:tcPr>
            <w:tcW w:type="dxa" w:w="4320"/>
          </w:tcPr>
          <w:p>
            <w:pPr>
              <w:spacing w:line="240" w:lineRule="auto"/>
            </w:pPr>
            <w:r>
              <w:rPr>
                <w:rFonts w:ascii="Times New Roman" w:hAnsi="Times New Roman"/>
                <w:sz w:val="20"/>
              </w:rPr>
              <w:t>GAO</w:t>
            </w:r>
          </w:p>
        </w:tc>
        <w:tc>
          <w:tcPr>
            <w:tcW w:type="dxa" w:w="4320"/>
          </w:tcPr>
          <w:p>
            <w:pPr>
              <w:spacing w:line="240" w:lineRule="auto"/>
            </w:pPr>
            <w:r>
              <w:rPr>
                <w:rFonts w:ascii="Times New Roman" w:hAnsi="Times New Roman"/>
                <w:sz w:val="20"/>
              </w:rPr>
              <w:t>Government Accountability Office</w:t>
            </w:r>
          </w:p>
        </w:tc>
      </w:tr>
      <w:tr>
        <w:tc>
          <w:tcPr>
            <w:tcW w:type="dxa" w:w="4320"/>
          </w:tcPr>
          <w:p>
            <w:pPr>
              <w:spacing w:line="240" w:lineRule="auto"/>
            </w:pPr>
            <w:r>
              <w:rPr>
                <w:rFonts w:ascii="Times New Roman" w:hAnsi="Times New Roman"/>
                <w:sz w:val="20"/>
              </w:rPr>
              <w:t>GLM</w:t>
            </w:r>
          </w:p>
        </w:tc>
        <w:tc>
          <w:tcPr>
            <w:tcW w:type="dxa" w:w="4320"/>
          </w:tcPr>
          <w:p>
            <w:pPr>
              <w:spacing w:line="240" w:lineRule="auto"/>
            </w:pPr>
            <w:r>
              <w:rPr>
                <w:rFonts w:ascii="Times New Roman" w:hAnsi="Times New Roman"/>
                <w:sz w:val="20"/>
              </w:rPr>
              <w:t>Generalized Linear Model</w:t>
            </w:r>
          </w:p>
        </w:tc>
      </w:tr>
      <w:tr>
        <w:tc>
          <w:tcPr>
            <w:tcW w:type="dxa" w:w="4320"/>
          </w:tcPr>
          <w:p>
            <w:pPr>
              <w:spacing w:line="240" w:lineRule="auto"/>
            </w:pPr>
            <w:r>
              <w:rPr>
                <w:rFonts w:ascii="Times New Roman" w:hAnsi="Times New Roman"/>
                <w:sz w:val="20"/>
              </w:rPr>
              <w:t>GWAC</w:t>
            </w:r>
          </w:p>
        </w:tc>
        <w:tc>
          <w:tcPr>
            <w:tcW w:type="dxa" w:w="4320"/>
          </w:tcPr>
          <w:p>
            <w:pPr>
              <w:spacing w:line="240" w:lineRule="auto"/>
            </w:pPr>
            <w:r>
              <w:rPr>
                <w:rFonts w:ascii="Times New Roman" w:hAnsi="Times New Roman"/>
                <w:sz w:val="20"/>
              </w:rPr>
              <w:t>Government-Wide Acquisition Contract</w:t>
            </w:r>
          </w:p>
        </w:tc>
      </w:tr>
      <w:tr>
        <w:tc>
          <w:tcPr>
            <w:tcW w:type="dxa" w:w="4320"/>
          </w:tcPr>
          <w:p>
            <w:pPr>
              <w:spacing w:line="240" w:lineRule="auto"/>
            </w:pPr>
            <w:r>
              <w:rPr>
                <w:rFonts w:ascii="Times New Roman" w:hAnsi="Times New Roman"/>
                <w:sz w:val="20"/>
              </w:rPr>
              <w:t>HC3</w:t>
            </w:r>
          </w:p>
        </w:tc>
        <w:tc>
          <w:tcPr>
            <w:tcW w:type="dxa" w:w="4320"/>
          </w:tcPr>
          <w:p>
            <w:pPr>
              <w:spacing w:line="240" w:lineRule="auto"/>
            </w:pPr>
            <w:r>
              <w:rPr>
                <w:rFonts w:ascii="Times New Roman" w:hAnsi="Times New Roman"/>
                <w:sz w:val="20"/>
              </w:rPr>
              <w:t>Heteroskedasticity-Consistent (type 3) standard errors</w:t>
            </w:r>
          </w:p>
        </w:tc>
      </w:tr>
      <w:tr>
        <w:tc>
          <w:tcPr>
            <w:tcW w:type="dxa" w:w="4320"/>
          </w:tcPr>
          <w:p>
            <w:pPr>
              <w:spacing w:line="240" w:lineRule="auto"/>
            </w:pPr>
            <w:r>
              <w:rPr>
                <w:rFonts w:ascii="Times New Roman" w:hAnsi="Times New Roman"/>
                <w:sz w:val="20"/>
              </w:rPr>
              <w:t>HHS</w:t>
            </w:r>
          </w:p>
        </w:tc>
        <w:tc>
          <w:tcPr>
            <w:tcW w:type="dxa" w:w="4320"/>
          </w:tcPr>
          <w:p>
            <w:pPr>
              <w:spacing w:line="240" w:lineRule="auto"/>
            </w:pPr>
            <w:r>
              <w:rPr>
                <w:rFonts w:ascii="Times New Roman" w:hAnsi="Times New Roman"/>
                <w:sz w:val="20"/>
              </w:rPr>
              <w:t>Department of Health and Human Services</w:t>
            </w:r>
          </w:p>
        </w:tc>
      </w:tr>
      <w:tr>
        <w:tc>
          <w:tcPr>
            <w:tcW w:type="dxa" w:w="4320"/>
          </w:tcPr>
          <w:p>
            <w:pPr>
              <w:spacing w:line="240" w:lineRule="auto"/>
            </w:pPr>
            <w:r>
              <w:rPr>
                <w:rFonts w:ascii="Times New Roman" w:hAnsi="Times New Roman"/>
                <w:sz w:val="20"/>
              </w:rPr>
              <w:t>HUBZone</w:t>
            </w:r>
          </w:p>
        </w:tc>
        <w:tc>
          <w:tcPr>
            <w:tcW w:type="dxa" w:w="4320"/>
          </w:tcPr>
          <w:p>
            <w:pPr>
              <w:spacing w:line="240" w:lineRule="auto"/>
            </w:pPr>
            <w:r>
              <w:rPr>
                <w:rFonts w:ascii="Times New Roman" w:hAnsi="Times New Roman"/>
                <w:sz w:val="20"/>
              </w:rPr>
              <w:t>Historically Underutilized Business Zone</w:t>
            </w:r>
          </w:p>
        </w:tc>
      </w:tr>
      <w:tr>
        <w:tc>
          <w:tcPr>
            <w:tcW w:type="dxa" w:w="4320"/>
          </w:tcPr>
          <w:p>
            <w:pPr>
              <w:spacing w:line="240" w:lineRule="auto"/>
            </w:pPr>
            <w:r>
              <w:rPr>
                <w:rFonts w:ascii="Times New Roman" w:hAnsi="Times New Roman"/>
                <w:sz w:val="20"/>
              </w:rPr>
              <w:t>IDIQ</w:t>
            </w:r>
          </w:p>
        </w:tc>
        <w:tc>
          <w:tcPr>
            <w:tcW w:type="dxa" w:w="4320"/>
          </w:tcPr>
          <w:p>
            <w:pPr>
              <w:spacing w:line="240" w:lineRule="auto"/>
            </w:pPr>
            <w:r>
              <w:rPr>
                <w:rFonts w:ascii="Times New Roman" w:hAnsi="Times New Roman"/>
                <w:sz w:val="20"/>
              </w:rPr>
              <w:t>Indefinite-Delivery/Indefinite-Quantity</w:t>
            </w:r>
          </w:p>
        </w:tc>
      </w:tr>
      <w:tr>
        <w:tc>
          <w:tcPr>
            <w:tcW w:type="dxa" w:w="4320"/>
          </w:tcPr>
          <w:p>
            <w:pPr>
              <w:spacing w:line="240" w:lineRule="auto"/>
            </w:pPr>
            <w:r>
              <w:rPr>
                <w:rFonts w:ascii="Times New Roman" w:hAnsi="Times New Roman"/>
                <w:sz w:val="20"/>
              </w:rPr>
              <w:t>IDV</w:t>
            </w:r>
          </w:p>
        </w:tc>
        <w:tc>
          <w:tcPr>
            <w:tcW w:type="dxa" w:w="4320"/>
          </w:tcPr>
          <w:p>
            <w:pPr>
              <w:spacing w:line="240" w:lineRule="auto"/>
            </w:pPr>
            <w:r>
              <w:rPr>
                <w:rFonts w:ascii="Times New Roman" w:hAnsi="Times New Roman"/>
                <w:sz w:val="20"/>
              </w:rPr>
              <w:t>Indefinite Delivery Vehicle</w:t>
            </w:r>
          </w:p>
        </w:tc>
      </w:tr>
      <w:tr>
        <w:tc>
          <w:tcPr>
            <w:tcW w:type="dxa" w:w="4320"/>
          </w:tcPr>
          <w:p>
            <w:pPr>
              <w:spacing w:line="240" w:lineRule="auto"/>
            </w:pPr>
            <w:r>
              <w:rPr>
                <w:rFonts w:ascii="Times New Roman" w:hAnsi="Times New Roman"/>
                <w:sz w:val="20"/>
              </w:rPr>
              <w:t>IPV</w:t>
            </w:r>
          </w:p>
        </w:tc>
        <w:tc>
          <w:tcPr>
            <w:tcW w:type="dxa" w:w="4320"/>
          </w:tcPr>
          <w:p>
            <w:pPr>
              <w:spacing w:line="240" w:lineRule="auto"/>
            </w:pPr>
            <w:r>
              <w:rPr>
                <w:rFonts w:ascii="Times New Roman" w:hAnsi="Times New Roman"/>
                <w:sz w:val="20"/>
              </w:rPr>
              <w:t>Independent Private Values</w:t>
            </w:r>
          </w:p>
        </w:tc>
      </w:tr>
      <w:tr>
        <w:tc>
          <w:tcPr>
            <w:tcW w:type="dxa" w:w="4320"/>
          </w:tcPr>
          <w:p>
            <w:pPr>
              <w:spacing w:line="240" w:lineRule="auto"/>
            </w:pPr>
            <w:r>
              <w:rPr>
                <w:rFonts w:ascii="Times New Roman" w:hAnsi="Times New Roman"/>
                <w:sz w:val="20"/>
              </w:rPr>
              <w:t>IRB</w:t>
            </w:r>
          </w:p>
        </w:tc>
        <w:tc>
          <w:tcPr>
            <w:tcW w:type="dxa" w:w="4320"/>
          </w:tcPr>
          <w:p>
            <w:pPr>
              <w:spacing w:line="240" w:lineRule="auto"/>
            </w:pPr>
            <w:r>
              <w:rPr>
                <w:rFonts w:ascii="Times New Roman" w:hAnsi="Times New Roman"/>
                <w:sz w:val="20"/>
              </w:rPr>
              <w:t>Institutional Review Board</w:t>
            </w:r>
          </w:p>
        </w:tc>
      </w:tr>
      <w:tr>
        <w:tc>
          <w:tcPr>
            <w:tcW w:type="dxa" w:w="4320"/>
          </w:tcPr>
          <w:p>
            <w:pPr>
              <w:spacing w:line="240" w:lineRule="auto"/>
            </w:pPr>
            <w:r>
              <w:rPr>
                <w:rFonts w:ascii="Times New Roman" w:hAnsi="Times New Roman"/>
                <w:sz w:val="20"/>
              </w:rPr>
              <w:t>IRR</w:t>
            </w:r>
          </w:p>
        </w:tc>
        <w:tc>
          <w:tcPr>
            <w:tcW w:type="dxa" w:w="4320"/>
          </w:tcPr>
          <w:p>
            <w:pPr>
              <w:spacing w:line="240" w:lineRule="auto"/>
            </w:pPr>
            <w:r>
              <w:rPr>
                <w:rFonts w:ascii="Times New Roman" w:hAnsi="Times New Roman"/>
                <w:sz w:val="20"/>
              </w:rPr>
              <w:t>Incidence Rate Ratio</w:t>
            </w:r>
          </w:p>
        </w:tc>
      </w:tr>
      <w:tr>
        <w:tc>
          <w:tcPr>
            <w:tcW w:type="dxa" w:w="4320"/>
          </w:tcPr>
          <w:p>
            <w:pPr>
              <w:spacing w:line="240" w:lineRule="auto"/>
            </w:pPr>
            <w:r>
              <w:rPr>
                <w:rFonts w:ascii="Times New Roman" w:hAnsi="Times New Roman"/>
                <w:sz w:val="20"/>
              </w:rPr>
              <w:t>IT</w:t>
            </w:r>
          </w:p>
        </w:tc>
        <w:tc>
          <w:tcPr>
            <w:tcW w:type="dxa" w:w="4320"/>
          </w:tcPr>
          <w:p>
            <w:pPr>
              <w:spacing w:line="240" w:lineRule="auto"/>
            </w:pPr>
            <w:r>
              <w:rPr>
                <w:rFonts w:ascii="Times New Roman" w:hAnsi="Times New Roman"/>
                <w:sz w:val="20"/>
              </w:rPr>
              <w:t>Information Technology</w:t>
            </w:r>
          </w:p>
        </w:tc>
      </w:tr>
      <w:tr>
        <w:tc>
          <w:tcPr>
            <w:tcW w:type="dxa" w:w="4320"/>
          </w:tcPr>
          <w:p>
            <w:pPr>
              <w:spacing w:line="240" w:lineRule="auto"/>
            </w:pPr>
            <w:r>
              <w:rPr>
                <w:rFonts w:ascii="Times New Roman" w:hAnsi="Times New Roman"/>
                <w:sz w:val="20"/>
              </w:rPr>
              <w:t>LPTA</w:t>
            </w:r>
          </w:p>
        </w:tc>
        <w:tc>
          <w:tcPr>
            <w:tcW w:type="dxa" w:w="4320"/>
          </w:tcPr>
          <w:p>
            <w:pPr>
              <w:spacing w:line="240" w:lineRule="auto"/>
            </w:pPr>
            <w:r>
              <w:rPr>
                <w:rFonts w:ascii="Times New Roman" w:hAnsi="Times New Roman"/>
                <w:sz w:val="20"/>
              </w:rPr>
              <w:t>Lowest Price Technically Acceptable</w:t>
            </w:r>
          </w:p>
        </w:tc>
      </w:tr>
      <w:tr>
        <w:tc>
          <w:tcPr>
            <w:tcW w:type="dxa" w:w="4320"/>
          </w:tcPr>
          <w:p>
            <w:pPr>
              <w:spacing w:line="240" w:lineRule="auto"/>
            </w:pPr>
            <w:r>
              <w:rPr>
                <w:rFonts w:ascii="Times New Roman" w:hAnsi="Times New Roman"/>
                <w:sz w:val="20"/>
              </w:rPr>
              <w:t>LR</w:t>
            </w:r>
          </w:p>
        </w:tc>
        <w:tc>
          <w:tcPr>
            <w:tcW w:type="dxa" w:w="4320"/>
          </w:tcPr>
          <w:p>
            <w:pPr>
              <w:spacing w:line="240" w:lineRule="auto"/>
            </w:pPr>
            <w:r>
              <w:rPr>
                <w:rFonts w:ascii="Times New Roman" w:hAnsi="Times New Roman"/>
                <w:sz w:val="20"/>
              </w:rPr>
              <w:t>Likelihood Ratio</w:t>
            </w:r>
          </w:p>
        </w:tc>
      </w:tr>
      <w:tr>
        <w:tc>
          <w:tcPr>
            <w:tcW w:type="dxa" w:w="4320"/>
          </w:tcPr>
          <w:p>
            <w:pPr>
              <w:spacing w:line="240" w:lineRule="auto"/>
            </w:pPr>
            <w:r>
              <w:rPr>
                <w:rFonts w:ascii="Times New Roman" w:hAnsi="Times New Roman"/>
                <w:sz w:val="20"/>
              </w:rPr>
              <w:t>MEAT</w:t>
            </w:r>
          </w:p>
        </w:tc>
        <w:tc>
          <w:tcPr>
            <w:tcW w:type="dxa" w:w="4320"/>
          </w:tcPr>
          <w:p>
            <w:pPr>
              <w:spacing w:line="240" w:lineRule="auto"/>
            </w:pPr>
            <w:r>
              <w:rPr>
                <w:rFonts w:ascii="Times New Roman" w:hAnsi="Times New Roman"/>
                <w:sz w:val="20"/>
              </w:rPr>
              <w:t>Most Economically Advantageous Tender</w:t>
            </w:r>
          </w:p>
        </w:tc>
      </w:tr>
      <w:tr>
        <w:tc>
          <w:tcPr>
            <w:tcW w:type="dxa" w:w="4320"/>
          </w:tcPr>
          <w:p>
            <w:pPr>
              <w:spacing w:line="240" w:lineRule="auto"/>
            </w:pPr>
            <w:r>
              <w:rPr>
                <w:rFonts w:ascii="Times New Roman" w:hAnsi="Times New Roman"/>
                <w:sz w:val="20"/>
              </w:rPr>
              <w:t>NAICS</w:t>
            </w:r>
          </w:p>
        </w:tc>
        <w:tc>
          <w:tcPr>
            <w:tcW w:type="dxa" w:w="4320"/>
          </w:tcPr>
          <w:p>
            <w:pPr>
              <w:spacing w:line="240" w:lineRule="auto"/>
            </w:pPr>
            <w:r>
              <w:rPr>
                <w:rFonts w:ascii="Times New Roman" w:hAnsi="Times New Roman"/>
                <w:sz w:val="20"/>
              </w:rPr>
              <w:t>North American Industry Classification System</w:t>
            </w:r>
          </w:p>
        </w:tc>
      </w:tr>
      <w:tr>
        <w:tc>
          <w:tcPr>
            <w:tcW w:type="dxa" w:w="4320"/>
          </w:tcPr>
          <w:p>
            <w:pPr>
              <w:spacing w:line="240" w:lineRule="auto"/>
            </w:pPr>
            <w:r>
              <w:rPr>
                <w:rFonts w:ascii="Times New Roman" w:hAnsi="Times New Roman"/>
                <w:sz w:val="20"/>
              </w:rPr>
              <w:t>NB</w:t>
            </w:r>
          </w:p>
        </w:tc>
        <w:tc>
          <w:tcPr>
            <w:tcW w:type="dxa" w:w="4320"/>
          </w:tcPr>
          <w:p>
            <w:pPr>
              <w:spacing w:line="240" w:lineRule="auto"/>
            </w:pPr>
            <w:r>
              <w:rPr>
                <w:rFonts w:ascii="Times New Roman" w:hAnsi="Times New Roman"/>
                <w:sz w:val="20"/>
              </w:rPr>
              <w:t>Negative Binomial</w:t>
            </w:r>
          </w:p>
        </w:tc>
      </w:tr>
      <w:tr>
        <w:tc>
          <w:tcPr>
            <w:tcW w:type="dxa" w:w="4320"/>
          </w:tcPr>
          <w:p>
            <w:pPr>
              <w:spacing w:line="240" w:lineRule="auto"/>
            </w:pPr>
            <w:r>
              <w:rPr>
                <w:rFonts w:ascii="Times New Roman" w:hAnsi="Times New Roman"/>
                <w:sz w:val="20"/>
              </w:rPr>
              <w:t>NDAA</w:t>
            </w:r>
          </w:p>
        </w:tc>
        <w:tc>
          <w:tcPr>
            <w:tcW w:type="dxa" w:w="4320"/>
          </w:tcPr>
          <w:p>
            <w:pPr>
              <w:spacing w:line="240" w:lineRule="auto"/>
            </w:pPr>
            <w:r>
              <w:rPr>
                <w:rFonts w:ascii="Times New Roman" w:hAnsi="Times New Roman"/>
                <w:sz w:val="20"/>
              </w:rPr>
              <w:t>National Defense Authorization Act</w:t>
            </w:r>
          </w:p>
        </w:tc>
      </w:tr>
      <w:tr>
        <w:tc>
          <w:tcPr>
            <w:tcW w:type="dxa" w:w="4320"/>
          </w:tcPr>
          <w:p>
            <w:pPr>
              <w:spacing w:line="240" w:lineRule="auto"/>
            </w:pPr>
            <w:r>
              <w:rPr>
                <w:rFonts w:ascii="Times New Roman" w:hAnsi="Times New Roman"/>
                <w:sz w:val="20"/>
              </w:rPr>
              <w:t>NDIA</w:t>
            </w:r>
          </w:p>
        </w:tc>
        <w:tc>
          <w:tcPr>
            <w:tcW w:type="dxa" w:w="4320"/>
          </w:tcPr>
          <w:p>
            <w:pPr>
              <w:spacing w:line="240" w:lineRule="auto"/>
            </w:pPr>
            <w:r>
              <w:rPr>
                <w:rFonts w:ascii="Times New Roman" w:hAnsi="Times New Roman"/>
                <w:sz w:val="20"/>
              </w:rPr>
              <w:t>National Defense Industrial Association</w:t>
            </w:r>
          </w:p>
        </w:tc>
      </w:tr>
      <w:tr>
        <w:tc>
          <w:tcPr>
            <w:tcW w:type="dxa" w:w="4320"/>
          </w:tcPr>
          <w:p>
            <w:pPr>
              <w:spacing w:line="240" w:lineRule="auto"/>
            </w:pPr>
            <w:r>
              <w:rPr>
                <w:rFonts w:ascii="Times New Roman" w:hAnsi="Times New Roman"/>
                <w:sz w:val="20"/>
              </w:rPr>
              <w:t>NFP</w:t>
            </w:r>
          </w:p>
        </w:tc>
        <w:tc>
          <w:tcPr>
            <w:tcW w:type="dxa" w:w="4320"/>
          </w:tcPr>
          <w:p>
            <w:pPr>
              <w:spacing w:line="240" w:lineRule="auto"/>
            </w:pPr>
            <w:r>
              <w:rPr>
                <w:rFonts w:ascii="Times New Roman" w:hAnsi="Times New Roman"/>
                <w:sz w:val="20"/>
              </w:rPr>
              <w:t>Negotiated Fixed Price</w:t>
            </w:r>
          </w:p>
        </w:tc>
      </w:tr>
      <w:tr>
        <w:tc>
          <w:tcPr>
            <w:tcW w:type="dxa" w:w="4320"/>
          </w:tcPr>
          <w:p>
            <w:pPr>
              <w:spacing w:line="240" w:lineRule="auto"/>
            </w:pPr>
            <w:r>
              <w:rPr>
                <w:rFonts w:ascii="Times New Roman" w:hAnsi="Times New Roman"/>
                <w:sz w:val="20"/>
              </w:rPr>
              <w:t>NIGP</w:t>
            </w:r>
          </w:p>
        </w:tc>
        <w:tc>
          <w:tcPr>
            <w:tcW w:type="dxa" w:w="4320"/>
          </w:tcPr>
          <w:p>
            <w:pPr>
              <w:spacing w:line="240" w:lineRule="auto"/>
            </w:pPr>
            <w:r>
              <w:rPr>
                <w:rFonts w:ascii="Times New Roman" w:hAnsi="Times New Roman"/>
                <w:sz w:val="20"/>
              </w:rPr>
              <w:t>National Institute of Governmental Purchasing</w:t>
            </w:r>
          </w:p>
        </w:tc>
      </w:tr>
      <w:tr>
        <w:tc>
          <w:tcPr>
            <w:tcW w:type="dxa" w:w="4320"/>
          </w:tcPr>
          <w:p>
            <w:pPr>
              <w:spacing w:line="240" w:lineRule="auto"/>
            </w:pPr>
            <w:r>
              <w:rPr>
                <w:rFonts w:ascii="Times New Roman" w:hAnsi="Times New Roman"/>
                <w:sz w:val="20"/>
              </w:rPr>
              <w:t>NASPO</w:t>
            </w:r>
          </w:p>
        </w:tc>
        <w:tc>
          <w:tcPr>
            <w:tcW w:type="dxa" w:w="4320"/>
          </w:tcPr>
          <w:p>
            <w:pPr>
              <w:spacing w:line="240" w:lineRule="auto"/>
            </w:pPr>
            <w:r>
              <w:rPr>
                <w:rFonts w:ascii="Times New Roman" w:hAnsi="Times New Roman"/>
                <w:sz w:val="20"/>
              </w:rPr>
              <w:t>National Association of State Procurement Officials</w:t>
            </w:r>
          </w:p>
        </w:tc>
      </w:tr>
      <w:tr>
        <w:tc>
          <w:tcPr>
            <w:tcW w:type="dxa" w:w="4320"/>
          </w:tcPr>
          <w:p>
            <w:pPr>
              <w:spacing w:line="240" w:lineRule="auto"/>
            </w:pPr>
            <w:r>
              <w:rPr>
                <w:rFonts w:ascii="Times New Roman" w:hAnsi="Times New Roman"/>
                <w:sz w:val="20"/>
              </w:rPr>
              <w:t>OLS</w:t>
            </w:r>
          </w:p>
        </w:tc>
        <w:tc>
          <w:tcPr>
            <w:tcW w:type="dxa" w:w="4320"/>
          </w:tcPr>
          <w:p>
            <w:pPr>
              <w:spacing w:line="240" w:lineRule="auto"/>
            </w:pPr>
            <w:r>
              <w:rPr>
                <w:rFonts w:ascii="Times New Roman" w:hAnsi="Times New Roman"/>
                <w:sz w:val="20"/>
              </w:rPr>
              <w:t>Ordinary Least Squares</w:t>
            </w:r>
          </w:p>
        </w:tc>
      </w:tr>
      <w:tr>
        <w:tc>
          <w:tcPr>
            <w:tcW w:type="dxa" w:w="4320"/>
          </w:tcPr>
          <w:p>
            <w:pPr>
              <w:spacing w:line="240" w:lineRule="auto"/>
            </w:pPr>
            <w:r>
              <w:rPr>
                <w:rFonts w:ascii="Times New Roman" w:hAnsi="Times New Roman"/>
                <w:sz w:val="20"/>
              </w:rPr>
              <w:t>OECD</w:t>
            </w:r>
          </w:p>
        </w:tc>
        <w:tc>
          <w:tcPr>
            <w:tcW w:type="dxa" w:w="4320"/>
          </w:tcPr>
          <w:p>
            <w:pPr>
              <w:spacing w:line="240" w:lineRule="auto"/>
            </w:pPr>
            <w:r>
              <w:rPr>
                <w:rFonts w:ascii="Times New Roman" w:hAnsi="Times New Roman"/>
                <w:sz w:val="20"/>
              </w:rPr>
              <w:t>Organisation for Economic Co-operation and Development</w:t>
            </w:r>
          </w:p>
        </w:tc>
      </w:tr>
      <w:tr>
        <w:tc>
          <w:tcPr>
            <w:tcW w:type="dxa" w:w="4320"/>
          </w:tcPr>
          <w:p>
            <w:pPr>
              <w:spacing w:line="240" w:lineRule="auto"/>
            </w:pPr>
            <w:r>
              <w:rPr>
                <w:rFonts w:ascii="Times New Roman" w:hAnsi="Times New Roman"/>
                <w:sz w:val="20"/>
              </w:rPr>
              <w:t>OR</w:t>
            </w:r>
          </w:p>
        </w:tc>
        <w:tc>
          <w:tcPr>
            <w:tcW w:type="dxa" w:w="4320"/>
          </w:tcPr>
          <w:p>
            <w:pPr>
              <w:spacing w:line="240" w:lineRule="auto"/>
            </w:pPr>
            <w:r>
              <w:rPr>
                <w:rFonts w:ascii="Times New Roman" w:hAnsi="Times New Roman"/>
                <w:sz w:val="20"/>
              </w:rPr>
              <w:t>Odds Ratio</w:t>
            </w:r>
          </w:p>
        </w:tc>
      </w:tr>
      <w:tr>
        <w:tc>
          <w:tcPr>
            <w:tcW w:type="dxa" w:w="4320"/>
          </w:tcPr>
          <w:p>
            <w:pPr>
              <w:spacing w:line="240" w:lineRule="auto"/>
            </w:pPr>
            <w:r>
              <w:rPr>
                <w:rFonts w:ascii="Times New Roman" w:hAnsi="Times New Roman"/>
                <w:sz w:val="20"/>
              </w:rPr>
              <w:t>PALT</w:t>
            </w:r>
          </w:p>
        </w:tc>
        <w:tc>
          <w:tcPr>
            <w:tcW w:type="dxa" w:w="4320"/>
          </w:tcPr>
          <w:p>
            <w:pPr>
              <w:spacing w:line="240" w:lineRule="auto"/>
            </w:pPr>
            <w:r>
              <w:rPr>
                <w:rFonts w:ascii="Times New Roman" w:hAnsi="Times New Roman"/>
                <w:sz w:val="20"/>
              </w:rPr>
              <w:t>Procurement Administrative Lead Time</w:t>
            </w:r>
          </w:p>
        </w:tc>
      </w:tr>
      <w:tr>
        <w:tc>
          <w:tcPr>
            <w:tcW w:type="dxa" w:w="4320"/>
          </w:tcPr>
          <w:p>
            <w:pPr>
              <w:spacing w:line="240" w:lineRule="auto"/>
            </w:pPr>
            <w:r>
              <w:rPr>
                <w:rFonts w:ascii="Times New Roman" w:hAnsi="Times New Roman"/>
                <w:sz w:val="20"/>
              </w:rPr>
              <w:t>PII</w:t>
            </w:r>
          </w:p>
        </w:tc>
        <w:tc>
          <w:tcPr>
            <w:tcW w:type="dxa" w:w="4320"/>
          </w:tcPr>
          <w:p>
            <w:pPr>
              <w:spacing w:line="240" w:lineRule="auto"/>
            </w:pPr>
            <w:r>
              <w:rPr>
                <w:rFonts w:ascii="Times New Roman" w:hAnsi="Times New Roman"/>
                <w:sz w:val="20"/>
              </w:rPr>
              <w:t>Personally Identifiable Information</w:t>
            </w:r>
          </w:p>
        </w:tc>
      </w:tr>
      <w:tr>
        <w:tc>
          <w:tcPr>
            <w:tcW w:type="dxa" w:w="4320"/>
          </w:tcPr>
          <w:p>
            <w:pPr>
              <w:spacing w:line="240" w:lineRule="auto"/>
            </w:pPr>
            <w:r>
              <w:rPr>
                <w:rFonts w:ascii="Times New Roman" w:hAnsi="Times New Roman"/>
                <w:sz w:val="20"/>
              </w:rPr>
              <w:t>PPIRS</w:t>
            </w:r>
          </w:p>
        </w:tc>
        <w:tc>
          <w:tcPr>
            <w:tcW w:type="dxa" w:w="4320"/>
          </w:tcPr>
          <w:p>
            <w:pPr>
              <w:spacing w:line="240" w:lineRule="auto"/>
            </w:pPr>
            <w:r>
              <w:rPr>
                <w:rFonts w:ascii="Times New Roman" w:hAnsi="Times New Roman"/>
                <w:sz w:val="20"/>
              </w:rPr>
              <w:t>Past Performance Information Retrieval System</w:t>
            </w:r>
          </w:p>
        </w:tc>
      </w:tr>
      <w:tr>
        <w:tc>
          <w:tcPr>
            <w:tcW w:type="dxa" w:w="4320"/>
          </w:tcPr>
          <w:p>
            <w:pPr>
              <w:spacing w:line="240" w:lineRule="auto"/>
            </w:pPr>
            <w:r>
              <w:rPr>
                <w:rFonts w:ascii="Times New Roman" w:hAnsi="Times New Roman"/>
                <w:sz w:val="20"/>
              </w:rPr>
              <w:t>PSC</w:t>
            </w:r>
          </w:p>
        </w:tc>
        <w:tc>
          <w:tcPr>
            <w:tcW w:type="dxa" w:w="4320"/>
          </w:tcPr>
          <w:p>
            <w:pPr>
              <w:spacing w:line="240" w:lineRule="auto"/>
            </w:pPr>
            <w:r>
              <w:rPr>
                <w:rFonts w:ascii="Times New Roman" w:hAnsi="Times New Roman"/>
                <w:sz w:val="20"/>
              </w:rPr>
              <w:t>Product or Service Code</w:t>
            </w:r>
          </w:p>
        </w:tc>
      </w:tr>
      <w:tr>
        <w:tc>
          <w:tcPr>
            <w:tcW w:type="dxa" w:w="4320"/>
          </w:tcPr>
          <w:p>
            <w:pPr>
              <w:spacing w:line="240" w:lineRule="auto"/>
            </w:pPr>
            <w:r>
              <w:rPr>
                <w:rFonts w:ascii="Times New Roman" w:hAnsi="Times New Roman"/>
                <w:sz w:val="20"/>
              </w:rPr>
              <w:t>PSM</w:t>
            </w:r>
          </w:p>
        </w:tc>
        <w:tc>
          <w:tcPr>
            <w:tcW w:type="dxa" w:w="4320"/>
          </w:tcPr>
          <w:p>
            <w:pPr>
              <w:spacing w:line="240" w:lineRule="auto"/>
            </w:pPr>
            <w:r>
              <w:rPr>
                <w:rFonts w:ascii="Times New Roman" w:hAnsi="Times New Roman"/>
                <w:sz w:val="20"/>
              </w:rPr>
              <w:t>Propensity Score Matching</w:t>
            </w:r>
          </w:p>
        </w:tc>
      </w:tr>
      <w:tr>
        <w:tc>
          <w:tcPr>
            <w:tcW w:type="dxa" w:w="4320"/>
          </w:tcPr>
          <w:p>
            <w:pPr>
              <w:spacing w:line="240" w:lineRule="auto"/>
            </w:pPr>
            <w:r>
              <w:rPr>
                <w:rFonts w:ascii="Times New Roman" w:hAnsi="Times New Roman"/>
                <w:sz w:val="20"/>
              </w:rPr>
              <w:t>QE</w:t>
            </w:r>
          </w:p>
        </w:tc>
        <w:tc>
          <w:tcPr>
            <w:tcW w:type="dxa" w:w="4320"/>
          </w:tcPr>
          <w:p>
            <w:pPr>
              <w:spacing w:line="240" w:lineRule="auto"/>
            </w:pPr>
            <w:r>
              <w:rPr>
                <w:rFonts w:ascii="Times New Roman" w:hAnsi="Times New Roman"/>
                <w:sz w:val="20"/>
              </w:rPr>
              <w:t>Quasi-Experimental</w:t>
            </w:r>
          </w:p>
        </w:tc>
      </w:tr>
      <w:tr>
        <w:tc>
          <w:tcPr>
            <w:tcW w:type="dxa" w:w="4320"/>
          </w:tcPr>
          <w:p>
            <w:pPr>
              <w:spacing w:line="240" w:lineRule="auto"/>
            </w:pPr>
            <w:r>
              <w:rPr>
                <w:rFonts w:ascii="Times New Roman" w:hAnsi="Times New Roman"/>
                <w:sz w:val="20"/>
              </w:rPr>
              <w:t>R&amp;D</w:t>
            </w:r>
          </w:p>
        </w:tc>
        <w:tc>
          <w:tcPr>
            <w:tcW w:type="dxa" w:w="4320"/>
          </w:tcPr>
          <w:p>
            <w:pPr>
              <w:spacing w:line="240" w:lineRule="auto"/>
            </w:pPr>
            <w:r>
              <w:rPr>
                <w:rFonts w:ascii="Times New Roman" w:hAnsi="Times New Roman"/>
                <w:sz w:val="20"/>
              </w:rPr>
              <w:t>Research and Development</w:t>
            </w:r>
          </w:p>
        </w:tc>
      </w:tr>
      <w:tr>
        <w:tc>
          <w:tcPr>
            <w:tcW w:type="dxa" w:w="4320"/>
          </w:tcPr>
          <w:p>
            <w:pPr>
              <w:spacing w:line="240" w:lineRule="auto"/>
            </w:pPr>
            <w:r>
              <w:rPr>
                <w:rFonts w:ascii="Times New Roman" w:hAnsi="Times New Roman"/>
                <w:sz w:val="20"/>
              </w:rPr>
              <w:t>RFP</w:t>
            </w:r>
          </w:p>
        </w:tc>
        <w:tc>
          <w:tcPr>
            <w:tcW w:type="dxa" w:w="4320"/>
          </w:tcPr>
          <w:p>
            <w:pPr>
              <w:spacing w:line="240" w:lineRule="auto"/>
            </w:pPr>
            <w:r>
              <w:rPr>
                <w:rFonts w:ascii="Times New Roman" w:hAnsi="Times New Roman"/>
                <w:sz w:val="20"/>
              </w:rPr>
              <w:t>Request for Proposals</w:t>
            </w:r>
          </w:p>
        </w:tc>
      </w:tr>
      <w:tr>
        <w:tc>
          <w:tcPr>
            <w:tcW w:type="dxa" w:w="4320"/>
          </w:tcPr>
          <w:p>
            <w:pPr>
              <w:spacing w:line="240" w:lineRule="auto"/>
            </w:pPr>
            <w:r>
              <w:rPr>
                <w:rFonts w:ascii="Times New Roman" w:hAnsi="Times New Roman"/>
                <w:sz w:val="20"/>
              </w:rPr>
              <w:t>RMSE</w:t>
            </w:r>
          </w:p>
        </w:tc>
        <w:tc>
          <w:tcPr>
            <w:tcW w:type="dxa" w:w="4320"/>
          </w:tcPr>
          <w:p>
            <w:pPr>
              <w:spacing w:line="240" w:lineRule="auto"/>
            </w:pPr>
            <w:r>
              <w:rPr>
                <w:rFonts w:ascii="Times New Roman" w:hAnsi="Times New Roman"/>
                <w:sz w:val="20"/>
              </w:rPr>
              <w:t>Root Mean Square Error</w:t>
            </w:r>
          </w:p>
        </w:tc>
      </w:tr>
      <w:tr>
        <w:tc>
          <w:tcPr>
            <w:tcW w:type="dxa" w:w="4320"/>
          </w:tcPr>
          <w:p>
            <w:pPr>
              <w:spacing w:line="240" w:lineRule="auto"/>
            </w:pPr>
            <w:r>
              <w:rPr>
                <w:rFonts w:ascii="Times New Roman" w:hAnsi="Times New Roman"/>
                <w:sz w:val="20"/>
              </w:rPr>
              <w:t>SAT</w:t>
            </w:r>
          </w:p>
        </w:tc>
        <w:tc>
          <w:tcPr>
            <w:tcW w:type="dxa" w:w="4320"/>
          </w:tcPr>
          <w:p>
            <w:pPr>
              <w:spacing w:line="240" w:lineRule="auto"/>
            </w:pPr>
            <w:r>
              <w:rPr>
                <w:rFonts w:ascii="Times New Roman" w:hAnsi="Times New Roman"/>
                <w:sz w:val="20"/>
              </w:rPr>
              <w:t>Simplified Acquisition Threshold</w:t>
            </w:r>
          </w:p>
        </w:tc>
      </w:tr>
      <w:tr>
        <w:tc>
          <w:tcPr>
            <w:tcW w:type="dxa" w:w="4320"/>
          </w:tcPr>
          <w:p>
            <w:pPr>
              <w:spacing w:line="240" w:lineRule="auto"/>
            </w:pPr>
            <w:r>
              <w:rPr>
                <w:rFonts w:ascii="Times New Roman" w:hAnsi="Times New Roman"/>
                <w:sz w:val="20"/>
              </w:rPr>
              <w:t>SB</w:t>
            </w:r>
          </w:p>
        </w:tc>
        <w:tc>
          <w:tcPr>
            <w:tcW w:type="dxa" w:w="4320"/>
          </w:tcPr>
          <w:p>
            <w:pPr>
              <w:spacing w:line="240" w:lineRule="auto"/>
            </w:pPr>
            <w:r>
              <w:rPr>
                <w:rFonts w:ascii="Times New Roman" w:hAnsi="Times New Roman"/>
                <w:sz w:val="20"/>
              </w:rPr>
              <w:t>Sealed Bidding</w:t>
            </w:r>
          </w:p>
        </w:tc>
      </w:tr>
      <w:tr>
        <w:tc>
          <w:tcPr>
            <w:tcW w:type="dxa" w:w="4320"/>
          </w:tcPr>
          <w:p>
            <w:pPr>
              <w:spacing w:line="240" w:lineRule="auto"/>
            </w:pPr>
            <w:r>
              <w:rPr>
                <w:rFonts w:ascii="Times New Roman" w:hAnsi="Times New Roman"/>
                <w:sz w:val="20"/>
              </w:rPr>
              <w:t>SD</w:t>
            </w:r>
          </w:p>
        </w:tc>
        <w:tc>
          <w:tcPr>
            <w:tcW w:type="dxa" w:w="4320"/>
          </w:tcPr>
          <w:p>
            <w:pPr>
              <w:spacing w:line="240" w:lineRule="auto"/>
            </w:pPr>
            <w:r>
              <w:rPr>
                <w:rFonts w:ascii="Times New Roman" w:hAnsi="Times New Roman"/>
                <w:sz w:val="20"/>
              </w:rPr>
              <w:t>Standard Deviation</w:t>
            </w:r>
          </w:p>
        </w:tc>
      </w:tr>
      <w:tr>
        <w:tc>
          <w:tcPr>
            <w:tcW w:type="dxa" w:w="4320"/>
          </w:tcPr>
          <w:p>
            <w:pPr>
              <w:spacing w:line="240" w:lineRule="auto"/>
            </w:pPr>
            <w:r>
              <w:rPr>
                <w:rFonts w:ascii="Times New Roman" w:hAnsi="Times New Roman"/>
                <w:sz w:val="20"/>
              </w:rPr>
              <w:t>SDVOSB</w:t>
            </w:r>
          </w:p>
        </w:tc>
        <w:tc>
          <w:tcPr>
            <w:tcW w:type="dxa" w:w="4320"/>
          </w:tcPr>
          <w:p>
            <w:pPr>
              <w:spacing w:line="240" w:lineRule="auto"/>
            </w:pPr>
            <w:r>
              <w:rPr>
                <w:rFonts w:ascii="Times New Roman" w:hAnsi="Times New Roman"/>
                <w:sz w:val="20"/>
              </w:rPr>
              <w:t>Service-Disabled Veteran-Owned Small Business</w:t>
            </w:r>
          </w:p>
        </w:tc>
      </w:tr>
      <w:tr>
        <w:tc>
          <w:tcPr>
            <w:tcW w:type="dxa" w:w="4320"/>
          </w:tcPr>
          <w:p>
            <w:pPr>
              <w:spacing w:line="240" w:lineRule="auto"/>
            </w:pPr>
            <w:r>
              <w:rPr>
                <w:rFonts w:ascii="Times New Roman" w:hAnsi="Times New Roman"/>
                <w:sz w:val="20"/>
              </w:rPr>
              <w:t>SE</w:t>
            </w:r>
          </w:p>
        </w:tc>
        <w:tc>
          <w:tcPr>
            <w:tcW w:type="dxa" w:w="4320"/>
          </w:tcPr>
          <w:p>
            <w:pPr>
              <w:spacing w:line="240" w:lineRule="auto"/>
            </w:pPr>
            <w:r>
              <w:rPr>
                <w:rFonts w:ascii="Times New Roman" w:hAnsi="Times New Roman"/>
                <w:sz w:val="20"/>
              </w:rPr>
              <w:t>Standard Error</w:t>
            </w:r>
          </w:p>
        </w:tc>
      </w:tr>
      <w:tr>
        <w:tc>
          <w:tcPr>
            <w:tcW w:type="dxa" w:w="4320"/>
          </w:tcPr>
          <w:p>
            <w:pPr>
              <w:spacing w:line="240" w:lineRule="auto"/>
            </w:pPr>
            <w:r>
              <w:rPr>
                <w:rFonts w:ascii="Times New Roman" w:hAnsi="Times New Roman"/>
                <w:sz w:val="20"/>
              </w:rPr>
              <w:t>SMD</w:t>
            </w:r>
          </w:p>
        </w:tc>
        <w:tc>
          <w:tcPr>
            <w:tcW w:type="dxa" w:w="4320"/>
          </w:tcPr>
          <w:p>
            <w:pPr>
              <w:spacing w:line="240" w:lineRule="auto"/>
            </w:pPr>
            <w:r>
              <w:rPr>
                <w:rFonts w:ascii="Times New Roman" w:hAnsi="Times New Roman"/>
                <w:sz w:val="20"/>
              </w:rPr>
              <w:t>Standardized Mean Difference</w:t>
            </w:r>
          </w:p>
        </w:tc>
      </w:tr>
      <w:tr>
        <w:tc>
          <w:tcPr>
            <w:tcW w:type="dxa" w:w="4320"/>
          </w:tcPr>
          <w:p>
            <w:pPr>
              <w:spacing w:line="240" w:lineRule="auto"/>
            </w:pPr>
            <w:r>
              <w:rPr>
                <w:rFonts w:ascii="Times New Roman" w:hAnsi="Times New Roman"/>
                <w:sz w:val="20"/>
              </w:rPr>
              <w:t>SSA</w:t>
            </w:r>
          </w:p>
        </w:tc>
        <w:tc>
          <w:tcPr>
            <w:tcW w:type="dxa" w:w="4320"/>
          </w:tcPr>
          <w:p>
            <w:pPr>
              <w:spacing w:line="240" w:lineRule="auto"/>
            </w:pPr>
            <w:r>
              <w:rPr>
                <w:rFonts w:ascii="Times New Roman" w:hAnsi="Times New Roman"/>
                <w:sz w:val="20"/>
              </w:rPr>
              <w:t>Source Selection Authority</w:t>
            </w:r>
          </w:p>
        </w:tc>
      </w:tr>
      <w:tr>
        <w:tc>
          <w:tcPr>
            <w:tcW w:type="dxa" w:w="4320"/>
          </w:tcPr>
          <w:p>
            <w:pPr>
              <w:spacing w:line="240" w:lineRule="auto"/>
            </w:pPr>
            <w:r>
              <w:rPr>
                <w:rFonts w:ascii="Times New Roman" w:hAnsi="Times New Roman"/>
                <w:sz w:val="20"/>
              </w:rPr>
              <w:t>TCE</w:t>
            </w:r>
          </w:p>
        </w:tc>
        <w:tc>
          <w:tcPr>
            <w:tcW w:type="dxa" w:w="4320"/>
          </w:tcPr>
          <w:p>
            <w:pPr>
              <w:spacing w:line="240" w:lineRule="auto"/>
            </w:pPr>
            <w:r>
              <w:rPr>
                <w:rFonts w:ascii="Times New Roman" w:hAnsi="Times New Roman"/>
                <w:sz w:val="20"/>
              </w:rPr>
              <w:t>Transaction Cost Economics</w:t>
            </w:r>
          </w:p>
        </w:tc>
      </w:tr>
      <w:tr>
        <w:tc>
          <w:tcPr>
            <w:tcW w:type="dxa" w:w="4320"/>
          </w:tcPr>
          <w:p>
            <w:pPr>
              <w:spacing w:line="240" w:lineRule="auto"/>
            </w:pPr>
            <w:r>
              <w:rPr>
                <w:rFonts w:ascii="Times New Roman" w:hAnsi="Times New Roman"/>
                <w:sz w:val="20"/>
              </w:rPr>
              <w:t>T&amp;M</w:t>
            </w:r>
          </w:p>
        </w:tc>
        <w:tc>
          <w:tcPr>
            <w:tcW w:type="dxa" w:w="4320"/>
          </w:tcPr>
          <w:p>
            <w:pPr>
              <w:spacing w:line="240" w:lineRule="auto"/>
            </w:pPr>
            <w:r>
              <w:rPr>
                <w:rFonts w:ascii="Times New Roman" w:hAnsi="Times New Roman"/>
                <w:sz w:val="20"/>
              </w:rPr>
              <w:t>Time and Materials</w:t>
            </w:r>
          </w:p>
        </w:tc>
      </w:tr>
      <w:tr>
        <w:tc>
          <w:tcPr>
            <w:tcW w:type="dxa" w:w="4320"/>
          </w:tcPr>
          <w:p>
            <w:pPr>
              <w:spacing w:line="240" w:lineRule="auto"/>
            </w:pPr>
            <w:r>
              <w:rPr>
                <w:rFonts w:ascii="Times New Roman" w:hAnsi="Times New Roman"/>
                <w:sz w:val="20"/>
              </w:rPr>
              <w:t>TO</w:t>
            </w:r>
          </w:p>
        </w:tc>
        <w:tc>
          <w:tcPr>
            <w:tcW w:type="dxa" w:w="4320"/>
          </w:tcPr>
          <w:p>
            <w:pPr>
              <w:spacing w:line="240" w:lineRule="auto"/>
            </w:pPr>
            <w:r>
              <w:rPr>
                <w:rFonts w:ascii="Times New Roman" w:hAnsi="Times New Roman"/>
                <w:sz w:val="20"/>
              </w:rPr>
              <w:t>Tradeoff (source selection process code)</w:t>
            </w:r>
          </w:p>
        </w:tc>
      </w:tr>
      <w:tr>
        <w:tc>
          <w:tcPr>
            <w:tcW w:type="dxa" w:w="4320"/>
          </w:tcPr>
          <w:p>
            <w:pPr>
              <w:spacing w:line="240" w:lineRule="auto"/>
            </w:pPr>
            <w:r>
              <w:rPr>
                <w:rFonts w:ascii="Times New Roman" w:hAnsi="Times New Roman"/>
                <w:sz w:val="20"/>
              </w:rPr>
              <w:t>TWFE</w:t>
            </w:r>
          </w:p>
        </w:tc>
        <w:tc>
          <w:tcPr>
            <w:tcW w:type="dxa" w:w="4320"/>
          </w:tcPr>
          <w:p>
            <w:pPr>
              <w:spacing w:line="240" w:lineRule="auto"/>
            </w:pPr>
            <w:r>
              <w:rPr>
                <w:rFonts w:ascii="Times New Roman" w:hAnsi="Times New Roman"/>
                <w:sz w:val="20"/>
              </w:rPr>
              <w:t>Two-Way Fixed Effects</w:t>
            </w:r>
          </w:p>
        </w:tc>
      </w:tr>
      <w:tr>
        <w:tc>
          <w:tcPr>
            <w:tcW w:type="dxa" w:w="4320"/>
          </w:tcPr>
          <w:p>
            <w:pPr>
              <w:spacing w:line="240" w:lineRule="auto"/>
            </w:pPr>
            <w:r>
              <w:rPr>
                <w:rFonts w:ascii="Times New Roman" w:hAnsi="Times New Roman"/>
                <w:sz w:val="20"/>
              </w:rPr>
              <w:t>UEI</w:t>
            </w:r>
          </w:p>
        </w:tc>
        <w:tc>
          <w:tcPr>
            <w:tcW w:type="dxa" w:w="4320"/>
          </w:tcPr>
          <w:p>
            <w:pPr>
              <w:spacing w:line="240" w:lineRule="auto"/>
            </w:pPr>
            <w:r>
              <w:rPr>
                <w:rFonts w:ascii="Times New Roman" w:hAnsi="Times New Roman"/>
                <w:sz w:val="20"/>
              </w:rPr>
              <w:t>Unique Entity Identifier</w:t>
            </w:r>
          </w:p>
        </w:tc>
      </w:tr>
      <w:tr>
        <w:tc>
          <w:tcPr>
            <w:tcW w:type="dxa" w:w="4320"/>
          </w:tcPr>
          <w:p>
            <w:pPr>
              <w:spacing w:line="240" w:lineRule="auto"/>
            </w:pPr>
            <w:r>
              <w:rPr>
                <w:rFonts w:ascii="Times New Roman" w:hAnsi="Times New Roman"/>
                <w:sz w:val="20"/>
              </w:rPr>
              <w:t>VfM</w:t>
            </w:r>
          </w:p>
        </w:tc>
        <w:tc>
          <w:tcPr>
            <w:tcW w:type="dxa" w:w="4320"/>
          </w:tcPr>
          <w:p>
            <w:pPr>
              <w:spacing w:line="240" w:lineRule="auto"/>
            </w:pPr>
            <w:r>
              <w:rPr>
                <w:rFonts w:ascii="Times New Roman" w:hAnsi="Times New Roman"/>
                <w:sz w:val="20"/>
              </w:rPr>
              <w:t>Value for Money</w:t>
            </w:r>
          </w:p>
        </w:tc>
      </w:tr>
      <w:tr>
        <w:tc>
          <w:tcPr>
            <w:tcW w:type="dxa" w:w="4320"/>
          </w:tcPr>
          <w:p>
            <w:pPr>
              <w:spacing w:line="240" w:lineRule="auto"/>
            </w:pPr>
            <w:r>
              <w:rPr>
                <w:rFonts w:ascii="Times New Roman" w:hAnsi="Times New Roman"/>
                <w:sz w:val="20"/>
              </w:rPr>
              <w:t>WOSB</w:t>
            </w:r>
          </w:p>
        </w:tc>
        <w:tc>
          <w:tcPr>
            <w:tcW w:type="dxa" w:w="4320"/>
          </w:tcPr>
          <w:p>
            <w:pPr>
              <w:spacing w:line="240" w:lineRule="auto"/>
            </w:pPr>
            <w:r>
              <w:rPr>
                <w:rFonts w:ascii="Times New Roman" w:hAnsi="Times New Roman"/>
                <w:sz w:val="20"/>
              </w:rPr>
              <w:t>Women-Owned Small Business</w:t>
            </w:r>
          </w:p>
        </w:tc>
      </w:tr>
    </w:tbl>
    <w:p>
      <w:pPr>
        <w:pStyle w:val="Heading2"/>
      </w:pPr>
      <w:r>
        <w:rPr>
          <w:rFonts w:ascii="Times New Roman" w:hAnsi="Times New Roman"/>
          <w:color w:val="000000"/>
        </w:rPr>
        <w:t>Appendix F: Data Processing Pipeline Description</w:t>
      </w:r>
    </w:p>
    <w:p>
      <w:pPr>
        <w:ind w:firstLine="720"/>
      </w:pPr>
      <w:r>
        <w:t>This appendix describes the extract-transform-load (ETL) pipeline used to convert raw USAspending.gov bulk download files into the analysis-ready dataset used in the empirical analysis. The pipeline is implemented in Python and is designed for reproducibility, with all processing steps documented in version-controlled scripts.</w:t>
      </w:r>
    </w:p>
    <w:p>
      <w:pPr>
        <w:pStyle w:val="Heading3"/>
      </w:pPr>
      <w:r>
        <w:rPr>
          <w:rFonts w:ascii="Times New Roman" w:hAnsi="Times New Roman"/>
          <w:color w:val="000000"/>
        </w:rPr>
        <w:t>F.1 Extract Phase</w:t>
      </w:r>
    </w:p>
    <w:p>
      <w:pPr>
        <w:ind w:firstLine="720"/>
      </w:pPr>
      <w:r>
        <w:rPr>
          <w:b/>
        </w:rPr>
        <w:t>Source:</w:t>
      </w:r>
      <w:r>
        <w:t xml:space="preserve"> USAspending.gov Custom Award Data Download (bulk CSV files)</w:t>
      </w:r>
    </w:p>
    <w:p>
      <w:pPr>
        <w:ind w:firstLine="720"/>
      </w:pPr>
      <w:r>
        <w:rPr>
          <w:b/>
        </w:rPr>
        <w:t>Download Parameters:</w:t>
      </w:r>
    </w:p>
    <w:p>
      <w:pPr>
        <w:pStyle w:val="ListBullet"/>
      </w:pPr>
      <w:r>
        <w:t>Award types: Contracts and IDVs</w:t>
      </w:r>
    </w:p>
    <w:p>
      <w:pPr>
        <w:pStyle w:val="ListBullet"/>
      </w:pPr>
      <w:r>
        <w:t>Fiscal years: FY2020 through FY2025</w:t>
      </w:r>
    </w:p>
    <w:p>
      <w:pPr>
        <w:pStyle w:val="ListBullet"/>
      </w:pPr>
      <w:r>
        <w:t>Agencies: All executive branch agencies</w:t>
      </w:r>
    </w:p>
    <w:p>
      <w:pPr>
        <w:pStyle w:val="ListBullet"/>
      </w:pPr>
      <w:r>
        <w:t>File format: Comma-separated values (CSV)</w:t>
      </w:r>
    </w:p>
    <w:p>
      <w:pPr>
        <w:pStyle w:val="ListBullet"/>
      </w:pPr>
      <w:r>
        <w:t>Granularity: Transaction-level (one row per contract action)</w:t>
      </w:r>
    </w:p>
    <w:p>
      <w:pPr>
        <w:ind w:firstLine="720"/>
      </w:pPr>
      <w:r>
        <w:rPr>
          <w:b/>
        </w:rPr>
        <w:t>Process:</w:t>
      </w:r>
    </w:p>
    <w:p>
      <w:pPr>
        <w:pStyle w:val="ListNumber"/>
      </w:pPr>
      <w:r>
        <w:t xml:space="preserve">Bulk download files are retrieved using the </w:t>
      </w:r>
      <w:r>
        <w:rPr>
          <w:rFonts w:ascii="Courier New" w:hAnsi="Courier New"/>
          <w:sz w:val="20"/>
        </w:rPr>
        <w:t>download_awards.py</w:t>
      </w:r>
      <w:r>
        <w:t xml:space="preserve"> script located at </w:t>
      </w:r>
      <w:r>
        <w:rPr>
          <w:rFonts w:ascii="Courier New" w:hAnsi="Courier New"/>
          <w:sz w:val="20"/>
        </w:rPr>
        <w:t>data/usaspending/download_awards.py</w:t>
      </w:r>
      <w:r>
        <w:t>. The script automates requests to the USAspending.gov Custom Award Data Download API, specifying fiscal year and agency parameters.</w:t>
      </w:r>
    </w:p>
    <w:p>
      <w:pPr>
        <w:pStyle w:val="ListNumber"/>
      </w:pPr>
      <w:r>
        <w:t xml:space="preserve">Each fiscal year generates one or more CSV files, each containing up to 500,000 records. Files are stored in the </w:t>
      </w:r>
      <w:r>
        <w:rPr>
          <w:rFonts w:ascii="Courier New" w:hAnsi="Courier New"/>
          <w:sz w:val="20"/>
        </w:rPr>
        <w:t>data/usaspending/raw/</w:t>
      </w:r>
      <w:r>
        <w:t xml:space="preserve"> directory, organized by fiscal year.</w:t>
      </w:r>
    </w:p>
    <w:p>
      <w:pPr>
        <w:pStyle w:val="ListNumber"/>
      </w:pPr>
      <w:r>
        <w:t>Supplementary data pulls using the USAspending.gov RESTful API are executed for specific data elements not included in the standard bulk download format (e.g., detailed subaward data, if used in sensitivity analyses).</w:t>
      </w:r>
    </w:p>
    <w:p>
      <w:pPr>
        <w:pStyle w:val="ListNumber"/>
      </w:pPr>
      <w:r>
        <w:t xml:space="preserve">GAO bid protest statistics are collected manually from the annual reports posted on gao.gov and stored in </w:t>
      </w:r>
      <w:r>
        <w:rPr>
          <w:rFonts w:ascii="Courier New" w:hAnsi="Courier New"/>
          <w:sz w:val="20"/>
        </w:rPr>
        <w:t>data/gao/protest_statistics.csv</w:t>
      </w:r>
      <w:r>
        <w:t>.</w:t>
      </w:r>
    </w:p>
    <w:p>
      <w:pPr>
        <w:ind w:firstLine="720"/>
      </w:pPr>
      <w:r>
        <w:rPr>
          <w:b/>
        </w:rPr>
        <w:t>Data Volume:</w:t>
      </w:r>
      <w:r>
        <w:t xml:space="preserve"> Approximately 2–5 million transaction records per fiscal year across all agencies and award types, prior to filtering. The study's NAICS sector restrictions and competition filters reduce the working dataset to approximately 500,000–1,000,000 relevant transactions, which aggregate to approximately 80,000–150,000 unique contract awards.</w:t>
      </w:r>
    </w:p>
    <w:p>
      <w:pPr>
        <w:pStyle w:val="Heading3"/>
      </w:pPr>
      <w:r>
        <w:rPr>
          <w:rFonts w:ascii="Times New Roman" w:hAnsi="Times New Roman"/>
          <w:color w:val="000000"/>
        </w:rPr>
        <w:t>F.2 Transform Phase</w:t>
      </w:r>
    </w:p>
    <w:p>
      <w:pPr>
        <w:ind w:firstLine="720"/>
      </w:pPr>
      <w:r>
        <w:t>The transformation pipeline is organized into sequential stages, each implemented as a Python function within the analysis scripts. All transformations are logged and auditable.</w:t>
      </w:r>
    </w:p>
    <w:p>
      <w:pPr>
        <w:ind w:firstLine="720"/>
      </w:pPr>
      <w:r>
        <w:rPr>
          <w:b/>
        </w:rPr>
        <w:t>Stage 1: Deduplication and Quality Checks</w:t>
      </w:r>
    </w:p>
    <w:p>
      <w:pPr>
        <w:pStyle w:val="ListBullet"/>
      </w:pPr>
      <w:r>
        <w:t>Remove exact duplicate records (identical across all fields), which may arise from overlapping bulk download batches.</w:t>
      </w:r>
    </w:p>
    <w:p>
      <w:pPr>
        <w:pStyle w:val="ListBullet"/>
      </w:pPr>
      <w:r>
        <w:t>Flag and investigate records with internally inconsistent data (e.g., award dates that precede solicitation dates, negative dollar values, non-numeric entries in numeric fields).</w:t>
      </w:r>
    </w:p>
    <w:p>
      <w:pPr>
        <w:pStyle w:val="ListBullet"/>
      </w:pPr>
      <w:r>
        <w:t xml:space="preserve">Validate the </w:t>
      </w:r>
      <w:r>
        <w:rPr>
          <w:rFonts w:ascii="Courier New" w:hAnsi="Courier New"/>
          <w:sz w:val="20"/>
        </w:rPr>
        <w:t>source_selection_process</w:t>
      </w:r>
      <w:r>
        <w:t xml:space="preserve"> field: identify records with null, blank, or unexpected values. Records with null or blank source selection process are flagged for exclusion from the primary analysis and retention for sensitivity checks.</w:t>
      </w:r>
    </w:p>
    <w:p>
      <w:pPr>
        <w:ind w:firstLine="720"/>
      </w:pPr>
      <w:r>
        <w:rPr>
          <w:b/>
        </w:rPr>
        <w:t>Stage 2: Filtering</w:t>
      </w:r>
    </w:p>
    <w:p>
      <w:pPr>
        <w:pStyle w:val="ListBullet"/>
      </w:pPr>
      <w:r>
        <w:t>Apply inclusion criteria (Chapter 3, Section 3.3.2):</w:t>
      </w:r>
    </w:p>
    <w:p>
      <w:pPr>
        <w:pStyle w:val="ListBullet"/>
      </w:pPr>
      <w:r>
        <w:t xml:space="preserve">Retain only records with </w:t>
      </w:r>
      <w:r>
        <w:rPr>
          <w:rFonts w:ascii="Courier New" w:hAnsi="Courier New"/>
          <w:sz w:val="20"/>
        </w:rPr>
        <w:t>base_and_all_options_value</w:t>
      </w:r>
      <w:r>
        <w:t xml:space="preserve"> &gt; $250,000 (above SAT).</w:t>
      </w:r>
    </w:p>
    <w:p>
      <w:pPr>
        <w:pStyle w:val="ListBullet"/>
      </w:pPr>
      <w:r>
        <w:t xml:space="preserve">Retain only records with </w:t>
      </w:r>
      <w:r>
        <w:rPr>
          <w:rFonts w:ascii="Courier New" w:hAnsi="Courier New"/>
          <w:sz w:val="20"/>
        </w:rPr>
        <w:t>extent_competed</w:t>
      </w:r>
      <w:r>
        <w:t xml:space="preserve"> in {Full and Open Competition, Full and Open after Exclusion of Sources}.</w:t>
      </w:r>
    </w:p>
    <w:p>
      <w:pPr>
        <w:pStyle w:val="ListBullet"/>
      </w:pPr>
      <w:r>
        <w:t xml:space="preserve">Retain only records with </w:t>
      </w:r>
      <w:r>
        <w:rPr>
          <w:rFonts w:ascii="Courier New" w:hAnsi="Courier New"/>
          <w:sz w:val="20"/>
        </w:rPr>
        <w:t>naics_code</w:t>
      </w:r>
      <w:r>
        <w:t xml:space="preserve"> in the 511xxx, 518xxx, 541xxx, or 561xxx families.</w:t>
      </w:r>
    </w:p>
    <w:p>
      <w:pPr>
        <w:pStyle w:val="ListBullet"/>
      </w:pPr>
      <w:r>
        <w:t xml:space="preserve">Retain only records with </w:t>
      </w:r>
      <w:r>
        <w:rPr>
          <w:rFonts w:ascii="Courier New" w:hAnsi="Courier New"/>
          <w:sz w:val="20"/>
        </w:rPr>
        <w:t>source_selection_process</w:t>
      </w:r>
      <w:r>
        <w:t xml:space="preserve"> in {LPTA, TO} for the primary analysis.</w:t>
      </w:r>
    </w:p>
    <w:p>
      <w:pPr>
        <w:pStyle w:val="ListBullet"/>
      </w:pPr>
      <w:r>
        <w:t>Apply exclusion criteria:</w:t>
      </w:r>
    </w:p>
    <w:p>
      <w:pPr>
        <w:pStyle w:val="ListBullet"/>
      </w:pPr>
      <w:r>
        <w:t>Exclude sole-source awards.</w:t>
      </w:r>
    </w:p>
    <w:p>
      <w:pPr>
        <w:pStyle w:val="ListBullet"/>
      </w:pPr>
      <w:r>
        <w:t>Exclude awards below the SAT.</w:t>
      </w:r>
    </w:p>
    <w:p>
      <w:pPr>
        <w:pStyle w:val="ListBullet"/>
      </w:pPr>
      <w:r>
        <w:t xml:space="preserve">Exclude records with </w:t>
      </w:r>
      <w:r>
        <w:rPr>
          <w:rFonts w:ascii="Courier New" w:hAnsi="Courier New"/>
          <w:sz w:val="20"/>
        </w:rPr>
        <w:t>source_selection_process</w:t>
      </w:r>
      <w:r>
        <w:t xml:space="preserve"> = "O" or null from the primary sample; retain in a separate file for robustness checks.</w:t>
      </w:r>
    </w:p>
    <w:p>
      <w:pPr>
        <w:ind w:firstLine="720"/>
      </w:pPr>
      <w:r>
        <w:rPr>
          <w:b/>
        </w:rPr>
        <w:t>Stage 3: Aggregation from Transaction to Award Level</w:t>
      </w:r>
    </w:p>
    <w:p>
      <w:pPr>
        <w:pStyle w:val="ListBullet"/>
      </w:pPr>
      <w:r>
        <w:t xml:space="preserve">Group transaction records by </w:t>
      </w:r>
      <w:r>
        <w:rPr>
          <w:rFonts w:ascii="Courier New" w:hAnsi="Courier New"/>
          <w:sz w:val="20"/>
        </w:rPr>
        <w:t>award_id_piid</w:t>
      </w:r>
      <w:r>
        <w:t xml:space="preserve"> (and </w:t>
      </w:r>
      <w:r>
        <w:rPr>
          <w:rFonts w:ascii="Courier New" w:hAnsi="Courier New"/>
          <w:sz w:val="20"/>
        </w:rPr>
        <w:t>award_id_parent_award_piid</w:t>
      </w:r>
      <w:r>
        <w:t xml:space="preserve"> for task orders).</w:t>
      </w:r>
    </w:p>
    <w:p>
      <w:pPr>
        <w:pStyle w:val="ListBullet"/>
      </w:pPr>
      <w:r>
        <w:t>For each award group:</w:t>
      </w:r>
    </w:p>
    <w:p>
      <w:pPr>
        <w:pStyle w:val="ListBullet"/>
      </w:pPr>
      <w:r>
        <w:t xml:space="preserve">Identify the initial award action (earliest </w:t>
      </w:r>
      <w:r>
        <w:rPr>
          <w:rFonts w:ascii="Courier New" w:hAnsi="Courier New"/>
          <w:sz w:val="20"/>
        </w:rPr>
        <w:t>action_date</w:t>
      </w:r>
      <w:r>
        <w:t xml:space="preserve"> with </w:t>
      </w:r>
      <w:r>
        <w:rPr>
          <w:rFonts w:ascii="Courier New" w:hAnsi="Courier New"/>
          <w:sz w:val="20"/>
        </w:rPr>
        <w:t>modification_number</w:t>
      </w:r>
      <w:r>
        <w:t xml:space="preserve"> = 0 or the lowest modification number).</w:t>
      </w:r>
    </w:p>
    <w:p>
      <w:pPr>
        <w:pStyle w:val="ListBullet"/>
      </w:pPr>
      <w:r>
        <w:t>Extract the source selection method, number of offers received, agency, NAICS code, PSC code, set-aside type, and initial financial values from the initial action record.</w:t>
      </w:r>
    </w:p>
    <w:p>
      <w:pPr>
        <w:pStyle w:val="ListBullet"/>
      </w:pPr>
      <w:r>
        <w:t>Compute the total transaction count and modification count.</w:t>
      </w:r>
    </w:p>
    <w:p>
      <w:pPr>
        <w:pStyle w:val="ListBullet"/>
      </w:pPr>
      <w:r>
        <w:t xml:space="preserve">Extract the current (most recent) financial values: </w:t>
      </w:r>
      <w:r>
        <w:rPr>
          <w:rFonts w:ascii="Courier New" w:hAnsi="Courier New"/>
          <w:sz w:val="20"/>
        </w:rPr>
        <w:t>total_dollars_obligated</w:t>
      </w:r>
      <w:r>
        <w:t xml:space="preserve">, </w:t>
      </w:r>
      <w:r>
        <w:rPr>
          <w:rFonts w:ascii="Courier New" w:hAnsi="Courier New"/>
          <w:sz w:val="20"/>
        </w:rPr>
        <w:t>base_and_all_options_value</w:t>
      </w:r>
      <w:r>
        <w:t xml:space="preserve">, </w:t>
      </w:r>
      <w:r>
        <w:rPr>
          <w:rFonts w:ascii="Courier New" w:hAnsi="Courier New"/>
          <w:sz w:val="20"/>
        </w:rPr>
        <w:t>base_exercised_options_value</w:t>
      </w:r>
      <w:r>
        <w:t>.</w:t>
      </w:r>
    </w:p>
    <w:p>
      <w:pPr>
        <w:pStyle w:val="ListBullet"/>
      </w:pPr>
      <w:r>
        <w:t>Extract the current period of performance end date from the most recent action record.</w:t>
      </w:r>
    </w:p>
    <w:p>
      <w:pPr>
        <w:pStyle w:val="ListBullet"/>
      </w:pPr>
      <w:r>
        <w:t>Compute contract duration in months.</w:t>
      </w:r>
    </w:p>
    <w:p>
      <w:pPr>
        <w:ind w:firstLine="720"/>
      </w:pPr>
      <w:r>
        <w:rPr>
          <w:b/>
        </w:rPr>
        <w:t>Stage 4: Variable Construction</w:t>
      </w:r>
    </w:p>
    <w:p>
      <w:pPr>
        <w:pStyle w:val="ListBullet"/>
      </w:pPr>
      <w:r>
        <w:t xml:space="preserve">Compute </w:t>
      </w:r>
      <w:r>
        <w:rPr>
          <w:rFonts w:ascii="Courier New" w:hAnsi="Courier New"/>
          <w:sz w:val="20"/>
        </w:rPr>
        <w:t>cost_growth</w:t>
      </w:r>
      <w:r>
        <w:t xml:space="preserve"> = (current </w:t>
      </w:r>
      <w:r>
        <w:rPr>
          <w:rFonts w:ascii="Courier New" w:hAnsi="Courier New"/>
          <w:sz w:val="20"/>
        </w:rPr>
        <w:t>base_and_all_options_value</w:t>
      </w:r>
      <w:r>
        <w:t xml:space="preserve"> - initial </w:t>
      </w:r>
      <w:r>
        <w:rPr>
          <w:rFonts w:ascii="Courier New" w:hAnsi="Courier New"/>
          <w:sz w:val="20"/>
        </w:rPr>
        <w:t>base_exercised_options_value</w:t>
      </w:r>
      <w:r>
        <w:t xml:space="preserve">) / initial </w:t>
      </w:r>
      <w:r>
        <w:rPr>
          <w:rFonts w:ascii="Courier New" w:hAnsi="Courier New"/>
          <w:sz w:val="20"/>
        </w:rPr>
        <w:t>base_exercised_options_value</w:t>
      </w:r>
      <w:r>
        <w:t>.</w:t>
      </w:r>
    </w:p>
    <w:p>
      <w:pPr>
        <w:pStyle w:val="ListBullet"/>
      </w:pPr>
      <w:r>
        <w:t xml:space="preserve">Compute </w:t>
      </w:r>
      <w:r>
        <w:rPr>
          <w:rFonts w:ascii="Courier New" w:hAnsi="Courier New"/>
          <w:sz w:val="20"/>
        </w:rPr>
        <w:t>cost_growth_w</w:t>
      </w:r>
      <w:r>
        <w:t xml:space="preserve"> by winsorizing </w:t>
      </w:r>
      <w:r>
        <w:rPr>
          <w:rFonts w:ascii="Courier New" w:hAnsi="Courier New"/>
          <w:sz w:val="20"/>
        </w:rPr>
        <w:t>cost_growth</w:t>
      </w:r>
      <w:r>
        <w:t xml:space="preserve"> at the 1st and 99th percentiles of the sample distribution.</w:t>
      </w:r>
    </w:p>
    <w:p>
      <w:pPr>
        <w:pStyle w:val="ListBullet"/>
      </w:pPr>
      <w:r>
        <w:t xml:space="preserve">Compute </w:t>
      </w:r>
      <w:r>
        <w:rPr>
          <w:rFonts w:ascii="Courier New" w:hAnsi="Courier New"/>
          <w:sz w:val="20"/>
        </w:rPr>
        <w:t>log_award_amount</w:t>
      </w:r>
      <w:r>
        <w:t xml:space="preserve"> = ln(initial </w:t>
      </w:r>
      <w:r>
        <w:rPr>
          <w:rFonts w:ascii="Courier New" w:hAnsi="Courier New"/>
          <w:sz w:val="20"/>
        </w:rPr>
        <w:t>base_exercised_options_value</w:t>
      </w:r>
      <w:r>
        <w:t>).</w:t>
      </w:r>
    </w:p>
    <w:p>
      <w:pPr>
        <w:pStyle w:val="ListBullet"/>
      </w:pPr>
      <w:r>
        <w:t xml:space="preserve">Construct </w:t>
      </w:r>
      <w:r>
        <w:rPr>
          <w:rFonts w:ascii="Courier New" w:hAnsi="Courier New"/>
          <w:sz w:val="20"/>
        </w:rPr>
        <w:t>single_bid</w:t>
      </w:r>
      <w:r>
        <w:t xml:space="preserve"> = 1 if </w:t>
      </w:r>
      <w:r>
        <w:rPr>
          <w:rFonts w:ascii="Courier New" w:hAnsi="Courier New"/>
          <w:sz w:val="20"/>
        </w:rPr>
        <w:t>number_of_offers_received</w:t>
      </w:r>
      <w:r>
        <w:t xml:space="preserve"> = 1, 0 otherwise.</w:t>
      </w:r>
    </w:p>
    <w:p>
      <w:pPr>
        <w:pStyle w:val="ListBullet"/>
      </w:pPr>
      <w:r>
        <w:t xml:space="preserve">Construct </w:t>
      </w:r>
      <w:r>
        <w:rPr>
          <w:rFonts w:ascii="Courier New" w:hAnsi="Courier New"/>
          <w:sz w:val="20"/>
        </w:rPr>
        <w:t>idv_indicator</w:t>
      </w:r>
      <w:r>
        <w:t xml:space="preserve"> from the presence of a parent award identifier.</w:t>
      </w:r>
    </w:p>
    <w:p>
      <w:pPr>
        <w:pStyle w:val="ListBullet"/>
      </w:pPr>
      <w:r>
        <w:t xml:space="preserve">Construct </w:t>
      </w:r>
      <w:r>
        <w:rPr>
          <w:rFonts w:ascii="Courier New" w:hAnsi="Courier New"/>
          <w:sz w:val="20"/>
        </w:rPr>
        <w:t>naics_sector</w:t>
      </w:r>
      <w:r>
        <w:t xml:space="preserve"> by mapping 6-digit NAICS codes to the four-category classification.</w:t>
      </w:r>
    </w:p>
    <w:p>
      <w:pPr>
        <w:pStyle w:val="ListBullet"/>
      </w:pPr>
      <w:r>
        <w:t xml:space="preserve">Construct </w:t>
      </w:r>
      <w:r>
        <w:rPr>
          <w:rFonts w:ascii="Courier New" w:hAnsi="Courier New"/>
          <w:sz w:val="20"/>
        </w:rPr>
        <w:t>contract_type</w:t>
      </w:r>
      <w:r>
        <w:t xml:space="preserve"> by mapping </w:t>
      </w:r>
      <w:r>
        <w:rPr>
          <w:rFonts w:ascii="Courier New" w:hAnsi="Courier New"/>
          <w:sz w:val="20"/>
        </w:rPr>
        <w:t>type_of_contract_pricing</w:t>
      </w:r>
      <w:r>
        <w:t xml:space="preserve"> codes to the four-category classification.</w:t>
      </w:r>
    </w:p>
    <w:p>
      <w:pPr>
        <w:pStyle w:val="ListBullet"/>
      </w:pPr>
      <w:r>
        <w:t xml:space="preserve">Construct </w:t>
      </w:r>
      <w:r>
        <w:rPr>
          <w:rFonts w:ascii="Courier New" w:hAnsi="Courier New"/>
          <w:sz w:val="20"/>
        </w:rPr>
        <w:t>set_aside_type</w:t>
      </w:r>
      <w:r>
        <w:t xml:space="preserve"> by mapping detailed set-aside codes to the seven-category classification.</w:t>
      </w:r>
    </w:p>
    <w:p>
      <w:pPr>
        <w:pStyle w:val="ListBullet"/>
      </w:pPr>
      <w:r>
        <w:t xml:space="preserve">Derive </w:t>
      </w:r>
      <w:r>
        <w:rPr>
          <w:rFonts w:ascii="Courier New" w:hAnsi="Courier New"/>
          <w:sz w:val="20"/>
        </w:rPr>
        <w:t>fiscal_year</w:t>
      </w:r>
      <w:r>
        <w:t xml:space="preserve"> from </w:t>
      </w:r>
      <w:r>
        <w:rPr>
          <w:rFonts w:ascii="Courier New" w:hAnsi="Courier New"/>
          <w:sz w:val="20"/>
        </w:rPr>
        <w:t>action_date</w:t>
      </w:r>
      <w:r>
        <w:t>.</w:t>
      </w:r>
    </w:p>
    <w:p>
      <w:pPr>
        <w:pStyle w:val="ListBullet"/>
      </w:pPr>
      <w:r>
        <w:t xml:space="preserve">Construct </w:t>
      </w:r>
      <w:r>
        <w:rPr>
          <w:rFonts w:ascii="Courier New" w:hAnsi="Courier New"/>
          <w:sz w:val="20"/>
        </w:rPr>
        <w:t>dod_indicator</w:t>
      </w:r>
      <w:r>
        <w:t xml:space="preserve"> from </w:t>
      </w:r>
      <w:r>
        <w:rPr>
          <w:rFonts w:ascii="Courier New" w:hAnsi="Courier New"/>
          <w:sz w:val="20"/>
        </w:rPr>
        <w:t>awarding_agency_code</w:t>
      </w:r>
      <w:r>
        <w:t>.</w:t>
      </w:r>
    </w:p>
    <w:p>
      <w:pPr>
        <w:pStyle w:val="ListBullet"/>
      </w:pPr>
      <w:r>
        <w:t xml:space="preserve">Construct the </w:t>
      </w:r>
      <w:r>
        <w:rPr>
          <w:rFonts w:ascii="Courier New" w:hAnsi="Courier New"/>
          <w:sz w:val="20"/>
        </w:rPr>
        <w:t>procurement_design</w:t>
      </w:r>
      <w:r>
        <w:t xml:space="preserve"> composite variable from </w:t>
      </w:r>
      <w:r>
        <w:rPr>
          <w:rFonts w:ascii="Courier New" w:hAnsi="Courier New"/>
          <w:sz w:val="20"/>
        </w:rPr>
        <w:t>solicitation_procedures</w:t>
      </w:r>
      <w:r>
        <w:t xml:space="preserve"> and </w:t>
      </w:r>
      <w:r>
        <w:rPr>
          <w:rFonts w:ascii="Courier New" w:hAnsi="Courier New"/>
          <w:sz w:val="20"/>
        </w:rPr>
        <w:t>type_of_contract_pricing</w:t>
      </w:r>
      <w:r>
        <w:t>.</w:t>
      </w:r>
    </w:p>
    <w:p>
      <w:pPr>
        <w:ind w:firstLine="720"/>
      </w:pPr>
      <w:r>
        <w:rPr>
          <w:b/>
        </w:rPr>
        <w:t>Stage 5: Propensity Score Estimation</w:t>
      </w:r>
    </w:p>
    <w:p>
      <w:pPr>
        <w:pStyle w:val="ListBullet"/>
      </w:pPr>
      <w:r>
        <w:t>Estimate the propensity score via logistic regression.</w:t>
      </w:r>
    </w:p>
    <w:p>
      <w:pPr>
        <w:pStyle w:val="ListBullet"/>
      </w:pPr>
      <w:r>
        <w:t>Perform nearest-neighbor matching.</w:t>
      </w:r>
    </w:p>
    <w:p>
      <w:pPr>
        <w:pStyle w:val="ListBullet"/>
      </w:pPr>
      <w:r>
        <w:t>Compute balance diagnostics.</w:t>
      </w:r>
    </w:p>
    <w:p>
      <w:pPr>
        <w:pStyle w:val="ListBullet"/>
      </w:pPr>
      <w:r>
        <w:t>Generate the matched sample indicator variable.</w:t>
      </w:r>
    </w:p>
    <w:p>
      <w:pPr>
        <w:pStyle w:val="Heading3"/>
      </w:pPr>
      <w:r>
        <w:rPr>
          <w:rFonts w:ascii="Times New Roman" w:hAnsi="Times New Roman"/>
          <w:color w:val="000000"/>
        </w:rPr>
        <w:t>F.3 Load Phase</w:t>
      </w:r>
    </w:p>
    <w:p>
      <w:pPr>
        <w:ind w:firstLine="720"/>
      </w:pPr>
      <w:r>
        <w:rPr>
          <w:b/>
        </w:rPr>
        <w:t>Output Files:</w:t>
      </w:r>
    </w:p>
    <w:p>
      <w:pPr>
        <w:pStyle w:val="ListBullet"/>
      </w:pPr>
      <w:r>
        <w:rPr>
          <w:rFonts w:ascii="Courier New" w:hAnsi="Courier New"/>
          <w:sz w:val="20"/>
        </w:rPr>
        <w:t>data/usaspending/processed/analysis_dataset.csv</w:t>
      </w:r>
      <w:r>
        <w:t>: The award-level analysis dataset containing all variables described in Appendix A.</w:t>
      </w:r>
    </w:p>
    <w:p>
      <w:pPr>
        <w:pStyle w:val="ListBullet"/>
      </w:pPr>
      <w:r>
        <w:rPr>
          <w:rFonts w:ascii="Courier New" w:hAnsi="Courier New"/>
          <w:sz w:val="20"/>
        </w:rPr>
        <w:t>data/usaspending/processed/matched_sample.csv</w:t>
      </w:r>
      <w:r>
        <w:t>: The propensity-score-matched sample with match identifiers and weights.</w:t>
      </w:r>
    </w:p>
    <w:p>
      <w:pPr>
        <w:pStyle w:val="ListBullet"/>
      </w:pPr>
      <w:r>
        <w:rPr>
          <w:rFonts w:ascii="Courier New" w:hAnsi="Courier New"/>
          <w:sz w:val="20"/>
        </w:rPr>
        <w:t>data/usaspending/processed/excluded_other.csv</w:t>
      </w:r>
      <w:r>
        <w:t xml:space="preserve">: Awards with </w:t>
      </w:r>
      <w:r>
        <w:rPr>
          <w:rFonts w:ascii="Courier New" w:hAnsi="Courier New"/>
          <w:sz w:val="20"/>
        </w:rPr>
        <w:t>source_selection_process</w:t>
      </w:r>
      <w:r>
        <w:t xml:space="preserve"> = "O" or null, retained for sensitivity analyses.</w:t>
      </w:r>
    </w:p>
    <w:p>
      <w:pPr>
        <w:pStyle w:val="ListBullet"/>
      </w:pPr>
      <w:r>
        <w:rPr>
          <w:rFonts w:ascii="Courier New" w:hAnsi="Courier New"/>
          <w:sz w:val="20"/>
        </w:rPr>
        <w:t>data/usaspending/processed/codebook.csv</w:t>
      </w:r>
      <w:r>
        <w:t>: Machine-readable version of the variable codebook.</w:t>
      </w:r>
    </w:p>
    <w:p>
      <w:pPr>
        <w:ind w:firstLine="720"/>
      </w:pPr>
      <w:r>
        <w:rPr>
          <w:b/>
        </w:rPr>
        <w:t>Reproducibility:</w:t>
      </w:r>
    </w:p>
    <w:p>
      <w:pPr>
        <w:pStyle w:val="ListBullet"/>
      </w:pPr>
      <w:r>
        <w:t xml:space="preserve">All ETL scripts are maintained in the project repository under </w:t>
      </w:r>
      <w:r>
        <w:rPr>
          <w:rFonts w:ascii="Courier New" w:hAnsi="Courier New"/>
          <w:sz w:val="20"/>
        </w:rPr>
        <w:t>analysis/scripts/</w:t>
      </w:r>
      <w:r>
        <w:t>.</w:t>
      </w:r>
    </w:p>
    <w:p>
      <w:pPr>
        <w:pStyle w:val="ListBullet"/>
      </w:pPr>
      <w:r>
        <w:t xml:space="preserve">Analysis notebooks are stored in </w:t>
      </w:r>
      <w:r>
        <w:rPr>
          <w:rFonts w:ascii="Courier New" w:hAnsi="Courier New"/>
          <w:sz w:val="20"/>
        </w:rPr>
        <w:t>analysis/notebooks/</w:t>
      </w:r>
      <w:r>
        <w:t>.</w:t>
      </w:r>
    </w:p>
    <w:p>
      <w:pPr>
        <w:pStyle w:val="ListBullet"/>
      </w:pPr>
      <w:r>
        <w:t xml:space="preserve">Intermediate files are stored in </w:t>
      </w:r>
      <w:r>
        <w:rPr>
          <w:rFonts w:ascii="Courier New" w:hAnsi="Courier New"/>
          <w:sz w:val="20"/>
        </w:rPr>
        <w:t>data/usaspending/intermediate/</w:t>
      </w:r>
      <w:r>
        <w:t xml:space="preserve"> for debugging and audit purposes.</w:t>
      </w:r>
    </w:p>
    <w:p>
      <w:pPr>
        <w:pStyle w:val="ListBullet"/>
      </w:pPr>
      <w:r>
        <w:t xml:space="preserve">Python package versions are recorded in </w:t>
      </w:r>
      <w:r>
        <w:rPr>
          <w:rFonts w:ascii="Courier New" w:hAnsi="Courier New"/>
          <w:sz w:val="20"/>
        </w:rPr>
        <w:t>requirements.txt</w:t>
      </w:r>
      <w:r>
        <w:t>.</w:t>
      </w:r>
    </w:p>
    <w:p>
      <w:pPr>
        <w:pStyle w:val="ListBullet"/>
      </w:pPr>
      <w:r>
        <w:t>Random seeds for matching procedures are set and documented to ensure exact reproducibility.</w:t>
      </w:r>
    </w:p>
    <w:p>
      <w:pPr>
        <w:pStyle w:val="Heading3"/>
      </w:pPr>
      <w:r>
        <w:rPr>
          <w:rFonts w:ascii="Times New Roman" w:hAnsi="Times New Roman"/>
          <w:color w:val="000000"/>
        </w:rPr>
        <w:t>F.4 Pipeline Diagram</w:t>
      </w:r>
    </w:p>
    <w:p>
      <w:pPr>
        <w:ind w:firstLine="720"/>
      </w:pPr>
      <w:r>
        <w:rPr>
          <w:rFonts w:ascii="Courier New" w:hAnsi="Courier New"/>
          <w:sz w:val="20"/>
        </w:rPr>
      </w:r>
      <w:r>
        <w:t>` USAspending.gov              GAO Annual Reports Bulk CSV Downloads            (Manual Collection)</w:t>
      </w:r>
    </w:p>
    <w:p>
      <w:pPr>
        <w:ind w:firstLine="720"/>
      </w:pPr>
      <w:r>
        <w:t>v                            v data/usaspending/raw/       data/gao/</w:t>
      </w:r>
    </w:p>
    <w:p>
      <w:pPr>
        <w:ind w:firstLine="720"/>
      </w:pPr>
      <w:r>
        <w:t>v                            | Stage 1: Dedup &amp; QC              |</w:t>
      </w:r>
    </w:p>
    <w:p>
      <w:pPr>
        <w:ind w:firstLine="720"/>
      </w:pPr>
      <w:r>
        <w:t>v                            | Stage 2: Filter                   | (NAICS, SAT, Competition,        | Source Selection)                |</w:t>
      </w:r>
    </w:p>
    <w:p>
      <w:pPr>
        <w:ind w:firstLine="720"/>
      </w:pPr>
      <w:r>
        <w:t>v                            | Stage 3: Aggregate                | (Transaction -&gt; Award)           |</w:t>
      </w:r>
    </w:p>
    <w:p>
      <w:pPr>
        <w:ind w:firstLine="720"/>
      </w:pPr>
      <w:r>
        <w:t>v                            | Stage 4: Variable                 | Construction                     |</w:t>
      </w:r>
    </w:p>
    <w:p>
      <w:pPr>
        <w:ind w:firstLine="720"/>
      </w:pPr>
      <w:r>
        <w:t>v                            | Stage 5: PSM                      |</w:t>
      </w:r>
    </w:p>
    <w:p>
      <w:pPr>
        <w:ind w:firstLine="720"/>
      </w:pPr>
      <w:r>
        <w:t>v                            v analysis_dataset.csv       protest_statistics.csv matched_sample.csv</w:t>
      </w:r>
    </w:p>
    <w:p>
      <w:pPr>
        <w:ind w:firstLine="720"/>
      </w:pPr>
      <w:r>
        <w:t>v Jupyter Notebooks (analysis/notebooks/)</w:t>
      </w:r>
    </w:p>
    <w:p>
      <w:pPr>
        <w:ind w:firstLine="720"/>
      </w:pPr>
      <w:r>
        <w:t xml:space="preserve">v Results Tables &amp; Figures (analysis/output/) </w:t>
      </w:r>
      <w:r>
        <w:rPr>
          <w:rFonts w:ascii="Courier New" w:hAnsi="Courier New"/>
          <w:sz w:val="20"/>
        </w:rPr>
      </w:r>
      <w:r>
        <w:rPr>
          <w:rFonts w:ascii="Courier New" w:hAnsi="Courier New"/>
          <w:sz w:val="20"/>
        </w:rPr>
      </w:r>
    </w:p>
    <w:p>
      <w:pPr>
        <w:pStyle w:val="Heading2"/>
      </w:pPr>
      <w:r>
        <w:rPr>
          <w:rFonts w:ascii="Times New Roman" w:hAnsi="Times New Roman"/>
          <w:color w:val="000000"/>
        </w:rPr>
        <w:t>Appendix G: Sampling Criteria and Sample Construction</w:t>
      </w:r>
    </w:p>
    <w:p>
      <w:pPr>
        <w:ind w:firstLine="720"/>
      </w:pPr>
      <w:r>
        <w:t>This appendix provides a detailed listing of all inclusion and exclusion criteria applied to construct the analytic sample, with estimated or actual observation counts at each step. The purpose is to provide full transparency about the data reduction process and to enable readers to assess whether the final sample is representative of the target population.</w:t>
      </w:r>
    </w:p>
    <w:p>
      <w:pPr>
        <w:pStyle w:val="Heading3"/>
      </w:pPr>
      <w:r>
        <w:rPr>
          <w:rFonts w:ascii="Times New Roman" w:hAnsi="Times New Roman"/>
          <w:color w:val="000000"/>
        </w:rPr>
        <w:t>G.1 Sampling Flowchart</w:t>
      </w:r>
    </w:p>
    <w:p>
      <w:pPr>
        <w:ind w:firstLine="720"/>
      </w:pPr>
      <w:r>
        <w:rPr>
          <w:i/>
        </w:rPr>
        <w:t>Note: Counts will be updated with actual figures upon completion of data processing. Estimated ranges are provided below based on preliminary data exploration.</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pPr>
              <w:spacing w:line="240" w:lineRule="auto"/>
            </w:pPr>
            <w:r>
              <w:rPr>
                <w:rFonts w:ascii="Times New Roman" w:hAnsi="Times New Roman"/>
                <w:b/>
                <w:sz w:val="20"/>
              </w:rPr>
              <w:t>Step</w:t>
            </w:r>
          </w:p>
        </w:tc>
        <w:tc>
          <w:tcPr>
            <w:tcW w:type="dxa" w:w="1728"/>
          </w:tcPr>
          <w:p>
            <w:pPr>
              <w:spacing w:line="240" w:lineRule="auto"/>
            </w:pPr>
            <w:r>
              <w:rPr>
                <w:rFonts w:ascii="Times New Roman" w:hAnsi="Times New Roman"/>
                <w:b/>
                <w:sz w:val="20"/>
              </w:rPr>
              <w:t>Criterion</w:t>
            </w:r>
          </w:p>
        </w:tc>
        <w:tc>
          <w:tcPr>
            <w:tcW w:type="dxa" w:w="1728"/>
          </w:tcPr>
          <w:p>
            <w:pPr>
              <w:spacing w:line="240" w:lineRule="auto"/>
            </w:pPr>
            <w:r>
              <w:rPr>
                <w:rFonts w:ascii="Times New Roman" w:hAnsi="Times New Roman"/>
                <w:b/>
                <w:sz w:val="20"/>
              </w:rPr>
              <w:t>Records Remaining (Estimated)</w:t>
            </w:r>
          </w:p>
        </w:tc>
        <w:tc>
          <w:tcPr>
            <w:tcW w:type="dxa" w:w="1728"/>
          </w:tcPr>
          <w:p>
            <w:pPr>
              <w:spacing w:line="240" w:lineRule="auto"/>
            </w:pPr>
            <w:r>
              <w:rPr>
                <w:rFonts w:ascii="Times New Roman" w:hAnsi="Times New Roman"/>
                <w:b/>
                <w:sz w:val="20"/>
              </w:rPr>
              <w:t>Records Excluded (Estimated)</w:t>
            </w:r>
          </w:p>
        </w:tc>
        <w:tc>
          <w:tcPr>
            <w:tcW w:type="dxa" w:w="1728"/>
          </w:tcPr>
          <w:p>
            <w:pPr>
              <w:spacing w:line="240" w:lineRule="auto"/>
            </w:pPr>
            <w:r>
              <w:rPr>
                <w:rFonts w:ascii="Times New Roman" w:hAnsi="Times New Roman"/>
                <w:b/>
                <w:sz w:val="20"/>
              </w:rPr>
              <w:t>Exclusion Rate</w:t>
            </w:r>
          </w:p>
        </w:tc>
      </w:tr>
      <w:tr>
        <w:tc>
          <w:tcPr>
            <w:tcW w:type="dxa" w:w="1728"/>
          </w:tcPr>
          <w:p>
            <w:pPr>
              <w:spacing w:line="240" w:lineRule="auto"/>
            </w:pPr>
            <w:r>
              <w:rPr>
                <w:rFonts w:ascii="Times New Roman" w:hAnsi="Times New Roman"/>
                <w:sz w:val="20"/>
              </w:rPr>
              <w:t>0</w:t>
            </w:r>
          </w:p>
        </w:tc>
        <w:tc>
          <w:tcPr>
            <w:tcW w:type="dxa" w:w="1728"/>
          </w:tcPr>
          <w:p>
            <w:pPr>
              <w:spacing w:line="240" w:lineRule="auto"/>
            </w:pPr>
            <w:r>
              <w:rPr>
                <w:rFonts w:ascii="Times New Roman" w:hAnsi="Times New Roman"/>
                <w:sz w:val="20"/>
              </w:rPr>
              <w:t>Starting population: All contract transactions in FPDS-NG, FY2020–FY2025</w:t>
            </w:r>
          </w:p>
        </w:tc>
        <w:tc>
          <w:tcPr>
            <w:tcW w:type="dxa" w:w="1728"/>
          </w:tcPr>
          <w:p>
            <w:pPr>
              <w:spacing w:line="240" w:lineRule="auto"/>
            </w:pPr>
            <w:r>
              <w:rPr>
                <w:rFonts w:ascii="Times New Roman" w:hAnsi="Times New Roman"/>
                <w:sz w:val="20"/>
              </w:rPr>
              <w:t>~15,000,000–20,000,000</w:t>
            </w:r>
          </w:p>
        </w:tc>
        <w:tc>
          <w:tcPr>
            <w:tcW w:type="dxa" w:w="1728"/>
          </w:tcPr>
          <w:p>
            <w:pPr>
              <w:spacing w:line="240" w:lineRule="auto"/>
            </w:pPr>
            <w:r>
              <w:rPr>
                <w:rFonts w:ascii="Times New Roman" w:hAnsi="Times New Roman"/>
                <w:sz w:val="20"/>
              </w:rPr>
              <w:t>–</w:t>
            </w:r>
          </w:p>
        </w:tc>
        <w:tc>
          <w:tcPr>
            <w:tcW w:type="dxa" w:w="1728"/>
          </w:tcPr>
          <w:p>
            <w:pPr>
              <w:spacing w:line="240" w:lineRule="auto"/>
            </w:pPr>
            <w:r>
              <w:rPr>
                <w:rFonts w:ascii="Times New Roman" w:hAnsi="Times New Roman"/>
                <w:sz w:val="20"/>
              </w:rPr>
              <w:t>–</w:t>
            </w:r>
          </w:p>
        </w:tc>
      </w:tr>
      <w:tr>
        <w:tc>
          <w:tcPr>
            <w:tcW w:type="dxa" w:w="1728"/>
          </w:tcPr>
          <w:p>
            <w:pPr>
              <w:spacing w:line="240" w:lineRule="auto"/>
            </w:pPr>
            <w:r>
              <w:rPr>
                <w:rFonts w:ascii="Times New Roman" w:hAnsi="Times New Roman"/>
                <w:sz w:val="20"/>
              </w:rPr>
              <w:t>1</w:t>
            </w:r>
          </w:p>
        </w:tc>
        <w:tc>
          <w:tcPr>
            <w:tcW w:type="dxa" w:w="1728"/>
          </w:tcPr>
          <w:p>
            <w:pPr>
              <w:spacing w:line="240" w:lineRule="auto"/>
            </w:pPr>
            <w:r>
              <w:rPr>
                <w:rFonts w:ascii="Times New Roman" w:hAnsi="Times New Roman"/>
                <w:sz w:val="20"/>
              </w:rPr>
              <w:t>Restrict to executive branch agencies reporting to FPDS</w:t>
            </w:r>
          </w:p>
        </w:tc>
        <w:tc>
          <w:tcPr>
            <w:tcW w:type="dxa" w:w="1728"/>
          </w:tcPr>
          <w:p>
            <w:pPr>
              <w:spacing w:line="240" w:lineRule="auto"/>
            </w:pPr>
            <w:r>
              <w:rPr>
                <w:rFonts w:ascii="Times New Roman" w:hAnsi="Times New Roman"/>
                <w:sz w:val="20"/>
              </w:rPr>
              <w:t>~14,500,000–19,500,000</w:t>
            </w:r>
          </w:p>
        </w:tc>
        <w:tc>
          <w:tcPr>
            <w:tcW w:type="dxa" w:w="1728"/>
          </w:tcPr>
          <w:p>
            <w:pPr>
              <w:spacing w:line="240" w:lineRule="auto"/>
            </w:pPr>
            <w:r>
              <w:rPr>
                <w:rFonts w:ascii="Times New Roman" w:hAnsi="Times New Roman"/>
                <w:sz w:val="20"/>
              </w:rPr>
              <w:t>~500,000</w:t>
            </w:r>
          </w:p>
        </w:tc>
        <w:tc>
          <w:tcPr>
            <w:tcW w:type="dxa" w:w="1728"/>
          </w:tcPr>
          <w:p>
            <w:pPr>
              <w:spacing w:line="240" w:lineRule="auto"/>
            </w:pPr>
            <w:r>
              <w:rPr>
                <w:rFonts w:ascii="Times New Roman" w:hAnsi="Times New Roman"/>
                <w:sz w:val="20"/>
              </w:rPr>
              <w:t>~3%</w:t>
            </w:r>
          </w:p>
        </w:tc>
      </w:tr>
      <w:tr>
        <w:tc>
          <w:tcPr>
            <w:tcW w:type="dxa" w:w="1728"/>
          </w:tcPr>
          <w:p>
            <w:pPr>
              <w:spacing w:line="240" w:lineRule="auto"/>
            </w:pPr>
            <w:r>
              <w:rPr>
                <w:rFonts w:ascii="Times New Roman" w:hAnsi="Times New Roman"/>
                <w:sz w:val="20"/>
              </w:rPr>
              <w:t>2</w:t>
            </w:r>
          </w:p>
        </w:tc>
        <w:tc>
          <w:tcPr>
            <w:tcW w:type="dxa" w:w="1728"/>
          </w:tcPr>
          <w:p>
            <w:pPr>
              <w:spacing w:line="240" w:lineRule="auto"/>
            </w:pPr>
            <w:r>
              <w:rPr>
                <w:rFonts w:ascii="Times New Roman" w:hAnsi="Times New Roman"/>
                <w:sz w:val="20"/>
              </w:rPr>
              <w:t>Restrict to prime contract awards and modifications (exclude grants, loans, direct payments, other assistance)</w:t>
            </w:r>
          </w:p>
        </w:tc>
        <w:tc>
          <w:tcPr>
            <w:tcW w:type="dxa" w:w="1728"/>
          </w:tcPr>
          <w:p>
            <w:pPr>
              <w:spacing w:line="240" w:lineRule="auto"/>
            </w:pPr>
            <w:r>
              <w:rPr>
                <w:rFonts w:ascii="Times New Roman" w:hAnsi="Times New Roman"/>
                <w:sz w:val="20"/>
              </w:rPr>
              <w:t>~8,000,000–12,000,000</w:t>
            </w:r>
          </w:p>
        </w:tc>
        <w:tc>
          <w:tcPr>
            <w:tcW w:type="dxa" w:w="1728"/>
          </w:tcPr>
          <w:p>
            <w:pPr>
              <w:spacing w:line="240" w:lineRule="auto"/>
            </w:pPr>
            <w:r>
              <w:rPr>
                <w:rFonts w:ascii="Times New Roman" w:hAnsi="Times New Roman"/>
                <w:sz w:val="20"/>
              </w:rPr>
              <w:t>~6,500,000</w:t>
            </w:r>
          </w:p>
        </w:tc>
        <w:tc>
          <w:tcPr>
            <w:tcW w:type="dxa" w:w="1728"/>
          </w:tcPr>
          <w:p>
            <w:pPr>
              <w:spacing w:line="240" w:lineRule="auto"/>
            </w:pPr>
            <w:r>
              <w:rPr>
                <w:rFonts w:ascii="Times New Roman" w:hAnsi="Times New Roman"/>
                <w:sz w:val="20"/>
              </w:rPr>
              <w:t>~40%</w:t>
            </w:r>
          </w:p>
        </w:tc>
      </w:tr>
      <w:tr>
        <w:tc>
          <w:tcPr>
            <w:tcW w:type="dxa" w:w="1728"/>
          </w:tcPr>
          <w:p>
            <w:pPr>
              <w:spacing w:line="240" w:lineRule="auto"/>
            </w:pPr>
            <w:r>
              <w:rPr>
                <w:rFonts w:ascii="Times New Roman" w:hAnsi="Times New Roman"/>
                <w:sz w:val="20"/>
              </w:rPr>
              <w:t>3</w:t>
            </w:r>
          </w:p>
        </w:tc>
        <w:tc>
          <w:tcPr>
            <w:tcW w:type="dxa" w:w="1728"/>
          </w:tcPr>
          <w:p>
            <w:pPr>
              <w:spacing w:line="240" w:lineRule="auto"/>
            </w:pPr>
            <w:r>
              <w:rPr>
                <w:rFonts w:ascii="Times New Roman" w:hAnsi="Times New Roman"/>
                <w:sz w:val="20"/>
              </w:rPr>
              <w:t>Restrict to NAICS codes 511xxx, 518xxx, 541xxx, 561xxx</w:t>
            </w:r>
          </w:p>
        </w:tc>
        <w:tc>
          <w:tcPr>
            <w:tcW w:type="dxa" w:w="1728"/>
          </w:tcPr>
          <w:p>
            <w:pPr>
              <w:spacing w:line="240" w:lineRule="auto"/>
            </w:pPr>
            <w:r>
              <w:rPr>
                <w:rFonts w:ascii="Times New Roman" w:hAnsi="Times New Roman"/>
                <w:sz w:val="20"/>
              </w:rPr>
              <w:t>~2,000,000–3,500,000</w:t>
            </w:r>
          </w:p>
        </w:tc>
        <w:tc>
          <w:tcPr>
            <w:tcW w:type="dxa" w:w="1728"/>
          </w:tcPr>
          <w:p>
            <w:pPr>
              <w:spacing w:line="240" w:lineRule="auto"/>
            </w:pPr>
            <w:r>
              <w:rPr>
                <w:rFonts w:ascii="Times New Roman" w:hAnsi="Times New Roman"/>
                <w:sz w:val="20"/>
              </w:rPr>
              <w:t>~6,000,000–8,500,000</w:t>
            </w:r>
          </w:p>
        </w:tc>
        <w:tc>
          <w:tcPr>
            <w:tcW w:type="dxa" w:w="1728"/>
          </w:tcPr>
          <w:p>
            <w:pPr>
              <w:spacing w:line="240" w:lineRule="auto"/>
            </w:pPr>
            <w:r>
              <w:rPr>
                <w:rFonts w:ascii="Times New Roman" w:hAnsi="Times New Roman"/>
                <w:sz w:val="20"/>
              </w:rPr>
              <w:t>~70%</w:t>
            </w:r>
          </w:p>
        </w:tc>
      </w:tr>
      <w:tr>
        <w:tc>
          <w:tcPr>
            <w:tcW w:type="dxa" w:w="1728"/>
          </w:tcPr>
          <w:p>
            <w:pPr>
              <w:spacing w:line="240" w:lineRule="auto"/>
            </w:pPr>
            <w:r>
              <w:rPr>
                <w:rFonts w:ascii="Times New Roman" w:hAnsi="Times New Roman"/>
                <w:sz w:val="20"/>
              </w:rPr>
              <w:t>4</w:t>
            </w:r>
          </w:p>
        </w:tc>
        <w:tc>
          <w:tcPr>
            <w:tcW w:type="dxa" w:w="1728"/>
          </w:tcPr>
          <w:p>
            <w:pPr>
              <w:spacing w:line="240" w:lineRule="auto"/>
            </w:pPr>
            <w:r>
              <w:rPr>
                <w:rFonts w:ascii="Times New Roman" w:hAnsi="Times New Roman"/>
                <w:sz w:val="20"/>
              </w:rPr>
              <w:t>Restrict to competitive procurements (extent_competed = Full and Open Competition or Full and Open after Exclusion of Sources)</w:t>
            </w:r>
          </w:p>
        </w:tc>
        <w:tc>
          <w:tcPr>
            <w:tcW w:type="dxa" w:w="1728"/>
          </w:tcPr>
          <w:p>
            <w:pPr>
              <w:spacing w:line="240" w:lineRule="auto"/>
            </w:pPr>
            <w:r>
              <w:rPr>
                <w:rFonts w:ascii="Times New Roman" w:hAnsi="Times New Roman"/>
                <w:sz w:val="20"/>
              </w:rPr>
              <w:t>~1,200,000–2,100,000</w:t>
            </w:r>
          </w:p>
        </w:tc>
        <w:tc>
          <w:tcPr>
            <w:tcW w:type="dxa" w:w="1728"/>
          </w:tcPr>
          <w:p>
            <w:pPr>
              <w:spacing w:line="240" w:lineRule="auto"/>
            </w:pPr>
            <w:r>
              <w:rPr>
                <w:rFonts w:ascii="Times New Roman" w:hAnsi="Times New Roman"/>
                <w:sz w:val="20"/>
              </w:rPr>
              <w:t>~800,000–1,400,000</w:t>
            </w:r>
          </w:p>
        </w:tc>
        <w:tc>
          <w:tcPr>
            <w:tcW w:type="dxa" w:w="1728"/>
          </w:tcPr>
          <w:p>
            <w:pPr>
              <w:spacing w:line="240" w:lineRule="auto"/>
            </w:pPr>
            <w:r>
              <w:rPr>
                <w:rFonts w:ascii="Times New Roman" w:hAnsi="Times New Roman"/>
                <w:sz w:val="20"/>
              </w:rPr>
              <w:t>~40%</w:t>
            </w:r>
          </w:p>
        </w:tc>
      </w:tr>
      <w:tr>
        <w:tc>
          <w:tcPr>
            <w:tcW w:type="dxa" w:w="1728"/>
          </w:tcPr>
          <w:p>
            <w:pPr>
              <w:spacing w:line="240" w:lineRule="auto"/>
            </w:pPr>
            <w:r>
              <w:rPr>
                <w:rFonts w:ascii="Times New Roman" w:hAnsi="Times New Roman"/>
                <w:sz w:val="20"/>
              </w:rPr>
              <w:t>5</w:t>
            </w:r>
          </w:p>
        </w:tc>
        <w:tc>
          <w:tcPr>
            <w:tcW w:type="dxa" w:w="1728"/>
          </w:tcPr>
          <w:p>
            <w:pPr>
              <w:spacing w:line="240" w:lineRule="auto"/>
            </w:pPr>
            <w:r>
              <w:rPr>
                <w:rFonts w:ascii="Times New Roman" w:hAnsi="Times New Roman"/>
                <w:sz w:val="20"/>
              </w:rPr>
              <w:t>Restrict to awards with base_and_all_options_value &gt; $250,000 (above SAT)</w:t>
            </w:r>
          </w:p>
        </w:tc>
        <w:tc>
          <w:tcPr>
            <w:tcW w:type="dxa" w:w="1728"/>
          </w:tcPr>
          <w:p>
            <w:pPr>
              <w:spacing w:line="240" w:lineRule="auto"/>
            </w:pPr>
            <w:r>
              <w:rPr>
                <w:rFonts w:ascii="Times New Roman" w:hAnsi="Times New Roman"/>
                <w:sz w:val="20"/>
              </w:rPr>
              <w:t>~600,000–1,200,000</w:t>
            </w:r>
          </w:p>
        </w:tc>
        <w:tc>
          <w:tcPr>
            <w:tcW w:type="dxa" w:w="1728"/>
          </w:tcPr>
          <w:p>
            <w:pPr>
              <w:spacing w:line="240" w:lineRule="auto"/>
            </w:pPr>
            <w:r>
              <w:rPr>
                <w:rFonts w:ascii="Times New Roman" w:hAnsi="Times New Roman"/>
                <w:sz w:val="20"/>
              </w:rPr>
              <w:t>~600,000–900,000</w:t>
            </w:r>
          </w:p>
        </w:tc>
        <w:tc>
          <w:tcPr>
            <w:tcW w:type="dxa" w:w="1728"/>
          </w:tcPr>
          <w:p>
            <w:pPr>
              <w:spacing w:line="240" w:lineRule="auto"/>
            </w:pPr>
            <w:r>
              <w:rPr>
                <w:rFonts w:ascii="Times New Roman" w:hAnsi="Times New Roman"/>
                <w:sz w:val="20"/>
              </w:rPr>
              <w:t>~50%</w:t>
            </w:r>
          </w:p>
        </w:tc>
      </w:tr>
      <w:tr>
        <w:tc>
          <w:tcPr>
            <w:tcW w:type="dxa" w:w="1728"/>
          </w:tcPr>
          <w:p>
            <w:pPr>
              <w:spacing w:line="240" w:lineRule="auto"/>
            </w:pPr>
            <w:r>
              <w:rPr>
                <w:rFonts w:ascii="Times New Roman" w:hAnsi="Times New Roman"/>
                <w:sz w:val="20"/>
              </w:rPr>
              <w:t>6</w:t>
            </w:r>
          </w:p>
        </w:tc>
        <w:tc>
          <w:tcPr>
            <w:tcW w:type="dxa" w:w="1728"/>
          </w:tcPr>
          <w:p>
            <w:pPr>
              <w:spacing w:line="240" w:lineRule="auto"/>
            </w:pPr>
            <w:r>
              <w:rPr>
                <w:rFonts w:ascii="Times New Roman" w:hAnsi="Times New Roman"/>
                <w:sz w:val="20"/>
              </w:rPr>
              <w:t>Restrict to source_selection_process = LPTA or TO (exclude "Other" and null)</w:t>
            </w:r>
          </w:p>
        </w:tc>
        <w:tc>
          <w:tcPr>
            <w:tcW w:type="dxa" w:w="1728"/>
          </w:tcPr>
          <w:p>
            <w:pPr>
              <w:spacing w:line="240" w:lineRule="auto"/>
            </w:pPr>
            <w:r>
              <w:rPr>
                <w:rFonts w:ascii="Times New Roman" w:hAnsi="Times New Roman"/>
                <w:sz w:val="20"/>
              </w:rPr>
              <w:t>~450,000–900,000</w:t>
            </w:r>
          </w:p>
        </w:tc>
        <w:tc>
          <w:tcPr>
            <w:tcW w:type="dxa" w:w="1728"/>
          </w:tcPr>
          <w:p>
            <w:pPr>
              <w:spacing w:line="240" w:lineRule="auto"/>
            </w:pPr>
            <w:r>
              <w:rPr>
                <w:rFonts w:ascii="Times New Roman" w:hAnsi="Times New Roman"/>
                <w:sz w:val="20"/>
              </w:rPr>
              <w:t>~150,000–300,000</w:t>
            </w:r>
          </w:p>
        </w:tc>
        <w:tc>
          <w:tcPr>
            <w:tcW w:type="dxa" w:w="1728"/>
          </w:tcPr>
          <w:p>
            <w:pPr>
              <w:spacing w:line="240" w:lineRule="auto"/>
            </w:pPr>
            <w:r>
              <w:rPr>
                <w:rFonts w:ascii="Times New Roman" w:hAnsi="Times New Roman"/>
                <w:sz w:val="20"/>
              </w:rPr>
              <w:t>~25%</w:t>
            </w:r>
          </w:p>
        </w:tc>
      </w:tr>
      <w:tr>
        <w:tc>
          <w:tcPr>
            <w:tcW w:type="dxa" w:w="1728"/>
          </w:tcPr>
          <w:p>
            <w:pPr>
              <w:spacing w:line="240" w:lineRule="auto"/>
            </w:pPr>
            <w:r>
              <w:rPr>
                <w:rFonts w:ascii="Times New Roman" w:hAnsi="Times New Roman"/>
                <w:sz w:val="20"/>
              </w:rPr>
              <w:t>7</w:t>
            </w:r>
          </w:p>
        </w:tc>
        <w:tc>
          <w:tcPr>
            <w:tcW w:type="dxa" w:w="1728"/>
          </w:tcPr>
          <w:p>
            <w:pPr>
              <w:spacing w:line="240" w:lineRule="auto"/>
            </w:pPr>
            <w:r>
              <w:rPr>
                <w:rFonts w:ascii="Times New Roman" w:hAnsi="Times New Roman"/>
                <w:sz w:val="20"/>
              </w:rPr>
              <w:t>Aggregate from transaction level to award level (group by award_id_piid)</w:t>
            </w:r>
          </w:p>
        </w:tc>
        <w:tc>
          <w:tcPr>
            <w:tcW w:type="dxa" w:w="1728"/>
          </w:tcPr>
          <w:p>
            <w:pPr>
              <w:spacing w:line="240" w:lineRule="auto"/>
            </w:pPr>
            <w:r>
              <w:rPr>
                <w:rFonts w:ascii="Times New Roman" w:hAnsi="Times New Roman"/>
                <w:sz w:val="20"/>
              </w:rPr>
              <w:t>~80,000–150,000 unique awards</w:t>
            </w:r>
          </w:p>
        </w:tc>
        <w:tc>
          <w:tcPr>
            <w:tcW w:type="dxa" w:w="1728"/>
          </w:tcPr>
          <w:p>
            <w:pPr>
              <w:spacing w:line="240" w:lineRule="auto"/>
            </w:pPr>
            <w:r>
              <w:rPr>
                <w:rFonts w:ascii="Times New Roman" w:hAnsi="Times New Roman"/>
                <w:sz w:val="20"/>
              </w:rPr>
              <w:t>–</w:t>
            </w:r>
          </w:p>
        </w:tc>
        <w:tc>
          <w:tcPr>
            <w:tcW w:type="dxa" w:w="1728"/>
          </w:tcPr>
          <w:p>
            <w:pPr>
              <w:spacing w:line="240" w:lineRule="auto"/>
            </w:pPr>
            <w:r>
              <w:rPr>
                <w:rFonts w:ascii="Times New Roman" w:hAnsi="Times New Roman"/>
                <w:sz w:val="20"/>
              </w:rPr>
              <w:t>–</w:t>
            </w:r>
          </w:p>
        </w:tc>
      </w:tr>
      <w:tr>
        <w:tc>
          <w:tcPr>
            <w:tcW w:type="dxa" w:w="1728"/>
          </w:tcPr>
          <w:p>
            <w:pPr>
              <w:spacing w:line="240" w:lineRule="auto"/>
            </w:pPr>
            <w:r>
              <w:rPr>
                <w:rFonts w:ascii="Times New Roman" w:hAnsi="Times New Roman"/>
                <w:sz w:val="20"/>
              </w:rPr>
              <w:t>8</w:t>
            </w:r>
          </w:p>
        </w:tc>
        <w:tc>
          <w:tcPr>
            <w:tcW w:type="dxa" w:w="1728"/>
          </w:tcPr>
          <w:p>
            <w:pPr>
              <w:spacing w:line="240" w:lineRule="auto"/>
            </w:pPr>
            <w:r>
              <w:rPr>
                <w:rFonts w:ascii="Times New Roman" w:hAnsi="Times New Roman"/>
                <w:sz w:val="20"/>
              </w:rPr>
              <w:t>Drop awards with missing key variables (missing number_of_offers_received, missing initial financial values, missing NAICS code)</w:t>
            </w:r>
          </w:p>
        </w:tc>
        <w:tc>
          <w:tcPr>
            <w:tcW w:type="dxa" w:w="1728"/>
          </w:tcPr>
          <w:p>
            <w:pPr>
              <w:spacing w:line="240" w:lineRule="auto"/>
            </w:pPr>
            <w:r>
              <w:rPr>
                <w:rFonts w:ascii="Times New Roman" w:hAnsi="Times New Roman"/>
                <w:sz w:val="20"/>
              </w:rPr>
              <w:t>~75,000–145,000</w:t>
            </w:r>
          </w:p>
        </w:tc>
        <w:tc>
          <w:tcPr>
            <w:tcW w:type="dxa" w:w="1728"/>
          </w:tcPr>
          <w:p>
            <w:pPr>
              <w:spacing w:line="240" w:lineRule="auto"/>
            </w:pPr>
            <w:r>
              <w:rPr>
                <w:rFonts w:ascii="Times New Roman" w:hAnsi="Times New Roman"/>
                <w:sz w:val="20"/>
              </w:rPr>
              <w:t>~5,000</w:t>
            </w:r>
          </w:p>
        </w:tc>
        <w:tc>
          <w:tcPr>
            <w:tcW w:type="dxa" w:w="1728"/>
          </w:tcPr>
          <w:p>
            <w:pPr>
              <w:spacing w:line="240" w:lineRule="auto"/>
            </w:pPr>
            <w:r>
              <w:rPr>
                <w:rFonts w:ascii="Times New Roman" w:hAnsi="Times New Roman"/>
                <w:sz w:val="20"/>
              </w:rPr>
              <w:t>~3–5%</w:t>
            </w:r>
          </w:p>
        </w:tc>
      </w:tr>
      <w:tr>
        <w:tc>
          <w:tcPr>
            <w:tcW w:type="dxa" w:w="1728"/>
          </w:tcPr>
          <w:p>
            <w:pPr>
              <w:spacing w:line="240" w:lineRule="auto"/>
            </w:pPr>
            <w:r>
              <w:rPr>
                <w:rFonts w:ascii="Times New Roman" w:hAnsi="Times New Roman"/>
                <w:sz w:val="20"/>
              </w:rPr>
              <w:t>9</w:t>
            </w:r>
          </w:p>
        </w:tc>
        <w:tc>
          <w:tcPr>
            <w:tcW w:type="dxa" w:w="1728"/>
          </w:tcPr>
          <w:p>
            <w:pPr>
              <w:spacing w:line="240" w:lineRule="auto"/>
            </w:pPr>
            <w:r>
              <w:rPr>
                <w:rFonts w:ascii="Times New Roman" w:hAnsi="Times New Roman"/>
                <w:sz w:val="20"/>
              </w:rPr>
              <w:t>Final analytic sample</w:t>
            </w:r>
          </w:p>
        </w:tc>
        <w:tc>
          <w:tcPr>
            <w:tcW w:type="dxa" w:w="1728"/>
          </w:tcPr>
          <w:p>
            <w:pPr>
              <w:spacing w:line="240" w:lineRule="auto"/>
            </w:pPr>
            <w:r>
              <w:rPr>
                <w:rFonts w:ascii="Times New Roman" w:hAnsi="Times New Roman"/>
                <w:sz w:val="20"/>
              </w:rPr>
              <w:t>~75,000–145,000</w:t>
            </w:r>
          </w:p>
        </w:tc>
        <w:tc>
          <w:tcPr>
            <w:tcW w:type="dxa" w:w="1728"/>
          </w:tcPr>
          <w:p>
            <w:pPr>
              <w:spacing w:line="240" w:lineRule="auto"/>
            </w:pPr>
            <w:r>
              <w:rPr>
                <w:rFonts w:ascii="Times New Roman" w:hAnsi="Times New Roman"/>
                <w:sz w:val="20"/>
              </w:rPr>
            </w:r>
          </w:p>
        </w:tc>
        <w:tc>
          <w:tcPr>
            <w:tcW w:type="dxa" w:w="1728"/>
          </w:tcPr>
          <w:p>
            <w:pPr>
              <w:spacing w:line="240" w:lineRule="auto"/>
            </w:pPr>
            <w:r>
              <w:rPr>
                <w:rFonts w:ascii="Times New Roman" w:hAnsi="Times New Roman"/>
                <w:sz w:val="20"/>
              </w:rPr>
            </w:r>
          </w:p>
        </w:tc>
      </w:tr>
    </w:tbl>
    <w:p>
      <w:pPr>
        <w:pStyle w:val="Heading3"/>
      </w:pPr>
      <w:r>
        <w:rPr>
          <w:rFonts w:ascii="Times New Roman" w:hAnsi="Times New Roman"/>
          <w:color w:val="000000"/>
        </w:rPr>
        <w:t>G.2 Detailed Criteria Descriptions</w:t>
      </w:r>
    </w:p>
    <w:p>
      <w:pPr>
        <w:ind w:firstLine="720"/>
      </w:pPr>
      <w:r>
        <w:rPr>
          <w:b/>
        </w:rPr>
        <w:t>Step 1: Executive Branch Agencies</w:t>
      </w:r>
      <w:r>
        <w:t xml:space="preserve"> Federal procurement data in FPDS-NG cover executive branch agencies. Legislative branch entities (e.g., Library of Congress, Government Publishing Office) and judicial branch entities report procurement data through separate systems and are excluded.</w:t>
      </w:r>
    </w:p>
    <w:p>
      <w:pPr>
        <w:ind w:firstLine="720"/>
      </w:pPr>
      <w:r>
        <w:rPr>
          <w:b/>
        </w:rPr>
        <w:t>Step 2: Prime Contract Awards</w:t>
      </w:r>
      <w:r>
        <w:t xml:space="preserve"> USAspending.gov contains data on multiple federal spending categories: contracts, grants, loans, direct payments, insurance, and other assistance. Only contract awards (prime contracts and task/delivery orders) are relevant to this study. Subawards, grants, and non-contract obligations are excluded.</w:t>
      </w:r>
    </w:p>
    <w:p>
      <w:pPr>
        <w:ind w:firstLine="720"/>
      </w:pPr>
      <w:r>
        <w:rPr>
          <w:b/>
        </w:rPr>
        <w:t>Step 3: NAICS Sector Restriction</w:t>
      </w:r>
      <w:r>
        <w:t xml:space="preserve"> The study focuses on four NAICS code families that represent the professional services and information technology domains where the LPTA-versus-tradeoff decision is most consequential:</w:t>
      </w:r>
    </w:p>
    <w:p>
      <w:pPr>
        <w:pStyle w:val="ListBullet"/>
      </w:pPr>
      <w:r>
        <w:rPr>
          <w:b/>
        </w:rPr>
        <w:t>511xxx</w:t>
      </w:r>
      <w:r>
        <w:t xml:space="preserve"> – Software Publishers (including custom computer programming)</w:t>
      </w:r>
    </w:p>
    <w:p>
      <w:pPr>
        <w:pStyle w:val="ListBullet"/>
      </w:pPr>
      <w:r>
        <w:rPr>
          <w:b/>
        </w:rPr>
        <w:t>518xxx</w:t>
      </w:r>
      <w:r>
        <w:t xml:space="preserve"> – Data Processing, Hosting, and Related Services (including cloud computing)</w:t>
      </w:r>
    </w:p>
    <w:p>
      <w:pPr>
        <w:pStyle w:val="ListBullet"/>
      </w:pPr>
      <w:r>
        <w:rPr>
          <w:b/>
        </w:rPr>
        <w:t>541xxx</w:t>
      </w:r>
      <w:r>
        <w:t xml:space="preserve"> – Professional, Scientific, and Technical Services (including management consulting [5416], scientific consulting [5417], computer systems design [5415], R&amp;D [5417], engineering [5413], accounting [5412], and legal services [5411])</w:t>
      </w:r>
    </w:p>
    <w:p>
      <w:pPr>
        <w:pStyle w:val="ListBullet"/>
      </w:pPr>
      <w:r>
        <w:rPr>
          <w:b/>
        </w:rPr>
        <w:t>561xxx</w:t>
      </w:r>
      <w:r>
        <w:t xml:space="preserve"> – Administrative and Support Services (including facilities support [5612], office administrative services [5611], document preparation [5614], and staffing services [5613])</w:t>
      </w:r>
    </w:p>
    <w:p>
      <w:pPr>
        <w:ind w:firstLine="720"/>
      </w:pPr>
      <w:r>
        <w:rPr>
          <w:b/>
        </w:rPr>
        <w:t>Step 4: Competitive Procurements Only</w:t>
      </w:r>
      <w:r>
        <w:t xml:space="preserve"> Source selection method is a concept that applies only to competitive procurements. Sole-source awards (where only one offeror is solicited or considered) are excluded because the choice between LPTA and tradeoff is not relevant when there is no competition. Awards under limited competition, follow-on contracts, or other non-full-and-open categories are also excluded to ensure a clean comparison of evaluation methods under competitive conditions.</w:t>
      </w:r>
    </w:p>
    <w:p>
      <w:pPr>
        <w:ind w:firstLine="720"/>
      </w:pPr>
      <w:r>
        <w:rPr>
          <w:b/>
        </w:rPr>
        <w:t>Step 5: Above Simplified Acquisition Threshold (SAT)</w:t>
      </w:r>
      <w:r>
        <w:t xml:space="preserve"> Awards below $250,000 are subject to simplified acquisition procedures (FAR Part 13) that do not require formal source selection evaluation. The distinction between LPTA and tradeoff is less meaningful for these smaller acquisitions, and data quality for the source selection process field is likely lower. The $250,000 threshold reflects the current SAT as established by the 2018 NDAA.</w:t>
      </w:r>
    </w:p>
    <w:p>
      <w:pPr>
        <w:ind w:firstLine="720"/>
      </w:pPr>
      <w:r>
        <w:rPr>
          <w:b/>
        </w:rPr>
        <w:t>Step 6: Source Selection Process Filter</w:t>
      </w:r>
      <w:r>
        <w:t xml:space="preserve"> Only awards coded as LPTA or TO (Tradeoff) in the </w:t>
      </w:r>
      <w:r>
        <w:rPr>
          <w:rFonts w:ascii="Courier New" w:hAnsi="Courier New"/>
          <w:sz w:val="20"/>
        </w:rPr>
        <w:t>source_selection_process</w:t>
      </w:r>
      <w:r>
        <w:t xml:space="preserve"> field are included in the primary analysis. Awards coded as "O" (Other) represent a heterogeneous residual category that may include legitimate alternative evaluation methods, miscoded entries, or data quality gaps. Awards with null or blank source selection process values likely reflect non-reporting. Both categories are excluded from the primary sample to minimize measurement error but are retained for sensitivity analyses that assess whether their inclusion changes the results.</w:t>
      </w:r>
    </w:p>
    <w:p>
      <w:pPr>
        <w:ind w:firstLine="720"/>
      </w:pPr>
      <w:r>
        <w:rPr>
          <w:b/>
        </w:rPr>
        <w:t>Step 7: Transaction-to-Award Aggregation</w:t>
      </w:r>
      <w:r>
        <w:t xml:space="preserve"> Multiple transaction records sharing the same </w:t>
      </w:r>
      <w:r>
        <w:rPr>
          <w:rFonts w:ascii="Courier New" w:hAnsi="Courier New"/>
          <w:sz w:val="20"/>
        </w:rPr>
        <w:t>award_id_piid</w:t>
      </w:r>
      <w:r>
        <w:t xml:space="preserve"> are consolidated into a single award-level observation using the aggregation rules specified in Chapter 3, Section 3.3.4. This step transforms the dataset from the transaction level (multiple rows per contract) to the award level (one row per contract).</w:t>
      </w:r>
    </w:p>
    <w:p>
      <w:pPr>
        <w:ind w:firstLine="720"/>
      </w:pPr>
      <w:r>
        <w:rPr>
          <w:b/>
        </w:rPr>
        <w:t>Step 8: Missing Data Exclusion</w:t>
      </w:r>
      <w:r>
        <w:t xml:space="preserve"> Awards missing critical variables are excluded. The most common sources of missing data are:</w:t>
      </w:r>
    </w:p>
    <w:p>
      <w:pPr>
        <w:pStyle w:val="ListBullet"/>
      </w:pPr>
      <w:r>
        <w:rPr>
          <w:rFonts w:ascii="Courier New" w:hAnsi="Courier New"/>
          <w:sz w:val="20"/>
        </w:rPr>
        <w:t>number_of_offers_received</w:t>
      </w:r>
      <w:r>
        <w:t>: Occasionally unreported, particularly for task orders issued under pre-competed vehicles.</w:t>
      </w:r>
    </w:p>
    <w:p>
      <w:pPr>
        <w:pStyle w:val="ListBullet"/>
      </w:pPr>
      <w:r>
        <w:t xml:space="preserve">Initial financial values: Rare, but some records have null or zero values for </w:t>
      </w:r>
      <w:r>
        <w:rPr>
          <w:rFonts w:ascii="Courier New" w:hAnsi="Courier New"/>
          <w:sz w:val="20"/>
        </w:rPr>
        <w:t>base_exercised_options_value</w:t>
      </w:r>
      <w:r>
        <w:t xml:space="preserve"> at the initial award, which prevents computation of cost growth.</w:t>
      </w:r>
    </w:p>
    <w:p>
      <w:pPr>
        <w:pStyle w:val="ListBullet"/>
      </w:pPr>
      <w:r>
        <w:rPr>
          <w:rFonts w:ascii="Courier New" w:hAnsi="Courier New"/>
          <w:sz w:val="20"/>
        </w:rPr>
        <w:t>naics_code</w:t>
      </w:r>
      <w:r>
        <w:t>: Very rare; virtually all contract actions include a NAICS code.</w:t>
      </w:r>
    </w:p>
    <w:p>
      <w:pPr>
        <w:ind w:firstLine="720"/>
      </w:pPr>
      <w:r>
        <w:t>Missing data rates are reported for each variable. If the overall rate of exclusion due to missing data exceeds 5%, multiple imputation is considered as a sensitivity analysis.</w:t>
      </w:r>
    </w:p>
    <w:p>
      <w:pPr>
        <w:pStyle w:val="Heading3"/>
      </w:pPr>
      <w:r>
        <w:rPr>
          <w:rFonts w:ascii="Times New Roman" w:hAnsi="Times New Roman"/>
          <w:color w:val="000000"/>
        </w:rPr>
        <w:t>G.3 Sample Composition</w:t>
      </w:r>
    </w:p>
    <w:p>
      <w:pPr>
        <w:ind w:firstLine="720"/>
      </w:pPr>
      <w:r>
        <w:rPr>
          <w:i/>
        </w:rPr>
        <w:t>Note: Actual composition statistics will be inserted upon completion of data processing.</w:t>
      </w:r>
    </w:p>
    <w:p>
      <w:pPr>
        <w:ind w:firstLine="720"/>
      </w:pPr>
      <w:r>
        <w:rPr>
          <w:b/>
        </w:rPr>
        <w:t>By Source Selection Method:</w:t>
      </w:r>
    </w:p>
    <w:p>
      <w:pPr>
        <w:pStyle w:val="ListBullet"/>
      </w:pPr>
      <w:r>
        <w:t>Tradeoff (TO): Estimated ~40–55% of sample</w:t>
      </w:r>
    </w:p>
    <w:p>
      <w:pPr>
        <w:pStyle w:val="ListBullet"/>
      </w:pPr>
      <w:r>
        <w:t>LPTA: Estimated ~45–60% of sample</w:t>
      </w:r>
    </w:p>
    <w:p>
      <w:pPr>
        <w:ind w:firstLine="720"/>
      </w:pPr>
      <w:r>
        <w:rPr>
          <w:b/>
        </w:rPr>
        <w:t>By NAICS Sector:</w:t>
      </w:r>
    </w:p>
    <w:p>
      <w:pPr>
        <w:pStyle w:val="ListBullet"/>
      </w:pPr>
      <w:r>
        <w:t>IT Services (511, 518): Estimated ~20–30%</w:t>
      </w:r>
    </w:p>
    <w:p>
      <w:pPr>
        <w:pStyle w:val="ListBullet"/>
      </w:pPr>
      <w:r>
        <w:t>Management and Technical Consulting (5416, 5417): Estimated ~15–25%</w:t>
      </w:r>
    </w:p>
    <w:p>
      <w:pPr>
        <w:pStyle w:val="ListBullet"/>
      </w:pPr>
      <w:r>
        <w:t>Other Professional Services (remaining 541): Estimated ~25–35%</w:t>
      </w:r>
    </w:p>
    <w:p>
      <w:pPr>
        <w:pStyle w:val="ListBullet"/>
      </w:pPr>
      <w:r>
        <w:t>Administrative Support (561): Estimated ~15–20%</w:t>
      </w:r>
    </w:p>
    <w:p>
      <w:pPr>
        <w:ind w:firstLine="720"/>
      </w:pPr>
      <w:r>
        <w:rPr>
          <w:b/>
        </w:rPr>
        <w:t>By Agency (top 5 by volume):</w:t>
      </w:r>
    </w:p>
    <w:p>
      <w:pPr>
        <w:pStyle w:val="ListBullet"/>
      </w:pPr>
      <w:r>
        <w:t>Department of Defense (all components): Estimated ~35–45%</w:t>
      </w:r>
    </w:p>
    <w:p>
      <w:pPr>
        <w:pStyle w:val="ListBullet"/>
      </w:pPr>
      <w:r>
        <w:t>Department of Health and Human Services: Estimated ~8–12%</w:t>
      </w:r>
    </w:p>
    <w:p>
      <w:pPr>
        <w:pStyle w:val="ListBullet"/>
      </w:pPr>
      <w:r>
        <w:t>Department of Homeland Security: Estimated ~6–10%</w:t>
      </w:r>
    </w:p>
    <w:p>
      <w:pPr>
        <w:pStyle w:val="ListBullet"/>
      </w:pPr>
      <w:r>
        <w:t>Department of Veterans Affairs: Estimated ~5–8%</w:t>
      </w:r>
    </w:p>
    <w:p>
      <w:pPr>
        <w:pStyle w:val="ListBullet"/>
      </w:pPr>
      <w:r>
        <w:t>General Services Administration: Estimated ~4–7%</w:t>
      </w:r>
    </w:p>
    <w:p>
      <w:pPr>
        <w:ind w:firstLine="720"/>
      </w:pPr>
      <w:r>
        <w:rPr>
          <w:b/>
        </w:rPr>
        <w:t>By Fiscal Year:</w:t>
      </w:r>
    </w:p>
    <w:p>
      <w:pPr>
        <w:pStyle w:val="ListBullet"/>
      </w:pPr>
      <w:r>
        <w:t>FY2020: Estimated ~14–18%</w:t>
      </w:r>
    </w:p>
    <w:p>
      <w:pPr>
        <w:pStyle w:val="ListBullet"/>
      </w:pPr>
      <w:r>
        <w:t>FY2021: Estimated ~15–18%</w:t>
      </w:r>
    </w:p>
    <w:p>
      <w:pPr>
        <w:pStyle w:val="ListBullet"/>
      </w:pPr>
      <w:r>
        <w:t>FY2022: Estimated ~16–18%</w:t>
      </w:r>
    </w:p>
    <w:p>
      <w:pPr>
        <w:pStyle w:val="ListBullet"/>
      </w:pPr>
      <w:r>
        <w:t>FY2023: Estimated ~16–18%</w:t>
      </w:r>
    </w:p>
    <w:p>
      <w:pPr>
        <w:pStyle w:val="ListBullet"/>
      </w:pPr>
      <w:r>
        <w:t>FY2024: Estimated ~16–18%</w:t>
      </w:r>
    </w:p>
    <w:p>
      <w:pPr>
        <w:pStyle w:val="ListBullet"/>
      </w:pPr>
      <w:r>
        <w:t>FY2025: Estimated ~14–18%</w:t>
      </w:r>
    </w:p>
    <w:p>
      <w:pPr>
        <w:ind w:firstLine="720"/>
      </w:pPr>
      <w:r>
        <w:rPr>
          <w:b/>
        </w:rPr>
        <w:t>By Contract Type:</w:t>
      </w:r>
    </w:p>
    <w:p>
      <w:pPr>
        <w:pStyle w:val="ListBullet"/>
      </w:pPr>
      <w:r>
        <w:t>Firm-Fixed-Price: Estimated ~50–65%</w:t>
      </w:r>
    </w:p>
    <w:p>
      <w:pPr>
        <w:pStyle w:val="ListBullet"/>
      </w:pPr>
      <w:r>
        <w:t>Cost-Plus-Fixed-Fee: Estimated ~15–25%</w:t>
      </w:r>
    </w:p>
    <w:p>
      <w:pPr>
        <w:pStyle w:val="ListBullet"/>
      </w:pPr>
      <w:r>
        <w:t>Time-and-Materials / Labor-Hour: Estimated ~10–15%</w:t>
      </w:r>
    </w:p>
    <w:p>
      <w:pPr>
        <w:pStyle w:val="ListBullet"/>
      </w:pPr>
      <w:r>
        <w:t>Other: Estimated ~5–10%</w:t>
      </w:r>
    </w:p>
    <w:p>
      <w:pPr>
        <w:ind w:firstLine="720"/>
      </w:pPr>
      <w:r>
        <w:rPr>
          <w:b/>
        </w:rPr>
        <w:t>By IDV Status:</w:t>
      </w:r>
    </w:p>
    <w:p>
      <w:pPr>
        <w:pStyle w:val="ListBullet"/>
      </w:pPr>
      <w:r>
        <w:t>Standalone (definitive) contracts: Estimated ~30–40%</w:t>
      </w:r>
    </w:p>
    <w:p>
      <w:pPr>
        <w:pStyle w:val="ListBullet"/>
      </w:pPr>
      <w:r>
        <w:t>Task/delivery orders under IDVs: Estimated ~60–70%</w:t>
      </w:r>
    </w:p>
    <w:p>
      <w:pPr>
        <w:pStyle w:val="Heading3"/>
      </w:pPr>
      <w:r>
        <w:rPr>
          <w:rFonts w:ascii="Times New Roman" w:hAnsi="Times New Roman"/>
          <w:color w:val="000000"/>
        </w:rPr>
        <w:t>G.4 Comparison of Included and Excluded Observations</w:t>
      </w:r>
    </w:p>
    <w:p>
      <w:pPr>
        <w:ind w:firstLine="720"/>
      </w:pPr>
      <w:r>
        <w:t>To assess potential selection effects from the filtering process, descriptive statistics for key variables are compared between the final analytic sample and the excluded observations (from Steps 3–6). Systematic differences between included and excluded observations are noted and discussed in the limitations section (Chapter 5) as potential threats to external validity.</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pPr>
              <w:spacing w:line="240" w:lineRule="auto"/>
            </w:pPr>
            <w:r>
              <w:rPr>
                <w:rFonts w:ascii="Times New Roman" w:hAnsi="Times New Roman"/>
                <w:b/>
                <w:sz w:val="20"/>
              </w:rPr>
              <w:t>Variable</w:t>
            </w:r>
          </w:p>
        </w:tc>
        <w:tc>
          <w:tcPr>
            <w:tcW w:type="dxa" w:w="2160"/>
          </w:tcPr>
          <w:p>
            <w:pPr>
              <w:spacing w:line="240" w:lineRule="auto"/>
            </w:pPr>
            <w:r>
              <w:rPr>
                <w:rFonts w:ascii="Times New Roman" w:hAnsi="Times New Roman"/>
                <w:b/>
                <w:sz w:val="20"/>
              </w:rPr>
              <w:t>Included Sample (Mean/Proportion)</w:t>
            </w:r>
          </w:p>
        </w:tc>
        <w:tc>
          <w:tcPr>
            <w:tcW w:type="dxa" w:w="2160"/>
          </w:tcPr>
          <w:p>
            <w:pPr>
              <w:spacing w:line="240" w:lineRule="auto"/>
            </w:pPr>
            <w:r>
              <w:rPr>
                <w:rFonts w:ascii="Times New Roman" w:hAnsi="Times New Roman"/>
                <w:b/>
                <w:sz w:val="20"/>
              </w:rPr>
              <w:t>Excluded Sample (Mean/Proportion)</w:t>
            </w:r>
          </w:p>
        </w:tc>
        <w:tc>
          <w:tcPr>
            <w:tcW w:type="dxa" w:w="2160"/>
          </w:tcPr>
          <w:p>
            <w:pPr>
              <w:spacing w:line="240" w:lineRule="auto"/>
            </w:pPr>
            <w:r>
              <w:rPr>
                <w:rFonts w:ascii="Times New Roman" w:hAnsi="Times New Roman"/>
                <w:b/>
                <w:sz w:val="20"/>
              </w:rPr>
              <w:t>Difference</w:t>
            </w:r>
          </w:p>
        </w:tc>
      </w:tr>
      <w:tr>
        <w:tc>
          <w:tcPr>
            <w:tcW w:type="dxa" w:w="2160"/>
          </w:tcPr>
          <w:p>
            <w:pPr>
              <w:spacing w:line="240" w:lineRule="auto"/>
            </w:pPr>
            <w:r>
              <w:rPr>
                <w:rFonts w:ascii="Times New Roman" w:hAnsi="Times New Roman"/>
                <w:sz w:val="20"/>
              </w:rPr>
              <w:t>Award Amount ($)</w:t>
            </w:r>
          </w:p>
        </w:tc>
        <w:tc>
          <w:tcPr>
            <w:tcW w:type="dxa" w:w="2160"/>
          </w:tcPr>
          <w:p>
            <w:pPr>
              <w:spacing w:line="240" w:lineRule="auto"/>
            </w:pPr>
            <w:r>
              <w:rPr>
                <w:rFonts w:ascii="Times New Roman" w:hAnsi="Times New Roman"/>
                <w:sz w:val="20"/>
              </w:rPr>
              <w:t>–</w:t>
            </w:r>
          </w:p>
        </w:tc>
        <w:tc>
          <w:tcPr>
            <w:tcW w:type="dxa" w:w="2160"/>
          </w:tcPr>
          <w:p>
            <w:pPr>
              <w:spacing w:line="240" w:lineRule="auto"/>
            </w:pPr>
            <w:r>
              <w:rPr>
                <w:rFonts w:ascii="Times New Roman" w:hAnsi="Times New Roman"/>
                <w:sz w:val="20"/>
              </w:rPr>
              <w:t>–</w:t>
            </w:r>
          </w:p>
        </w:tc>
        <w:tc>
          <w:tcPr>
            <w:tcW w:type="dxa" w:w="2160"/>
          </w:tcPr>
          <w:p>
            <w:pPr>
              <w:spacing w:line="240" w:lineRule="auto"/>
            </w:pPr>
            <w:r>
              <w:rPr>
                <w:rFonts w:ascii="Times New Roman" w:hAnsi="Times New Roman"/>
                <w:sz w:val="20"/>
              </w:rPr>
              <w:t>–</w:t>
            </w:r>
          </w:p>
        </w:tc>
      </w:tr>
      <w:tr>
        <w:tc>
          <w:tcPr>
            <w:tcW w:type="dxa" w:w="2160"/>
          </w:tcPr>
          <w:p>
            <w:pPr>
              <w:spacing w:line="240" w:lineRule="auto"/>
            </w:pPr>
            <w:r>
              <w:rPr>
                <w:rFonts w:ascii="Times New Roman" w:hAnsi="Times New Roman"/>
                <w:sz w:val="20"/>
              </w:rPr>
              <w:t>Number of Offers</w:t>
            </w:r>
          </w:p>
        </w:tc>
        <w:tc>
          <w:tcPr>
            <w:tcW w:type="dxa" w:w="2160"/>
          </w:tcPr>
          <w:p>
            <w:pPr>
              <w:spacing w:line="240" w:lineRule="auto"/>
            </w:pPr>
            <w:r>
              <w:rPr>
                <w:rFonts w:ascii="Times New Roman" w:hAnsi="Times New Roman"/>
                <w:sz w:val="20"/>
              </w:rPr>
              <w:t>–</w:t>
            </w:r>
          </w:p>
        </w:tc>
        <w:tc>
          <w:tcPr>
            <w:tcW w:type="dxa" w:w="2160"/>
          </w:tcPr>
          <w:p>
            <w:pPr>
              <w:spacing w:line="240" w:lineRule="auto"/>
            </w:pPr>
            <w:r>
              <w:rPr>
                <w:rFonts w:ascii="Times New Roman" w:hAnsi="Times New Roman"/>
                <w:sz w:val="20"/>
              </w:rPr>
              <w:t>–</w:t>
            </w:r>
          </w:p>
        </w:tc>
        <w:tc>
          <w:tcPr>
            <w:tcW w:type="dxa" w:w="2160"/>
          </w:tcPr>
          <w:p>
            <w:pPr>
              <w:spacing w:line="240" w:lineRule="auto"/>
            </w:pPr>
            <w:r>
              <w:rPr>
                <w:rFonts w:ascii="Times New Roman" w:hAnsi="Times New Roman"/>
                <w:sz w:val="20"/>
              </w:rPr>
              <w:t>–</w:t>
            </w:r>
          </w:p>
        </w:tc>
      </w:tr>
      <w:tr>
        <w:tc>
          <w:tcPr>
            <w:tcW w:type="dxa" w:w="2160"/>
          </w:tcPr>
          <w:p>
            <w:pPr>
              <w:spacing w:line="240" w:lineRule="auto"/>
            </w:pPr>
            <w:r>
              <w:rPr>
                <w:rFonts w:ascii="Times New Roman" w:hAnsi="Times New Roman"/>
                <w:sz w:val="20"/>
              </w:rPr>
              <w:t>DoD (proportion)</w:t>
            </w:r>
          </w:p>
        </w:tc>
        <w:tc>
          <w:tcPr>
            <w:tcW w:type="dxa" w:w="2160"/>
          </w:tcPr>
          <w:p>
            <w:pPr>
              <w:spacing w:line="240" w:lineRule="auto"/>
            </w:pPr>
            <w:r>
              <w:rPr>
                <w:rFonts w:ascii="Times New Roman" w:hAnsi="Times New Roman"/>
                <w:sz w:val="20"/>
              </w:rPr>
              <w:t>–</w:t>
            </w:r>
          </w:p>
        </w:tc>
        <w:tc>
          <w:tcPr>
            <w:tcW w:type="dxa" w:w="2160"/>
          </w:tcPr>
          <w:p>
            <w:pPr>
              <w:spacing w:line="240" w:lineRule="auto"/>
            </w:pPr>
            <w:r>
              <w:rPr>
                <w:rFonts w:ascii="Times New Roman" w:hAnsi="Times New Roman"/>
                <w:sz w:val="20"/>
              </w:rPr>
              <w:t>–</w:t>
            </w:r>
          </w:p>
        </w:tc>
        <w:tc>
          <w:tcPr>
            <w:tcW w:type="dxa" w:w="2160"/>
          </w:tcPr>
          <w:p>
            <w:pPr>
              <w:spacing w:line="240" w:lineRule="auto"/>
            </w:pPr>
            <w:r>
              <w:rPr>
                <w:rFonts w:ascii="Times New Roman" w:hAnsi="Times New Roman"/>
                <w:sz w:val="20"/>
              </w:rPr>
              <w:t>–</w:t>
            </w:r>
          </w:p>
        </w:tc>
      </w:tr>
      <w:tr>
        <w:tc>
          <w:tcPr>
            <w:tcW w:type="dxa" w:w="2160"/>
          </w:tcPr>
          <w:p>
            <w:pPr>
              <w:spacing w:line="240" w:lineRule="auto"/>
            </w:pPr>
            <w:r>
              <w:rPr>
                <w:rFonts w:ascii="Times New Roman" w:hAnsi="Times New Roman"/>
                <w:sz w:val="20"/>
              </w:rPr>
              <w:t>FFP (proportion)</w:t>
            </w:r>
          </w:p>
        </w:tc>
        <w:tc>
          <w:tcPr>
            <w:tcW w:type="dxa" w:w="2160"/>
          </w:tcPr>
          <w:p>
            <w:pPr>
              <w:spacing w:line="240" w:lineRule="auto"/>
            </w:pPr>
            <w:r>
              <w:rPr>
                <w:rFonts w:ascii="Times New Roman" w:hAnsi="Times New Roman"/>
                <w:sz w:val="20"/>
              </w:rPr>
              <w:t>–</w:t>
            </w:r>
          </w:p>
        </w:tc>
        <w:tc>
          <w:tcPr>
            <w:tcW w:type="dxa" w:w="2160"/>
          </w:tcPr>
          <w:p>
            <w:pPr>
              <w:spacing w:line="240" w:lineRule="auto"/>
            </w:pPr>
            <w:r>
              <w:rPr>
                <w:rFonts w:ascii="Times New Roman" w:hAnsi="Times New Roman"/>
                <w:sz w:val="20"/>
              </w:rPr>
              <w:t>–</w:t>
            </w:r>
          </w:p>
        </w:tc>
        <w:tc>
          <w:tcPr>
            <w:tcW w:type="dxa" w:w="2160"/>
          </w:tcPr>
          <w:p>
            <w:pPr>
              <w:spacing w:line="240" w:lineRule="auto"/>
            </w:pPr>
            <w:r>
              <w:rPr>
                <w:rFonts w:ascii="Times New Roman" w:hAnsi="Times New Roman"/>
                <w:sz w:val="20"/>
              </w:rPr>
              <w:t>–</w:t>
            </w:r>
          </w:p>
        </w:tc>
      </w:tr>
      <w:tr>
        <w:tc>
          <w:tcPr>
            <w:tcW w:type="dxa" w:w="2160"/>
          </w:tcPr>
          <w:p>
            <w:pPr>
              <w:spacing w:line="240" w:lineRule="auto"/>
            </w:pPr>
            <w:r>
              <w:rPr>
                <w:rFonts w:ascii="Times New Roman" w:hAnsi="Times New Roman"/>
                <w:sz w:val="20"/>
              </w:rPr>
              <w:t>FY Distribution</w:t>
            </w:r>
          </w:p>
        </w:tc>
        <w:tc>
          <w:tcPr>
            <w:tcW w:type="dxa" w:w="2160"/>
          </w:tcPr>
          <w:p>
            <w:pPr>
              <w:spacing w:line="240" w:lineRule="auto"/>
            </w:pPr>
            <w:r>
              <w:rPr>
                <w:rFonts w:ascii="Times New Roman" w:hAnsi="Times New Roman"/>
                <w:sz w:val="20"/>
              </w:rPr>
              <w:t>–</w:t>
            </w:r>
          </w:p>
        </w:tc>
        <w:tc>
          <w:tcPr>
            <w:tcW w:type="dxa" w:w="2160"/>
          </w:tcPr>
          <w:p>
            <w:pPr>
              <w:spacing w:line="240" w:lineRule="auto"/>
            </w:pPr>
            <w:r>
              <w:rPr>
                <w:rFonts w:ascii="Times New Roman" w:hAnsi="Times New Roman"/>
                <w:sz w:val="20"/>
              </w:rPr>
              <w:t>–</w:t>
            </w:r>
          </w:p>
        </w:tc>
        <w:tc>
          <w:tcPr>
            <w:tcW w:type="dxa" w:w="2160"/>
          </w:tcPr>
          <w:p>
            <w:pPr>
              <w:spacing w:line="240" w:lineRule="auto"/>
            </w:pPr>
            <w:r>
              <w:rPr>
                <w:rFonts w:ascii="Times New Roman" w:hAnsi="Times New Roman"/>
                <w:sz w:val="20"/>
              </w:rPr>
              <w:t>–</w:t>
            </w:r>
          </w:p>
        </w:tc>
      </w:tr>
    </w:tbl>
    <w:p>
      <w:r>
        <w:br w:type="page"/>
      </w:r>
    </w:p>
    <w:p>
      <w:pPr>
        <w:pStyle w:val="Heading1"/>
      </w:pPr>
      <w:r>
        <w:t>Figures</w:t>
      </w:r>
    </w:p>
    <w:p>
      <w:pPr>
        <w:jc w:val="center"/>
      </w:pPr>
      <w:r>
        <w:drawing>
          <wp:inline xmlns:a="http://schemas.openxmlformats.org/drawingml/2006/main" xmlns:pic="http://schemas.openxmlformats.org/drawingml/2006/picture">
            <wp:extent cx="5029200" cy="2986722"/>
            <wp:docPr id="1" name="Picture 1"/>
            <wp:cNvGraphicFramePr>
              <a:graphicFrameLocks noChangeAspect="1"/>
            </wp:cNvGraphicFramePr>
            <a:graphic>
              <a:graphicData uri="http://schemas.openxmlformats.org/drawingml/2006/picture">
                <pic:pic>
                  <pic:nvPicPr>
                    <pic:cNvPr id="0" name="fig_4_1_procurement_design_distribution.png"/>
                    <pic:cNvPicPr/>
                  </pic:nvPicPr>
                  <pic:blipFill>
                    <a:blip r:embed="rId9"/>
                    <a:stretch>
                      <a:fillRect/>
                    </a:stretch>
                  </pic:blipFill>
                  <pic:spPr>
                    <a:xfrm>
                      <a:off x="0" y="0"/>
                      <a:ext cx="5029200" cy="2986722"/>
                    </a:xfrm>
                    <a:prstGeom prst="rect"/>
                  </pic:spPr>
                </pic:pic>
              </a:graphicData>
            </a:graphic>
          </wp:inline>
        </w:drawing>
      </w:r>
    </w:p>
    <w:p>
      <w:pPr>
        <w:spacing w:before="120" w:after="240"/>
        <w:jc w:val="center"/>
      </w:pPr>
      <w:r>
        <w:rPr>
          <w:rFonts w:ascii="Times New Roman" w:hAnsi="Times New Roman"/>
          <w:i/>
          <w:sz w:val="20"/>
        </w:rPr>
        <w:t xml:space="preserve">Figure 4.1. </w:t>
      </w:r>
      <w:r>
        <w:rPr>
          <w:rFonts w:ascii="Times New Roman" w:hAnsi="Times New Roman"/>
          <w:i/>
          <w:sz w:val="20"/>
        </w:rPr>
        <w:t>Distribution of Awards by Procurement Design Category</w:t>
      </w:r>
    </w:p>
    <w:p>
      <w:pPr>
        <w:jc w:val="center"/>
      </w:pPr>
      <w:r>
        <w:drawing>
          <wp:inline xmlns:a="http://schemas.openxmlformats.org/drawingml/2006/main" xmlns:pic="http://schemas.openxmlformats.org/drawingml/2006/picture">
            <wp:extent cx="5029200" cy="2994783"/>
            <wp:docPr id="2" name="Picture 2"/>
            <wp:cNvGraphicFramePr>
              <a:graphicFrameLocks noChangeAspect="1"/>
            </wp:cNvGraphicFramePr>
            <a:graphic>
              <a:graphicData uri="http://schemas.openxmlformats.org/drawingml/2006/picture">
                <pic:pic>
                  <pic:nvPicPr>
                    <pic:cNvPr id="0" name="fig_4_2_award_amount_distribution.png"/>
                    <pic:cNvPicPr/>
                  </pic:nvPicPr>
                  <pic:blipFill>
                    <a:blip r:embed="rId10"/>
                    <a:stretch>
                      <a:fillRect/>
                    </a:stretch>
                  </pic:blipFill>
                  <pic:spPr>
                    <a:xfrm>
                      <a:off x="0" y="0"/>
                      <a:ext cx="5029200" cy="2994783"/>
                    </a:xfrm>
                    <a:prstGeom prst="rect"/>
                  </pic:spPr>
                </pic:pic>
              </a:graphicData>
            </a:graphic>
          </wp:inline>
        </w:drawing>
      </w:r>
    </w:p>
    <w:p>
      <w:pPr>
        <w:spacing w:before="120" w:after="240"/>
        <w:jc w:val="center"/>
      </w:pPr>
      <w:r>
        <w:rPr>
          <w:rFonts w:ascii="Times New Roman" w:hAnsi="Times New Roman"/>
          <w:i/>
          <w:sz w:val="20"/>
        </w:rPr>
        <w:t xml:space="preserve">Figure 4.2. </w:t>
      </w:r>
      <w:r>
        <w:rPr>
          <w:rFonts w:ascii="Times New Roman" w:hAnsi="Times New Roman"/>
          <w:i/>
          <w:sz w:val="20"/>
        </w:rPr>
        <w:t>Distribution of Award Amounts by Procurement Design</w:t>
      </w:r>
    </w:p>
    <w:p>
      <w:pPr>
        <w:jc w:val="center"/>
      </w:pPr>
      <w:r>
        <w:drawing>
          <wp:inline xmlns:a="http://schemas.openxmlformats.org/drawingml/2006/main" xmlns:pic="http://schemas.openxmlformats.org/drawingml/2006/picture">
            <wp:extent cx="5029200" cy="2987996"/>
            <wp:docPr id="3" name="Picture 3"/>
            <wp:cNvGraphicFramePr>
              <a:graphicFrameLocks noChangeAspect="1"/>
            </wp:cNvGraphicFramePr>
            <a:graphic>
              <a:graphicData uri="http://schemas.openxmlformats.org/drawingml/2006/picture">
                <pic:pic>
                  <pic:nvPicPr>
                    <pic:cNvPr id="0" name="fig_4_3_cost_growth_boxplot.png"/>
                    <pic:cNvPicPr/>
                  </pic:nvPicPr>
                  <pic:blipFill>
                    <a:blip r:embed="rId11"/>
                    <a:stretch>
                      <a:fillRect/>
                    </a:stretch>
                  </pic:blipFill>
                  <pic:spPr>
                    <a:xfrm>
                      <a:off x="0" y="0"/>
                      <a:ext cx="5029200" cy="2987996"/>
                    </a:xfrm>
                    <a:prstGeom prst="rect"/>
                  </pic:spPr>
                </pic:pic>
              </a:graphicData>
            </a:graphic>
          </wp:inline>
        </w:drawing>
      </w:r>
    </w:p>
    <w:p>
      <w:pPr>
        <w:spacing w:before="120" w:after="240"/>
        <w:jc w:val="center"/>
      </w:pPr>
      <w:r>
        <w:rPr>
          <w:rFonts w:ascii="Times New Roman" w:hAnsi="Times New Roman"/>
          <w:i/>
          <w:sz w:val="20"/>
        </w:rPr>
        <w:t xml:space="preserve">Figure 4.3. </w:t>
      </w:r>
      <w:r>
        <w:rPr>
          <w:rFonts w:ascii="Times New Roman" w:hAnsi="Times New Roman"/>
          <w:i/>
          <w:sz w:val="20"/>
        </w:rPr>
        <w:t>Cost Growth Distribution by Procurement Design</w:t>
      </w:r>
    </w:p>
    <w:p>
      <w:pPr>
        <w:jc w:val="center"/>
      </w:pPr>
      <w:r>
        <w:drawing>
          <wp:inline xmlns:a="http://schemas.openxmlformats.org/drawingml/2006/main" xmlns:pic="http://schemas.openxmlformats.org/drawingml/2006/picture">
            <wp:extent cx="5029200" cy="2989005"/>
            <wp:docPr id="4" name="Picture 4"/>
            <wp:cNvGraphicFramePr>
              <a:graphicFrameLocks noChangeAspect="1"/>
            </wp:cNvGraphicFramePr>
            <a:graphic>
              <a:graphicData uri="http://schemas.openxmlformats.org/drawingml/2006/picture">
                <pic:pic>
                  <pic:nvPicPr>
                    <pic:cNvPr id="0" name="fig_4_4_single_bid_rate.png"/>
                    <pic:cNvPicPr/>
                  </pic:nvPicPr>
                  <pic:blipFill>
                    <a:blip r:embed="rId12"/>
                    <a:stretch>
                      <a:fillRect/>
                    </a:stretch>
                  </pic:blipFill>
                  <pic:spPr>
                    <a:xfrm>
                      <a:off x="0" y="0"/>
                      <a:ext cx="5029200" cy="2989005"/>
                    </a:xfrm>
                    <a:prstGeom prst="rect"/>
                  </pic:spPr>
                </pic:pic>
              </a:graphicData>
            </a:graphic>
          </wp:inline>
        </w:drawing>
      </w:r>
    </w:p>
    <w:p>
      <w:pPr>
        <w:spacing w:before="120" w:after="240"/>
        <w:jc w:val="center"/>
      </w:pPr>
      <w:r>
        <w:rPr>
          <w:rFonts w:ascii="Times New Roman" w:hAnsi="Times New Roman"/>
          <w:i/>
          <w:sz w:val="20"/>
        </w:rPr>
        <w:t xml:space="preserve">Figure 4.4. </w:t>
      </w:r>
      <w:r>
        <w:rPr>
          <w:rFonts w:ascii="Times New Roman" w:hAnsi="Times New Roman"/>
          <w:i/>
          <w:sz w:val="20"/>
        </w:rPr>
        <w:t>Single-Bid Rate by Procurement Design Category</w:t>
      </w:r>
    </w:p>
    <w:p>
      <w:pPr>
        <w:jc w:val="center"/>
      </w:pPr>
      <w:r>
        <w:drawing>
          <wp:inline xmlns:a="http://schemas.openxmlformats.org/drawingml/2006/main" xmlns:pic="http://schemas.openxmlformats.org/drawingml/2006/picture">
            <wp:extent cx="5029200" cy="2993087"/>
            <wp:docPr id="5" name="Picture 5"/>
            <wp:cNvGraphicFramePr>
              <a:graphicFrameLocks noChangeAspect="1"/>
            </wp:cNvGraphicFramePr>
            <a:graphic>
              <a:graphicData uri="http://schemas.openxmlformats.org/drawingml/2006/picture">
                <pic:pic>
                  <pic:nvPicPr>
                    <pic:cNvPr id="0" name="fig_4_5_offers_distribution.png"/>
                    <pic:cNvPicPr/>
                  </pic:nvPicPr>
                  <pic:blipFill>
                    <a:blip r:embed="rId13"/>
                    <a:stretch>
                      <a:fillRect/>
                    </a:stretch>
                  </pic:blipFill>
                  <pic:spPr>
                    <a:xfrm>
                      <a:off x="0" y="0"/>
                      <a:ext cx="5029200" cy="2993087"/>
                    </a:xfrm>
                    <a:prstGeom prst="rect"/>
                  </pic:spPr>
                </pic:pic>
              </a:graphicData>
            </a:graphic>
          </wp:inline>
        </w:drawing>
      </w:r>
    </w:p>
    <w:p>
      <w:pPr>
        <w:spacing w:before="120" w:after="240"/>
        <w:jc w:val="center"/>
      </w:pPr>
      <w:r>
        <w:rPr>
          <w:rFonts w:ascii="Times New Roman" w:hAnsi="Times New Roman"/>
          <w:i/>
          <w:sz w:val="20"/>
        </w:rPr>
        <w:t xml:space="preserve">Figure 4.5. </w:t>
      </w:r>
      <w:r>
        <w:rPr>
          <w:rFonts w:ascii="Times New Roman" w:hAnsi="Times New Roman"/>
          <w:i/>
          <w:sz w:val="20"/>
        </w:rPr>
        <w:t>Distribution of Number of Offers Received</w:t>
      </w:r>
    </w:p>
    <w:p>
      <w:pPr>
        <w:jc w:val="center"/>
      </w:pPr>
      <w:r>
        <w:drawing>
          <wp:inline xmlns:a="http://schemas.openxmlformats.org/drawingml/2006/main" xmlns:pic="http://schemas.openxmlformats.org/drawingml/2006/picture">
            <wp:extent cx="5029200" cy="1793555"/>
            <wp:docPr id="6" name="Picture 6"/>
            <wp:cNvGraphicFramePr>
              <a:graphicFrameLocks noChangeAspect="1"/>
            </wp:cNvGraphicFramePr>
            <a:graphic>
              <a:graphicData uri="http://schemas.openxmlformats.org/drawingml/2006/picture">
                <pic:pic>
                  <pic:nvPicPr>
                    <pic:cNvPr id="0" name="fig_4_6_psm_distribution.png"/>
                    <pic:cNvPicPr/>
                  </pic:nvPicPr>
                  <pic:blipFill>
                    <a:blip r:embed="rId14"/>
                    <a:stretch>
                      <a:fillRect/>
                    </a:stretch>
                  </pic:blipFill>
                  <pic:spPr>
                    <a:xfrm>
                      <a:off x="0" y="0"/>
                      <a:ext cx="5029200" cy="1793555"/>
                    </a:xfrm>
                    <a:prstGeom prst="rect"/>
                  </pic:spPr>
                </pic:pic>
              </a:graphicData>
            </a:graphic>
          </wp:inline>
        </w:drawing>
      </w:r>
    </w:p>
    <w:p>
      <w:pPr>
        <w:spacing w:before="120" w:after="240"/>
        <w:jc w:val="center"/>
      </w:pPr>
      <w:r>
        <w:rPr>
          <w:rFonts w:ascii="Times New Roman" w:hAnsi="Times New Roman"/>
          <w:i/>
          <w:sz w:val="20"/>
        </w:rPr>
        <w:t xml:space="preserve">Figure 4.6. </w:t>
      </w:r>
      <w:r>
        <w:rPr>
          <w:rFonts w:ascii="Times New Roman" w:hAnsi="Times New Roman"/>
          <w:i/>
          <w:sz w:val="20"/>
        </w:rPr>
        <w:t>Propensity Score Distribution Before and After Matching</w:t>
      </w:r>
    </w:p>
    <w:p>
      <w:pPr>
        <w:jc w:val="center"/>
      </w:pPr>
      <w:r>
        <w:drawing>
          <wp:inline xmlns:a="http://schemas.openxmlformats.org/drawingml/2006/main" xmlns:pic="http://schemas.openxmlformats.org/drawingml/2006/picture">
            <wp:extent cx="5029200" cy="3754881"/>
            <wp:docPr id="7" name="Picture 7"/>
            <wp:cNvGraphicFramePr>
              <a:graphicFrameLocks noChangeAspect="1"/>
            </wp:cNvGraphicFramePr>
            <a:graphic>
              <a:graphicData uri="http://schemas.openxmlformats.org/drawingml/2006/picture">
                <pic:pic>
                  <pic:nvPicPr>
                    <pic:cNvPr id="0" name="fig_4_7_balance_plot.png"/>
                    <pic:cNvPicPr/>
                  </pic:nvPicPr>
                  <pic:blipFill>
                    <a:blip r:embed="rId15"/>
                    <a:stretch>
                      <a:fillRect/>
                    </a:stretch>
                  </pic:blipFill>
                  <pic:spPr>
                    <a:xfrm>
                      <a:off x="0" y="0"/>
                      <a:ext cx="5029200" cy="3754881"/>
                    </a:xfrm>
                    <a:prstGeom prst="rect"/>
                  </pic:spPr>
                </pic:pic>
              </a:graphicData>
            </a:graphic>
          </wp:inline>
        </w:drawing>
      </w:r>
    </w:p>
    <w:p>
      <w:pPr>
        <w:spacing w:before="120" w:after="240"/>
        <w:jc w:val="center"/>
      </w:pPr>
      <w:r>
        <w:rPr>
          <w:rFonts w:ascii="Times New Roman" w:hAnsi="Times New Roman"/>
          <w:i/>
          <w:sz w:val="20"/>
        </w:rPr>
        <w:t xml:space="preserve">Figure 4.7. </w:t>
      </w:r>
      <w:r>
        <w:rPr>
          <w:rFonts w:ascii="Times New Roman" w:hAnsi="Times New Roman"/>
          <w:i/>
          <w:sz w:val="20"/>
        </w:rPr>
        <w:t>Covariate Balance Before and After Matching</w:t>
      </w:r>
    </w:p>
    <w:p>
      <w:pPr>
        <w:jc w:val="center"/>
      </w:pPr>
      <w:r>
        <w:drawing>
          <wp:inline xmlns:a="http://schemas.openxmlformats.org/drawingml/2006/main" xmlns:pic="http://schemas.openxmlformats.org/drawingml/2006/picture">
            <wp:extent cx="5029200" cy="2993773"/>
            <wp:docPr id="8" name="Picture 8"/>
            <wp:cNvGraphicFramePr>
              <a:graphicFrameLocks noChangeAspect="1"/>
            </wp:cNvGraphicFramePr>
            <a:graphic>
              <a:graphicData uri="http://schemas.openxmlformats.org/drawingml/2006/picture">
                <pic:pic>
                  <pic:nvPicPr>
                    <pic:cNvPr id="0" name="fig_4_8_marginal_effects.png"/>
                    <pic:cNvPicPr/>
                  </pic:nvPicPr>
                  <pic:blipFill>
                    <a:blip r:embed="rId16"/>
                    <a:stretch>
                      <a:fillRect/>
                    </a:stretch>
                  </pic:blipFill>
                  <pic:spPr>
                    <a:xfrm>
                      <a:off x="0" y="0"/>
                      <a:ext cx="5029200" cy="2993773"/>
                    </a:xfrm>
                    <a:prstGeom prst="rect"/>
                  </pic:spPr>
                </pic:pic>
              </a:graphicData>
            </a:graphic>
          </wp:inline>
        </w:drawing>
      </w:r>
    </w:p>
    <w:p>
      <w:pPr>
        <w:spacing w:before="120" w:after="240"/>
        <w:jc w:val="center"/>
      </w:pPr>
      <w:r>
        <w:rPr>
          <w:rFonts w:ascii="Times New Roman" w:hAnsi="Times New Roman"/>
          <w:i/>
          <w:sz w:val="20"/>
        </w:rPr>
        <w:t xml:space="preserve">Figure 4.8. </w:t>
      </w:r>
      <w:r>
        <w:rPr>
          <w:rFonts w:ascii="Times New Roman" w:hAnsi="Times New Roman"/>
          <w:i/>
          <w:sz w:val="20"/>
        </w:rPr>
        <w:t>Marginal Effect of Quality-Evaluating Design by Award Size</w:t>
      </w:r>
    </w:p>
    <w:sectPr w:rsidR="00FC693F" w:rsidRPr="0006063C" w:rsidSect="00034616">
      <w:pgSz w:w="12240" w:h="15840"/>
      <w:pgMar w:top="1440" w:right="1440" w:bottom="1440" w:left="216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0" w:line="480" w:lineRule="auto"/>
    </w:pPr>
    <w:rPr>
      <w:rFonts w:ascii="Times New Roman" w:hAnsi="Times New Roman"/>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240" w:line="480" w:lineRule="auto"/>
      <w:jc w:val="center"/>
      <w:outlineLvl w:val="0"/>
    </w:pPr>
    <w:rPr>
      <w:rFonts w:asciiTheme="majorHAnsi" w:eastAsiaTheme="majorEastAsia" w:hAnsiTheme="majorHAnsi" w:cstheme="majorBidi" w:ascii="Times New Roman" w:hAnsi="Times New Roman"/>
      <w:b/>
      <w:bCs/>
      <w:color w:val="000000"/>
      <w:sz w:val="24"/>
      <w:szCs w:val="28"/>
    </w:rPr>
  </w:style>
  <w:style w:type="paragraph" w:styleId="Heading2">
    <w:name w:val="heading 2"/>
    <w:basedOn w:val="Normal"/>
    <w:next w:val="Normal"/>
    <w:link w:val="Heading2Char"/>
    <w:uiPriority w:val="9"/>
    <w:unhideWhenUsed/>
    <w:qFormat/>
    <w:rsid w:val="00FC693F"/>
    <w:pPr>
      <w:keepNext/>
      <w:keepLines/>
      <w:spacing w:before="240" w:after="120" w:line="480" w:lineRule="auto"/>
      <w:jc w:val="left"/>
      <w:outlineLvl w:val="1"/>
    </w:pPr>
    <w:rPr>
      <w:rFonts w:asciiTheme="majorHAnsi" w:eastAsiaTheme="majorEastAsia" w:hAnsiTheme="majorHAnsi" w:cstheme="majorBidi" w:ascii="Times New Roman" w:hAnsi="Times New Roman"/>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40" w:after="120" w:line="480" w:lineRule="auto"/>
      <w:jc w:val="left"/>
      <w:outlineLvl w:val="2"/>
    </w:pPr>
    <w:rPr>
      <w:rFonts w:asciiTheme="majorHAnsi" w:eastAsiaTheme="majorEastAsia" w:hAnsiTheme="majorHAnsi" w:cstheme="majorBidi" w:ascii="Times New Roman" w:hAnsi="Times New Roman"/>
      <w:b/>
      <w:bCs/>
      <w:i/>
      <w:color w:val="000000"/>
      <w:sz w:val="24"/>
    </w:rPr>
  </w:style>
  <w:style w:type="paragraph" w:styleId="Heading4">
    <w:name w:val="heading 4"/>
    <w:basedOn w:val="Normal"/>
    <w:next w:val="Normal"/>
    <w:link w:val="Heading4Char"/>
    <w:uiPriority w:val="9"/>
    <w:semiHidden/>
    <w:unhideWhenUsed/>
    <w:qFormat/>
    <w:rsid w:val="00FC693F"/>
    <w:pPr>
      <w:keepNext/>
      <w:keepLines/>
      <w:spacing w:before="120" w:after="0" w:line="480" w:lineRule="auto"/>
      <w:ind w:firstLine="720"/>
      <w:jc w:val="left"/>
      <w:outlineLvl w:val="3"/>
    </w:pPr>
    <w:rPr>
      <w:rFonts w:asciiTheme="majorHAnsi" w:eastAsiaTheme="majorEastAsia" w:hAnsiTheme="majorHAnsi" w:cstheme="majorBidi" w:ascii="Times New Roman" w:hAnsi="Times New Roman"/>
      <w:b/>
      <w:bCs/>
      <w:i/>
      <w:iCs/>
      <w:color w:val="000000"/>
      <w:sz w:val="24"/>
    </w:rPr>
  </w:style>
  <w:style w:type="paragraph" w:styleId="Heading5">
    <w:name w:val="heading 5"/>
    <w:basedOn w:val="Normal"/>
    <w:next w:val="Normal"/>
    <w:link w:val="Heading5Char"/>
    <w:uiPriority w:val="9"/>
    <w:semiHidden/>
    <w:unhideWhenUsed/>
    <w:qFormat/>
    <w:rsid w:val="00FC693F"/>
    <w:pPr>
      <w:keepNext/>
      <w:keepLines/>
      <w:spacing w:before="120" w:after="0" w:line="480" w:lineRule="auto"/>
      <w:ind w:firstLine="720"/>
      <w:jc w:val="left"/>
      <w:outlineLvl w:val="4"/>
    </w:pPr>
    <w:rPr>
      <w:rFonts w:asciiTheme="majorHAnsi" w:eastAsiaTheme="majorEastAsia" w:hAnsiTheme="majorHAnsi" w:cstheme="majorBidi" w:ascii="Times New Roman" w:hAnsi="Times New Roman"/>
      <w:b/>
      <w:i/>
      <w:color w:val="000000"/>
      <w:sz w:val="24"/>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