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94" w:rsidRDefault="00C54C9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"https://www.dropbox.com/s/tr4le96l00xyp7y/BSTW%20Earnings%20Announcement%20Dataset.csv?dl=0" </w:instrText>
      </w:r>
      <w:r>
        <w:rPr>
          <w:rFonts w:ascii="Times New Roman" w:hAnsi="Times New Roman" w:cs="Times New Roman"/>
        </w:rPr>
      </w:r>
      <w:r>
        <w:rPr>
          <w:rFonts w:ascii="Times New Roman" w:hAnsi="Times New Roman" w:cs="Times New Roman"/>
        </w:rPr>
        <w:fldChar w:fldCharType="separate"/>
      </w:r>
      <w:r w:rsidRPr="00C54C94">
        <w:rPr>
          <w:rStyle w:val="Hyperlink"/>
          <w:rFonts w:ascii="Times New Roman" w:hAnsi="Times New Roman" w:cs="Times New Roman"/>
        </w:rPr>
        <w:t>File Link</w:t>
      </w:r>
      <w:r>
        <w:rPr>
          <w:rFonts w:ascii="Times New Roman" w:hAnsi="Times New Roman" w:cs="Times New Roman"/>
        </w:rPr>
        <w:fldChar w:fldCharType="end"/>
      </w:r>
      <w:r>
        <w:rPr>
          <w:rFonts w:ascii="Times New Roman" w:hAnsi="Times New Roman" w:cs="Times New Roman"/>
        </w:rPr>
        <w:t xml:space="preserve"> – This is a link to the </w:t>
      </w:r>
      <w:proofErr w:type="spellStart"/>
      <w:r>
        <w:rPr>
          <w:rFonts w:ascii="Times New Roman" w:hAnsi="Times New Roman" w:cs="Times New Roman"/>
        </w:rPr>
        <w:t>DropBox</w:t>
      </w:r>
      <w:proofErr w:type="spellEnd"/>
      <w:r>
        <w:rPr>
          <w:rFonts w:ascii="Times New Roman" w:hAnsi="Times New Roman" w:cs="Times New Roman"/>
        </w:rPr>
        <w:t xml:space="preserve"> Folder with the file in .CSV and .DTA forma.</w:t>
      </w:r>
      <w:bookmarkStart w:id="0" w:name="_GoBack"/>
      <w:bookmarkEnd w:id="0"/>
    </w:p>
    <w:p w:rsidR="00A03CC4" w:rsidRPr="00A03CC4" w:rsidRDefault="00A03CC4">
      <w:pPr>
        <w:rPr>
          <w:rFonts w:ascii="Times New Roman" w:hAnsi="Times New Roman" w:cs="Times New Roman"/>
        </w:rPr>
      </w:pPr>
      <w:r w:rsidRPr="00A03CC4">
        <w:rPr>
          <w:rFonts w:ascii="Times New Roman" w:hAnsi="Times New Roman" w:cs="Times New Roman"/>
        </w:rPr>
        <w:t>This document provides a brief discussion of the variables appearing in the Earnings Announcement dataset. Please cite Bentley, Stubbs, Tian, and Whited (2023) when using this dataset.</w:t>
      </w:r>
      <w:r>
        <w:rPr>
          <w:rFonts w:ascii="Times New Roman" w:hAnsi="Times New Roman" w:cs="Times New Roman"/>
        </w:rPr>
        <w:t xml:space="preserve"> The document also includes Appendix A from that manuscript </w:t>
      </w:r>
      <w:r w:rsidR="00F85F9A">
        <w:rPr>
          <w:rFonts w:ascii="Times New Roman" w:hAnsi="Times New Roman" w:cs="Times New Roman"/>
        </w:rPr>
        <w:t>describing the Python code used to search the earnings announcements and accuracy tests performed on the data. Please reach out to the authors with any questions about the dataset.</w:t>
      </w:r>
    </w:p>
    <w:p w:rsidR="00DF5C02" w:rsidRPr="00A03CC4" w:rsidRDefault="00A4522B" w:rsidP="00A15829">
      <w:pPr>
        <w:spacing w:after="0" w:line="240" w:lineRule="auto"/>
        <w:rPr>
          <w:rFonts w:ascii="Times New Roman" w:hAnsi="Times New Roman" w:cs="Times New Roman"/>
          <w:b/>
          <w:u w:val="single"/>
        </w:rPr>
      </w:pPr>
      <w:r w:rsidRPr="00A03CC4">
        <w:rPr>
          <w:rFonts w:ascii="Times New Roman" w:hAnsi="Times New Roman" w:cs="Times New Roman"/>
          <w:b/>
          <w:u w:val="single"/>
        </w:rPr>
        <w:t>Dataset Description:</w:t>
      </w:r>
    </w:p>
    <w:p w:rsidR="00A4522B" w:rsidRPr="00A03CC4" w:rsidRDefault="00A03CC4" w:rsidP="00A15829">
      <w:pPr>
        <w:spacing w:after="0" w:line="240" w:lineRule="auto"/>
        <w:rPr>
          <w:rFonts w:ascii="Times New Roman" w:hAnsi="Times New Roman" w:cs="Times New Roman"/>
        </w:rPr>
      </w:pPr>
      <w:proofErr w:type="spellStart"/>
      <w:proofErr w:type="gramStart"/>
      <w:r>
        <w:rPr>
          <w:rFonts w:ascii="Times New Roman" w:hAnsi="Times New Roman" w:cs="Times New Roman"/>
        </w:rPr>
        <w:t>gvkey</w:t>
      </w:r>
      <w:proofErr w:type="spellEnd"/>
      <w:proofErr w:type="gramEnd"/>
      <w:r w:rsidR="00A4522B" w:rsidRPr="00A03CC4">
        <w:rPr>
          <w:rFonts w:ascii="Times New Roman" w:hAnsi="Times New Roman" w:cs="Times New Roman"/>
        </w:rPr>
        <w:t xml:space="preserve"> – </w:t>
      </w:r>
      <w:proofErr w:type="spellStart"/>
      <w:r>
        <w:rPr>
          <w:rFonts w:ascii="Times New Roman" w:hAnsi="Times New Roman" w:cs="Times New Roman"/>
        </w:rPr>
        <w:t>gvkey</w:t>
      </w:r>
      <w:proofErr w:type="spellEnd"/>
      <w:r>
        <w:rPr>
          <w:rFonts w:ascii="Times New Roman" w:hAnsi="Times New Roman" w:cs="Times New Roman"/>
        </w:rPr>
        <w:t xml:space="preserve"> </w:t>
      </w:r>
      <w:r w:rsidR="00A4522B" w:rsidRPr="00A03CC4">
        <w:rPr>
          <w:rFonts w:ascii="Times New Roman" w:hAnsi="Times New Roman" w:cs="Times New Roman"/>
        </w:rPr>
        <w:t>from Compustat</w:t>
      </w:r>
    </w:p>
    <w:p w:rsidR="00A4522B" w:rsidRPr="00A03CC4" w:rsidRDefault="007A5276"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d</w:t>
      </w:r>
      <w:r w:rsidR="00A4522B" w:rsidRPr="00A03CC4">
        <w:rPr>
          <w:rFonts w:ascii="Times New Roman" w:hAnsi="Times New Roman" w:cs="Times New Roman"/>
        </w:rPr>
        <w:t>atadate</w:t>
      </w:r>
      <w:proofErr w:type="spellEnd"/>
      <w:proofErr w:type="gramEnd"/>
      <w:r w:rsidR="00A4522B" w:rsidRPr="00A03CC4">
        <w:rPr>
          <w:rFonts w:ascii="Times New Roman" w:hAnsi="Times New Roman" w:cs="Times New Roman"/>
        </w:rPr>
        <w:t xml:space="preserve"> – </w:t>
      </w:r>
      <w:proofErr w:type="spellStart"/>
      <w:r w:rsidR="00A4522B" w:rsidRPr="00A03CC4">
        <w:rPr>
          <w:rFonts w:ascii="Times New Roman" w:hAnsi="Times New Roman" w:cs="Times New Roman"/>
        </w:rPr>
        <w:t>Datadate</w:t>
      </w:r>
      <w:proofErr w:type="spellEnd"/>
      <w:r w:rsidR="00A4522B" w:rsidRPr="00A03CC4">
        <w:rPr>
          <w:rFonts w:ascii="Times New Roman" w:hAnsi="Times New Roman" w:cs="Times New Roman"/>
        </w:rPr>
        <w:t xml:space="preserve"> from Compustat</w:t>
      </w:r>
    </w:p>
    <w:p w:rsidR="00A4522B" w:rsidRPr="00A03CC4" w:rsidRDefault="007A5276" w:rsidP="00A15829">
      <w:pPr>
        <w:spacing w:after="0" w:line="240" w:lineRule="auto"/>
        <w:rPr>
          <w:rFonts w:ascii="Times New Roman" w:hAnsi="Times New Roman" w:cs="Times New Roman"/>
        </w:rPr>
      </w:pPr>
      <w:proofErr w:type="gramStart"/>
      <w:r w:rsidRPr="00A03CC4">
        <w:rPr>
          <w:rFonts w:ascii="Times New Roman" w:hAnsi="Times New Roman" w:cs="Times New Roman"/>
        </w:rPr>
        <w:t>l</w:t>
      </w:r>
      <w:r w:rsidR="00A4522B" w:rsidRPr="00A03CC4">
        <w:rPr>
          <w:rFonts w:ascii="Times New Roman" w:hAnsi="Times New Roman" w:cs="Times New Roman"/>
        </w:rPr>
        <w:t>ink</w:t>
      </w:r>
      <w:proofErr w:type="gramEnd"/>
      <w:r w:rsidR="00A4522B" w:rsidRPr="00A03CC4">
        <w:rPr>
          <w:rFonts w:ascii="Times New Roman" w:hAnsi="Times New Roman" w:cs="Times New Roman"/>
        </w:rPr>
        <w:t xml:space="preserve"> – URL of Earnings Announcement</w:t>
      </w:r>
    </w:p>
    <w:p w:rsidR="007A5276" w:rsidRPr="00A03CC4" w:rsidRDefault="007A5276" w:rsidP="00A15829">
      <w:pPr>
        <w:spacing w:after="0" w:line="240" w:lineRule="auto"/>
        <w:rPr>
          <w:rFonts w:ascii="Times New Roman" w:hAnsi="Times New Roman" w:cs="Times New Roman"/>
        </w:rPr>
      </w:pPr>
      <w:proofErr w:type="gramStart"/>
      <w:r w:rsidRPr="00A03CC4">
        <w:rPr>
          <w:rFonts w:ascii="Times New Roman" w:hAnsi="Times New Roman" w:cs="Times New Roman"/>
        </w:rPr>
        <w:t>sequence</w:t>
      </w:r>
      <w:proofErr w:type="gramEnd"/>
      <w:r w:rsidRPr="00A03CC4">
        <w:rPr>
          <w:rFonts w:ascii="Times New Roman" w:hAnsi="Times New Roman" w:cs="Times New Roman"/>
        </w:rPr>
        <w:t xml:space="preserve"> – Order of the document in the URL that classified as the text Earnings Announcement</w:t>
      </w:r>
    </w:p>
    <w:p w:rsidR="00A4522B" w:rsidRPr="00A03CC4" w:rsidRDefault="007A5276"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d</w:t>
      </w:r>
      <w:r w:rsidR="00A4522B" w:rsidRPr="00A03CC4">
        <w:rPr>
          <w:rFonts w:ascii="Times New Roman" w:hAnsi="Times New Roman" w:cs="Times New Roman"/>
        </w:rPr>
        <w:t>ocname</w:t>
      </w:r>
      <w:proofErr w:type="spellEnd"/>
      <w:proofErr w:type="gramEnd"/>
      <w:r w:rsidR="00A4522B" w:rsidRPr="00A03CC4">
        <w:rPr>
          <w:rFonts w:ascii="Times New Roman" w:hAnsi="Times New Roman" w:cs="Times New Roman"/>
        </w:rPr>
        <w:t xml:space="preserve"> – </w:t>
      </w:r>
      <w:r w:rsidRPr="00A03CC4">
        <w:rPr>
          <w:rFonts w:ascii="Times New Roman" w:hAnsi="Times New Roman" w:cs="Times New Roman"/>
        </w:rPr>
        <w:t>N</w:t>
      </w:r>
      <w:r w:rsidR="00A4522B" w:rsidRPr="00A03CC4">
        <w:rPr>
          <w:rFonts w:ascii="Times New Roman" w:hAnsi="Times New Roman" w:cs="Times New Roman"/>
        </w:rPr>
        <w:t xml:space="preserve">ame of </w:t>
      </w:r>
      <w:r w:rsidRPr="00A03CC4">
        <w:rPr>
          <w:rFonts w:ascii="Times New Roman" w:hAnsi="Times New Roman" w:cs="Times New Roman"/>
        </w:rPr>
        <w:t xml:space="preserve">document classified as text </w:t>
      </w:r>
      <w:r w:rsidR="00A4522B" w:rsidRPr="00A03CC4">
        <w:rPr>
          <w:rFonts w:ascii="Times New Roman" w:hAnsi="Times New Roman" w:cs="Times New Roman"/>
        </w:rPr>
        <w:t>Earnings Announcement</w:t>
      </w:r>
    </w:p>
    <w:p w:rsidR="00A4522B" w:rsidRPr="00A03CC4" w:rsidRDefault="007A5276"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d</w:t>
      </w:r>
      <w:r w:rsidR="00A4522B" w:rsidRPr="00A03CC4">
        <w:rPr>
          <w:rFonts w:ascii="Times New Roman" w:hAnsi="Times New Roman" w:cs="Times New Roman"/>
        </w:rPr>
        <w:t>ocdescript</w:t>
      </w:r>
      <w:proofErr w:type="spellEnd"/>
      <w:proofErr w:type="gramEnd"/>
      <w:r w:rsidR="00A4522B" w:rsidRPr="00A03CC4">
        <w:rPr>
          <w:rFonts w:ascii="Times New Roman" w:hAnsi="Times New Roman" w:cs="Times New Roman"/>
        </w:rPr>
        <w:t xml:space="preserve"> – Description of document </w:t>
      </w:r>
      <w:r w:rsidRPr="00A03CC4">
        <w:rPr>
          <w:rFonts w:ascii="Times New Roman" w:hAnsi="Times New Roman" w:cs="Times New Roman"/>
        </w:rPr>
        <w:t xml:space="preserve">classified </w:t>
      </w:r>
      <w:r w:rsidR="00A4522B" w:rsidRPr="00A03CC4">
        <w:rPr>
          <w:rFonts w:ascii="Times New Roman" w:hAnsi="Times New Roman" w:cs="Times New Roman"/>
        </w:rPr>
        <w:t xml:space="preserve">as </w:t>
      </w:r>
      <w:r w:rsidRPr="00A03CC4">
        <w:rPr>
          <w:rFonts w:ascii="Times New Roman" w:hAnsi="Times New Roman" w:cs="Times New Roman"/>
        </w:rPr>
        <w:t xml:space="preserve">the text </w:t>
      </w:r>
      <w:r w:rsidR="00A4522B" w:rsidRPr="00A03CC4">
        <w:rPr>
          <w:rFonts w:ascii="Times New Roman" w:hAnsi="Times New Roman" w:cs="Times New Roman"/>
        </w:rPr>
        <w:t>Earnings Announcement</w:t>
      </w:r>
    </w:p>
    <w:p w:rsidR="007A5276" w:rsidRPr="00A03CC4" w:rsidRDefault="007A5276"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totaldoccount</w:t>
      </w:r>
      <w:proofErr w:type="spellEnd"/>
      <w:proofErr w:type="gramEnd"/>
      <w:r w:rsidRPr="00A03CC4">
        <w:rPr>
          <w:rFonts w:ascii="Times New Roman" w:hAnsi="Times New Roman" w:cs="Times New Roman"/>
        </w:rPr>
        <w:t xml:space="preserve"> – number of documents in the filing</w:t>
      </w:r>
    </w:p>
    <w:p w:rsidR="00917926" w:rsidRPr="00A03CC4" w:rsidRDefault="00917926"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totalwords</w:t>
      </w:r>
      <w:proofErr w:type="spellEnd"/>
      <w:proofErr w:type="gramEnd"/>
      <w:r w:rsidRPr="00A03CC4">
        <w:rPr>
          <w:rFonts w:ascii="Times New Roman" w:hAnsi="Times New Roman" w:cs="Times New Roman"/>
        </w:rPr>
        <w:t xml:space="preserve"> – number of words in the text of the Earnings Announcement excluding tables</w:t>
      </w:r>
    </w:p>
    <w:p w:rsidR="00C076CB" w:rsidRPr="00A03CC4" w:rsidRDefault="00C076CB">
      <w:pPr>
        <w:rPr>
          <w:rFonts w:ascii="Times New Roman" w:hAnsi="Times New Roman" w:cs="Times New Roman"/>
        </w:rPr>
      </w:pPr>
    </w:p>
    <w:p w:rsidR="007A5276" w:rsidRPr="00A03CC4" w:rsidRDefault="00666DB5" w:rsidP="00A15829">
      <w:pPr>
        <w:spacing w:after="0" w:line="240" w:lineRule="auto"/>
        <w:rPr>
          <w:rFonts w:ascii="Times New Roman" w:hAnsi="Times New Roman" w:cs="Times New Roman"/>
          <w:b/>
          <w:u w:val="single"/>
        </w:rPr>
      </w:pPr>
      <w:r w:rsidRPr="00A03CC4">
        <w:rPr>
          <w:rFonts w:ascii="Times New Roman" w:hAnsi="Times New Roman" w:cs="Times New Roman"/>
          <w:b/>
          <w:u w:val="single"/>
        </w:rPr>
        <w:t>Prefix</w:t>
      </w:r>
      <w:r w:rsidR="00917926" w:rsidRPr="00A03CC4">
        <w:rPr>
          <w:rFonts w:ascii="Times New Roman" w:hAnsi="Times New Roman" w:cs="Times New Roman"/>
          <w:b/>
          <w:u w:val="single"/>
        </w:rPr>
        <w:t>:</w:t>
      </w:r>
      <w:r w:rsidRPr="00A03CC4">
        <w:rPr>
          <w:rFonts w:ascii="Times New Roman" w:hAnsi="Times New Roman" w:cs="Times New Roman"/>
          <w:b/>
          <w:u w:val="single"/>
        </w:rPr>
        <w:t xml:space="preserve"> For traits, the prefix identifies to what the trait relates</w:t>
      </w:r>
    </w:p>
    <w:p w:rsidR="00917926" w:rsidRPr="00A03CC4" w:rsidRDefault="00917926" w:rsidP="00A15829">
      <w:pPr>
        <w:spacing w:after="0" w:line="240" w:lineRule="auto"/>
        <w:rPr>
          <w:rFonts w:ascii="Times New Roman" w:hAnsi="Times New Roman" w:cs="Times New Roman"/>
        </w:rPr>
      </w:pPr>
      <w:proofErr w:type="gramStart"/>
      <w:r w:rsidRPr="00A03CC4">
        <w:rPr>
          <w:rFonts w:ascii="Times New Roman" w:hAnsi="Times New Roman" w:cs="Times New Roman"/>
        </w:rPr>
        <w:t>document</w:t>
      </w:r>
      <w:proofErr w:type="gramEnd"/>
      <w:r w:rsidRPr="00A03CC4">
        <w:rPr>
          <w:rFonts w:ascii="Times New Roman" w:hAnsi="Times New Roman" w:cs="Times New Roman"/>
        </w:rPr>
        <w:t xml:space="preserve"> –</w:t>
      </w:r>
      <w:r w:rsidR="00666DB5" w:rsidRPr="00A03CC4">
        <w:rPr>
          <w:rFonts w:ascii="Times New Roman" w:hAnsi="Times New Roman" w:cs="Times New Roman"/>
        </w:rPr>
        <w:t xml:space="preserve"> </w:t>
      </w:r>
      <w:r w:rsidRPr="00A03CC4">
        <w:rPr>
          <w:rFonts w:ascii="Times New Roman" w:hAnsi="Times New Roman" w:cs="Times New Roman"/>
        </w:rPr>
        <w:t>traits of the entire document</w:t>
      </w:r>
    </w:p>
    <w:p w:rsidR="00666DB5" w:rsidRPr="00A03CC4" w:rsidRDefault="00666DB5" w:rsidP="00A15829">
      <w:pPr>
        <w:spacing w:after="0" w:line="240" w:lineRule="auto"/>
        <w:rPr>
          <w:rFonts w:ascii="Times New Roman" w:hAnsi="Times New Roman" w:cs="Times New Roman"/>
        </w:rPr>
      </w:pPr>
      <w:proofErr w:type="gramStart"/>
      <w:r w:rsidRPr="00A03CC4">
        <w:rPr>
          <w:rFonts w:ascii="Times New Roman" w:hAnsi="Times New Roman" w:cs="Times New Roman"/>
        </w:rPr>
        <w:t>earnings</w:t>
      </w:r>
      <w:proofErr w:type="gramEnd"/>
      <w:r w:rsidRPr="00A03CC4">
        <w:rPr>
          <w:rFonts w:ascii="Times New Roman" w:hAnsi="Times New Roman" w:cs="Times New Roman"/>
        </w:rPr>
        <w:t xml:space="preserve"> – traits of earnings </w:t>
      </w:r>
    </w:p>
    <w:p w:rsidR="00666DB5" w:rsidRPr="00A03CC4" w:rsidRDefault="00666DB5" w:rsidP="00A15829">
      <w:pPr>
        <w:spacing w:after="0" w:line="240" w:lineRule="auto"/>
        <w:rPr>
          <w:rFonts w:ascii="Times New Roman" w:hAnsi="Times New Roman" w:cs="Times New Roman"/>
        </w:rPr>
      </w:pPr>
      <w:proofErr w:type="gramStart"/>
      <w:r w:rsidRPr="00A03CC4">
        <w:rPr>
          <w:rFonts w:ascii="Times New Roman" w:hAnsi="Times New Roman" w:cs="Times New Roman"/>
        </w:rPr>
        <w:t>revenue</w:t>
      </w:r>
      <w:proofErr w:type="gramEnd"/>
      <w:r w:rsidRPr="00A03CC4">
        <w:rPr>
          <w:rFonts w:ascii="Times New Roman" w:hAnsi="Times New Roman" w:cs="Times New Roman"/>
        </w:rPr>
        <w:t xml:space="preserve"> – traits of revenue</w:t>
      </w:r>
    </w:p>
    <w:p w:rsidR="00666DB5" w:rsidRPr="00A03CC4" w:rsidRDefault="00666DB5"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nongaapearnings</w:t>
      </w:r>
      <w:proofErr w:type="spellEnd"/>
      <w:proofErr w:type="gramEnd"/>
      <w:r w:rsidRPr="00A03CC4">
        <w:rPr>
          <w:rFonts w:ascii="Times New Roman" w:hAnsi="Times New Roman" w:cs="Times New Roman"/>
        </w:rPr>
        <w:t xml:space="preserve"> – traits of non-GAAP earnings</w:t>
      </w:r>
    </w:p>
    <w:p w:rsidR="00917926" w:rsidRPr="00A03CC4" w:rsidRDefault="00666DB5"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ebit</w:t>
      </w:r>
      <w:proofErr w:type="spellEnd"/>
      <w:proofErr w:type="gramEnd"/>
      <w:r w:rsidRPr="00A03CC4">
        <w:rPr>
          <w:rFonts w:ascii="Times New Roman" w:hAnsi="Times New Roman" w:cs="Times New Roman"/>
        </w:rPr>
        <w:t xml:space="preserve"> – traits of earnings before interest and taxes </w:t>
      </w:r>
    </w:p>
    <w:p w:rsidR="00666DB5" w:rsidRPr="00A03CC4" w:rsidRDefault="00666DB5"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ebitda</w:t>
      </w:r>
      <w:proofErr w:type="spellEnd"/>
      <w:proofErr w:type="gramEnd"/>
      <w:r w:rsidRPr="00A03CC4">
        <w:rPr>
          <w:rFonts w:ascii="Times New Roman" w:hAnsi="Times New Roman" w:cs="Times New Roman"/>
        </w:rPr>
        <w:t xml:space="preserve"> – traits of earnings before interest, taxes, depreciation, and amortization</w:t>
      </w:r>
    </w:p>
    <w:p w:rsidR="00666DB5" w:rsidRPr="00A03CC4" w:rsidRDefault="00666DB5" w:rsidP="00A15829">
      <w:pPr>
        <w:spacing w:after="0" w:line="240" w:lineRule="auto"/>
        <w:rPr>
          <w:rFonts w:ascii="Times New Roman" w:hAnsi="Times New Roman" w:cs="Times New Roman"/>
        </w:rPr>
      </w:pPr>
      <w:proofErr w:type="spellStart"/>
      <w:proofErr w:type="gramStart"/>
      <w:r w:rsidRPr="00A03CC4">
        <w:rPr>
          <w:rFonts w:ascii="Times New Roman" w:hAnsi="Times New Roman" w:cs="Times New Roman"/>
        </w:rPr>
        <w:t>opcashflow</w:t>
      </w:r>
      <w:proofErr w:type="spellEnd"/>
      <w:proofErr w:type="gramEnd"/>
      <w:r w:rsidRPr="00A03CC4">
        <w:rPr>
          <w:rFonts w:ascii="Times New Roman" w:hAnsi="Times New Roman" w:cs="Times New Roman"/>
        </w:rPr>
        <w:t xml:space="preserve"> – traits of operating cash flows</w:t>
      </w:r>
    </w:p>
    <w:p w:rsidR="00666DB5" w:rsidRPr="00A03CC4" w:rsidRDefault="00666DB5" w:rsidP="00A15829">
      <w:pPr>
        <w:spacing w:after="0" w:line="240" w:lineRule="auto"/>
        <w:rPr>
          <w:rFonts w:ascii="Times New Roman" w:hAnsi="Times New Roman" w:cs="Times New Roman"/>
        </w:rPr>
      </w:pPr>
      <w:proofErr w:type="gramStart"/>
      <w:r w:rsidRPr="00A03CC4">
        <w:rPr>
          <w:rFonts w:ascii="Times New Roman" w:hAnsi="Times New Roman" w:cs="Times New Roman"/>
        </w:rPr>
        <w:t>gross</w:t>
      </w:r>
      <w:proofErr w:type="gramEnd"/>
      <w:r w:rsidRPr="00A03CC4">
        <w:rPr>
          <w:rFonts w:ascii="Times New Roman" w:hAnsi="Times New Roman" w:cs="Times New Roman"/>
        </w:rPr>
        <w:t xml:space="preserve"> profit – traits of gross profit</w:t>
      </w:r>
    </w:p>
    <w:p w:rsidR="00666DB5" w:rsidRPr="00A03CC4" w:rsidRDefault="00666DB5" w:rsidP="00A15829">
      <w:pPr>
        <w:spacing w:after="0" w:line="240" w:lineRule="auto"/>
        <w:rPr>
          <w:rFonts w:ascii="Times New Roman" w:hAnsi="Times New Roman" w:cs="Times New Roman"/>
        </w:rPr>
      </w:pPr>
      <w:proofErr w:type="gramStart"/>
      <w:r w:rsidRPr="00A03CC4">
        <w:rPr>
          <w:rFonts w:ascii="Times New Roman" w:hAnsi="Times New Roman" w:cs="Times New Roman"/>
        </w:rPr>
        <w:t>gross</w:t>
      </w:r>
      <w:proofErr w:type="gramEnd"/>
      <w:r w:rsidRPr="00A03CC4">
        <w:rPr>
          <w:rFonts w:ascii="Times New Roman" w:hAnsi="Times New Roman" w:cs="Times New Roman"/>
        </w:rPr>
        <w:t xml:space="preserve"> margin – traits of gross margin</w:t>
      </w:r>
    </w:p>
    <w:p w:rsidR="00666DB5" w:rsidRPr="00A03CC4" w:rsidRDefault="00666DB5" w:rsidP="00A15829">
      <w:pPr>
        <w:spacing w:after="0" w:line="240" w:lineRule="auto"/>
        <w:rPr>
          <w:rFonts w:ascii="Times New Roman" w:hAnsi="Times New Roman" w:cs="Times New Roman"/>
        </w:rPr>
      </w:pPr>
      <w:proofErr w:type="gramStart"/>
      <w:r w:rsidRPr="00A03CC4">
        <w:rPr>
          <w:rFonts w:ascii="Times New Roman" w:hAnsi="Times New Roman" w:cs="Times New Roman"/>
        </w:rPr>
        <w:t>dividend</w:t>
      </w:r>
      <w:proofErr w:type="gramEnd"/>
      <w:r w:rsidRPr="00A03CC4">
        <w:rPr>
          <w:rFonts w:ascii="Times New Roman" w:hAnsi="Times New Roman" w:cs="Times New Roman"/>
        </w:rPr>
        <w:t xml:space="preserve"> – traits of dividends</w:t>
      </w:r>
    </w:p>
    <w:p w:rsidR="00454B7B" w:rsidRPr="00A03CC4" w:rsidRDefault="00454B7B">
      <w:pPr>
        <w:rPr>
          <w:rFonts w:ascii="Times New Roman" w:hAnsi="Times New Roman" w:cs="Times New Roman"/>
          <w:u w:val="single"/>
        </w:rPr>
      </w:pPr>
    </w:p>
    <w:p w:rsidR="00454B7B" w:rsidRPr="00A03CC4" w:rsidRDefault="00454B7B" w:rsidP="00A15829">
      <w:pPr>
        <w:spacing w:after="0" w:line="240" w:lineRule="auto"/>
        <w:rPr>
          <w:rFonts w:ascii="Times New Roman" w:hAnsi="Times New Roman" w:cs="Times New Roman"/>
          <w:b/>
          <w:u w:val="single"/>
        </w:rPr>
      </w:pPr>
      <w:r w:rsidRPr="00A03CC4">
        <w:rPr>
          <w:rFonts w:ascii="Times New Roman" w:hAnsi="Times New Roman" w:cs="Times New Roman"/>
          <w:b/>
          <w:u w:val="single"/>
        </w:rPr>
        <w:t>Traits</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table</w:t>
      </w:r>
      <w:proofErr w:type="gramEnd"/>
      <w:r w:rsidRPr="00A03CC4">
        <w:rPr>
          <w:rFonts w:ascii="Times New Roman" w:hAnsi="Times New Roman" w:cs="Times New Roman"/>
        </w:rPr>
        <w:t xml:space="preserve"> – number of times the metric appears in a table 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center</w:t>
      </w:r>
      <w:proofErr w:type="gramEnd"/>
      <w:r w:rsidRPr="00A03CC4">
        <w:rPr>
          <w:rFonts w:ascii="Times New Roman" w:hAnsi="Times New Roman" w:cs="Times New Roman"/>
        </w:rPr>
        <w:t xml:space="preserve"> – number of times the metric appears centered 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bullet</w:t>
      </w:r>
      <w:proofErr w:type="gramEnd"/>
      <w:r w:rsidRPr="00A03CC4">
        <w:rPr>
          <w:rFonts w:ascii="Times New Roman" w:hAnsi="Times New Roman" w:cs="Times New Roman"/>
        </w:rPr>
        <w:t xml:space="preserve"> </w:t>
      </w:r>
      <w:r w:rsidRPr="00A03CC4">
        <w:rPr>
          <w:rFonts w:ascii="Times New Roman" w:hAnsi="Times New Roman" w:cs="Times New Roman"/>
        </w:rPr>
        <w:t xml:space="preserve">– number of times the metric appears </w:t>
      </w:r>
      <w:r w:rsidRPr="00A03CC4">
        <w:rPr>
          <w:rFonts w:ascii="Times New Roman" w:hAnsi="Times New Roman" w:cs="Times New Roman"/>
        </w:rPr>
        <w:t xml:space="preserve">in a bullet point </w:t>
      </w:r>
      <w:r w:rsidRPr="00A03CC4">
        <w:rPr>
          <w:rFonts w:ascii="Times New Roman" w:hAnsi="Times New Roman" w:cs="Times New Roman"/>
        </w:rPr>
        <w:t>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bold</w:t>
      </w:r>
      <w:proofErr w:type="gramEnd"/>
      <w:r w:rsidRPr="00A03CC4">
        <w:rPr>
          <w:rFonts w:ascii="Times New Roman" w:hAnsi="Times New Roman" w:cs="Times New Roman"/>
        </w:rPr>
        <w:t xml:space="preserve"> </w:t>
      </w:r>
      <w:r w:rsidRPr="00A03CC4">
        <w:rPr>
          <w:rFonts w:ascii="Times New Roman" w:hAnsi="Times New Roman" w:cs="Times New Roman"/>
        </w:rPr>
        <w:t xml:space="preserve">– number of times the metric appears </w:t>
      </w:r>
      <w:r w:rsidRPr="00A03CC4">
        <w:rPr>
          <w:rFonts w:ascii="Times New Roman" w:hAnsi="Times New Roman" w:cs="Times New Roman"/>
        </w:rPr>
        <w:t xml:space="preserve">bolded </w:t>
      </w:r>
      <w:r w:rsidRPr="00A03CC4">
        <w:rPr>
          <w:rFonts w:ascii="Times New Roman" w:hAnsi="Times New Roman" w:cs="Times New Roman"/>
        </w:rPr>
        <w:t>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sentences</w:t>
      </w:r>
      <w:proofErr w:type="gramEnd"/>
      <w:r w:rsidRPr="00A03CC4">
        <w:rPr>
          <w:rFonts w:ascii="Times New Roman" w:hAnsi="Times New Roman" w:cs="Times New Roman"/>
        </w:rPr>
        <w:t xml:space="preserve"> – number of unique sentences discussing the metric 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fog</w:t>
      </w:r>
      <w:proofErr w:type="gramEnd"/>
      <w:r w:rsidRPr="00A03CC4">
        <w:rPr>
          <w:rFonts w:ascii="Times New Roman" w:hAnsi="Times New Roman" w:cs="Times New Roman"/>
        </w:rPr>
        <w:t xml:space="preserve"> – average fog index of sentences discussing the metric in the document</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passive</w:t>
      </w:r>
      <w:proofErr w:type="gramEnd"/>
      <w:r w:rsidRPr="00A03CC4">
        <w:rPr>
          <w:rFonts w:ascii="Times New Roman" w:hAnsi="Times New Roman" w:cs="Times New Roman"/>
        </w:rPr>
        <w:t xml:space="preserve"> – number of sentences discussing a metric which include passive voice</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negate</w:t>
      </w:r>
      <w:proofErr w:type="gramEnd"/>
      <w:r w:rsidRPr="00A03CC4">
        <w:rPr>
          <w:rFonts w:ascii="Times New Roman" w:hAnsi="Times New Roman" w:cs="Times New Roman"/>
        </w:rPr>
        <w:t xml:space="preserve"> – number of sentences discussing a metric which include negation</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count</w:t>
      </w:r>
      <w:proofErr w:type="gramEnd"/>
      <w:r w:rsidRPr="00A03CC4">
        <w:rPr>
          <w:rFonts w:ascii="Times New Roman" w:hAnsi="Times New Roman" w:cs="Times New Roman"/>
        </w:rPr>
        <w:t xml:space="preserve"> – number of mentions of a metric</w:t>
      </w:r>
    </w:p>
    <w:p w:rsidR="00C076CB" w:rsidRPr="00A03CC4" w:rsidRDefault="00C076CB" w:rsidP="00A15829">
      <w:pPr>
        <w:spacing w:after="0" w:line="240" w:lineRule="auto"/>
        <w:rPr>
          <w:rFonts w:ascii="Times New Roman" w:hAnsi="Times New Roman" w:cs="Times New Roman"/>
        </w:rPr>
      </w:pPr>
      <w:proofErr w:type="spellStart"/>
      <w:r w:rsidRPr="00A03CC4">
        <w:rPr>
          <w:rFonts w:ascii="Times New Roman" w:hAnsi="Times New Roman" w:cs="Times New Roman"/>
        </w:rPr>
        <w:t>words_before</w:t>
      </w:r>
      <w:proofErr w:type="spellEnd"/>
      <w:r w:rsidRPr="00A03CC4">
        <w:rPr>
          <w:rFonts w:ascii="Times New Roman" w:hAnsi="Times New Roman" w:cs="Times New Roman"/>
        </w:rPr>
        <w:t xml:space="preserve"> – number of words preceding the first mention of the metric</w:t>
      </w:r>
    </w:p>
    <w:p w:rsidR="00C076CB" w:rsidRPr="00A03CC4" w:rsidRDefault="00C076CB" w:rsidP="00A15829">
      <w:pPr>
        <w:spacing w:after="0" w:line="240" w:lineRule="auto"/>
        <w:rPr>
          <w:rFonts w:ascii="Times New Roman" w:hAnsi="Times New Roman" w:cs="Times New Roman"/>
        </w:rPr>
      </w:pPr>
      <w:proofErr w:type="gramStart"/>
      <w:r w:rsidRPr="00A03CC4">
        <w:rPr>
          <w:rFonts w:ascii="Times New Roman" w:hAnsi="Times New Roman" w:cs="Times New Roman"/>
        </w:rPr>
        <w:t>appears</w:t>
      </w:r>
      <w:proofErr w:type="gramEnd"/>
      <w:r w:rsidRPr="00A03CC4">
        <w:rPr>
          <w:rFonts w:ascii="Times New Roman" w:hAnsi="Times New Roman" w:cs="Times New Roman"/>
        </w:rPr>
        <w:t xml:space="preserve"> – indicator of the metric appears in the Earnings Announcement</w:t>
      </w:r>
    </w:p>
    <w:p w:rsidR="00C076CB" w:rsidRPr="00A03CC4" w:rsidRDefault="00C076CB" w:rsidP="00C076CB">
      <w:pPr>
        <w:rPr>
          <w:rFonts w:ascii="Times New Roman" w:hAnsi="Times New Roman" w:cs="Times New Roman"/>
        </w:rPr>
      </w:pPr>
    </w:p>
    <w:p w:rsidR="00454B7B" w:rsidRPr="00A03CC4" w:rsidRDefault="00454B7B">
      <w:pPr>
        <w:rPr>
          <w:rFonts w:ascii="Times New Roman" w:hAnsi="Times New Roman" w:cs="Times New Roman"/>
        </w:rPr>
      </w:pPr>
    </w:p>
    <w:p w:rsidR="00917926" w:rsidRPr="00A03CC4" w:rsidRDefault="00917926">
      <w:pPr>
        <w:rPr>
          <w:rFonts w:ascii="Times New Roman" w:hAnsi="Times New Roman" w:cs="Times New Roman"/>
        </w:rPr>
      </w:pPr>
    </w:p>
    <w:p w:rsidR="00A15829" w:rsidRDefault="00A15829">
      <w:pPr>
        <w:rPr>
          <w:rFonts w:ascii="Times New Roman" w:hAnsi="Times New Roman" w:cs="Times New Roman"/>
        </w:rPr>
      </w:pPr>
      <w:r>
        <w:rPr>
          <w:rFonts w:ascii="Times New Roman" w:hAnsi="Times New Roman" w:cs="Times New Roman"/>
        </w:rPr>
        <w:br w:type="page"/>
      </w:r>
    </w:p>
    <w:p w:rsidR="00A4522B" w:rsidRPr="00A03CC4" w:rsidRDefault="00A4522B">
      <w:pPr>
        <w:rPr>
          <w:rFonts w:ascii="Times New Roman" w:hAnsi="Times New Roman" w:cs="Times New Roman"/>
        </w:rPr>
      </w:pPr>
      <w:r w:rsidRPr="00A03CC4">
        <w:rPr>
          <w:rFonts w:ascii="Times New Roman" w:hAnsi="Times New Roman" w:cs="Times New Roman"/>
        </w:rPr>
        <w:lastRenderedPageBreak/>
        <w:t xml:space="preserve">Appendix A from Bentley, Stubbs, Tian, and Whited (2023) describing Python Code and Accuracy Tests </w:t>
      </w:r>
    </w:p>
    <w:p w:rsidR="00A4522B" w:rsidRPr="00A03CC4" w:rsidRDefault="00A4522B" w:rsidP="00A4522B">
      <w:pPr>
        <w:rPr>
          <w:rFonts w:ascii="Times New Roman" w:hAnsi="Times New Roman" w:cs="Times New Roman"/>
          <w:b/>
          <w:bCs/>
        </w:rPr>
      </w:pPr>
      <w:bookmarkStart w:id="1" w:name="_Hlk122444760"/>
      <w:r w:rsidRPr="00A03CC4">
        <w:rPr>
          <w:rFonts w:ascii="Times New Roman" w:hAnsi="Times New Roman" w:cs="Times New Roman"/>
          <w:b/>
          <w:bCs/>
        </w:rPr>
        <w:t>Appendix A</w:t>
      </w:r>
      <w:r w:rsidRPr="00A03CC4">
        <w:rPr>
          <w:rFonts w:ascii="Times New Roman" w:hAnsi="Times New Roman" w:cs="Times New Roman"/>
          <w:b/>
          <w:bCs/>
          <w:i/>
          <w:iCs/>
        </w:rPr>
        <w:t xml:space="preserve">. </w:t>
      </w:r>
      <w:r w:rsidRPr="00A03CC4">
        <w:rPr>
          <w:rFonts w:ascii="Times New Roman" w:hAnsi="Times New Roman" w:cs="Times New Roman"/>
          <w:b/>
          <w:bCs/>
        </w:rPr>
        <w:t>Python Code and Accuracy Tests</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Our full code is too extensive to provide here, but more information can be obtained by contacting the first author. However, we summarize the search technique in this appendix to provide some explanations of our approach. We then compare our code to data from hand-collection to validate the accuracy of the code.</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
          <w:iCs/>
        </w:rPr>
        <w:t>Identifying the Earnings Announcement</w:t>
      </w:r>
    </w:p>
    <w:p w:rsidR="00A4522B" w:rsidRPr="00A03CC4" w:rsidRDefault="00A4522B" w:rsidP="00A4522B">
      <w:pPr>
        <w:rPr>
          <w:rFonts w:ascii="Times New Roman" w:hAnsi="Times New Roman" w:cs="Times New Roman"/>
        </w:rPr>
      </w:pPr>
      <w:r w:rsidRPr="00A03CC4">
        <w:rPr>
          <w:rFonts w:ascii="Times New Roman" w:eastAsia="Times New Roman" w:hAnsi="Times New Roman" w:cs="Times New Roman"/>
          <w:bCs/>
          <w:color w:val="000000"/>
        </w:rPr>
        <w:t>Approximately 81% of filings contain just two documents. In most instances, these two documents include the official 8-K and a single EX-99 attachment containing the press release (i.e., EA), making it easy to identify the correct document. In other instances, the official 8-K includes the EA while the EX-99 attachment contains supplemental financial statements. The remaining 19% of filings contain three or more documents. When a filing contains multiple documents, we employ the following decision criteria. If a single step removes all documents, then we skip that step. If a step eliminates all but one document, then we end the decision tree at that step. First, we focus on documents that are identified as EX-99 or, if there are no EX-99 documents, documents that are identified as a press release. Next, we limit our search to text-based documents (i.e., we remove files that have an extension of .</w:t>
      </w:r>
      <w:proofErr w:type="spellStart"/>
      <w:r w:rsidRPr="00A03CC4">
        <w:rPr>
          <w:rFonts w:ascii="Times New Roman" w:eastAsia="Times New Roman" w:hAnsi="Times New Roman" w:cs="Times New Roman"/>
          <w:bCs/>
          <w:color w:val="000000"/>
        </w:rPr>
        <w:t>ppt</w:t>
      </w:r>
      <w:proofErr w:type="spellEnd"/>
      <w:r w:rsidRPr="00A03CC4">
        <w:rPr>
          <w:rFonts w:ascii="Times New Roman" w:eastAsia="Times New Roman" w:hAnsi="Times New Roman" w:cs="Times New Roman"/>
          <w:bCs/>
          <w:color w:val="000000"/>
        </w:rPr>
        <w:t>, .</w:t>
      </w:r>
      <w:proofErr w:type="spellStart"/>
      <w:r w:rsidRPr="00A03CC4">
        <w:rPr>
          <w:rFonts w:ascii="Times New Roman" w:eastAsia="Times New Roman" w:hAnsi="Times New Roman" w:cs="Times New Roman"/>
          <w:bCs/>
          <w:color w:val="000000"/>
        </w:rPr>
        <w:t>pptx</w:t>
      </w:r>
      <w:proofErr w:type="spellEnd"/>
      <w:r w:rsidRPr="00A03CC4">
        <w:rPr>
          <w:rFonts w:ascii="Times New Roman" w:eastAsia="Times New Roman" w:hAnsi="Times New Roman" w:cs="Times New Roman"/>
          <w:bCs/>
          <w:color w:val="000000"/>
        </w:rPr>
        <w:t>, .</w:t>
      </w:r>
      <w:proofErr w:type="spellStart"/>
      <w:r w:rsidRPr="00A03CC4">
        <w:rPr>
          <w:rFonts w:ascii="Times New Roman" w:eastAsia="Times New Roman" w:hAnsi="Times New Roman" w:cs="Times New Roman"/>
          <w:bCs/>
          <w:color w:val="000000"/>
        </w:rPr>
        <w:t>xls</w:t>
      </w:r>
      <w:proofErr w:type="spellEnd"/>
      <w:r w:rsidRPr="00A03CC4">
        <w:rPr>
          <w:rFonts w:ascii="Times New Roman" w:eastAsia="Times New Roman" w:hAnsi="Times New Roman" w:cs="Times New Roman"/>
          <w:bCs/>
          <w:color w:val="000000"/>
        </w:rPr>
        <w:t>, .</w:t>
      </w:r>
      <w:proofErr w:type="spellStart"/>
      <w:r w:rsidRPr="00A03CC4">
        <w:rPr>
          <w:rFonts w:ascii="Times New Roman" w:eastAsia="Times New Roman" w:hAnsi="Times New Roman" w:cs="Times New Roman"/>
          <w:bCs/>
          <w:color w:val="000000"/>
        </w:rPr>
        <w:t>xlsx</w:t>
      </w:r>
      <w:proofErr w:type="spellEnd"/>
      <w:r w:rsidRPr="00A03CC4">
        <w:rPr>
          <w:rFonts w:ascii="Times New Roman" w:eastAsia="Times New Roman" w:hAnsi="Times New Roman" w:cs="Times New Roman"/>
          <w:bCs/>
          <w:color w:val="000000"/>
        </w:rPr>
        <w:t>, .pdf, or .jpg). Third, we remove supplemental materials (including tables) and letters to shareholders. Fourth, we remove conference calls. Fifth, we keep only documents that self-identify as a press release. Sixth, we remove documents that appear to be non-EA press releases, such as announcements of mergers, acquisitions, purchase agreements, share repurchases, and director/executive appointments. Seventh, we restrict the search to documents that have “announce” or “report” in the first 1,000 characters. Finally, we keep the document with the highest total number of earnings words. At the end of the process, if the resulting document has zero earnings words outside of a table, then we restart the search, looking for the document with highest number of earnings words not in a table.</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
          <w:iCs/>
        </w:rPr>
        <w:t>Search Technique</w:t>
      </w:r>
      <w:r w:rsidRPr="00A03CC4">
        <w:rPr>
          <w:rFonts w:ascii="Times New Roman" w:hAnsi="Times New Roman" w:cs="Times New Roman"/>
          <w:bCs/>
          <w:iCs/>
        </w:rPr>
        <w:br/>
        <w:t>Our code takes five broad steps.</w:t>
      </w:r>
      <w:r w:rsidRPr="00A03CC4">
        <w:rPr>
          <w:rStyle w:val="FootnoteReference"/>
          <w:rFonts w:ascii="Times New Roman" w:hAnsi="Times New Roman" w:cs="Times New Roman"/>
          <w:bCs/>
          <w:iCs/>
        </w:rPr>
        <w:footnoteReference w:id="1"/>
      </w:r>
      <w:r w:rsidRPr="00A03CC4">
        <w:rPr>
          <w:rFonts w:ascii="Times New Roman" w:hAnsi="Times New Roman" w:cs="Times New Roman"/>
          <w:bCs/>
          <w:iCs/>
        </w:rPr>
        <w:t xml:space="preserve"> First, we clean up the document by dealing with tables, HTML, punctuation, capitalization, parentheses, alternative spellings, and plurals. In some instances, we write custom code to deal with issues specific to our setting. For example, our code separates hyphens used as bullet points from hyphenated words and hyphens used as a negative symbol. We also remove hyphens in phrases that are sometimes hyphenated (e.g., “earnings-per-share” is converted to “earnings per share”). Similarly, we adjust for phrases that sometimes include a space (e.g., “non </w:t>
      </w:r>
      <w:proofErr w:type="spellStart"/>
      <w:r w:rsidRPr="00A03CC4">
        <w:rPr>
          <w:rFonts w:ascii="Times New Roman" w:hAnsi="Times New Roman" w:cs="Times New Roman"/>
          <w:bCs/>
          <w:iCs/>
        </w:rPr>
        <w:t>gaap</w:t>
      </w:r>
      <w:proofErr w:type="spellEnd"/>
      <w:r w:rsidRPr="00A03CC4">
        <w:rPr>
          <w:rFonts w:ascii="Times New Roman" w:hAnsi="Times New Roman" w:cs="Times New Roman"/>
          <w:bCs/>
          <w:iCs/>
        </w:rPr>
        <w:t>” vs “non-</w:t>
      </w:r>
      <w:proofErr w:type="spellStart"/>
      <w:r w:rsidRPr="00A03CC4">
        <w:rPr>
          <w:rFonts w:ascii="Times New Roman" w:hAnsi="Times New Roman" w:cs="Times New Roman"/>
          <w:bCs/>
          <w:iCs/>
        </w:rPr>
        <w:t>gaap</w:t>
      </w:r>
      <w:proofErr w:type="spellEnd"/>
      <w:r w:rsidRPr="00A03CC4">
        <w:rPr>
          <w:rFonts w:ascii="Times New Roman" w:hAnsi="Times New Roman" w:cs="Times New Roman"/>
          <w:bCs/>
          <w:iCs/>
        </w:rPr>
        <w:t>” vs “</w:t>
      </w:r>
      <w:proofErr w:type="spellStart"/>
      <w:r w:rsidRPr="00A03CC4">
        <w:rPr>
          <w:rFonts w:ascii="Times New Roman" w:hAnsi="Times New Roman" w:cs="Times New Roman"/>
          <w:bCs/>
          <w:iCs/>
        </w:rPr>
        <w:t>nongaap</w:t>
      </w:r>
      <w:proofErr w:type="spellEnd"/>
      <w:r w:rsidRPr="00A03CC4">
        <w:rPr>
          <w:rFonts w:ascii="Times New Roman" w:hAnsi="Times New Roman" w:cs="Times New Roman"/>
          <w:bCs/>
          <w:iCs/>
        </w:rPr>
        <w:t xml:space="preserve">”). We use Python packages (e.g., </w:t>
      </w:r>
      <w:proofErr w:type="spellStart"/>
      <w:r w:rsidRPr="00A03CC4">
        <w:rPr>
          <w:rFonts w:ascii="Times New Roman" w:hAnsi="Times New Roman" w:cs="Times New Roman"/>
          <w:bCs/>
          <w:iCs/>
        </w:rPr>
        <w:t>beautifulsoup</w:t>
      </w:r>
      <w:proofErr w:type="spellEnd"/>
      <w:r w:rsidRPr="00A03CC4">
        <w:rPr>
          <w:rFonts w:ascii="Times New Roman" w:hAnsi="Times New Roman" w:cs="Times New Roman"/>
          <w:bCs/>
          <w:iCs/>
        </w:rPr>
        <w:t xml:space="preserve">, </w:t>
      </w:r>
      <w:proofErr w:type="spellStart"/>
      <w:r w:rsidRPr="00A03CC4">
        <w:rPr>
          <w:rFonts w:ascii="Times New Roman" w:hAnsi="Times New Roman" w:cs="Times New Roman"/>
          <w:bCs/>
          <w:iCs/>
        </w:rPr>
        <w:t>textstat</w:t>
      </w:r>
      <w:proofErr w:type="spellEnd"/>
      <w:r w:rsidRPr="00A03CC4">
        <w:rPr>
          <w:rFonts w:ascii="Times New Roman" w:hAnsi="Times New Roman" w:cs="Times New Roman"/>
          <w:bCs/>
          <w:iCs/>
        </w:rPr>
        <w:t xml:space="preserve">, </w:t>
      </w:r>
      <w:proofErr w:type="spellStart"/>
      <w:r w:rsidRPr="00A03CC4">
        <w:rPr>
          <w:rFonts w:ascii="Times New Roman" w:hAnsi="Times New Roman" w:cs="Times New Roman"/>
          <w:bCs/>
          <w:iCs/>
        </w:rPr>
        <w:t>liwc</w:t>
      </w:r>
      <w:proofErr w:type="spellEnd"/>
      <w:r w:rsidRPr="00A03CC4">
        <w:rPr>
          <w:rFonts w:ascii="Times New Roman" w:hAnsi="Times New Roman" w:cs="Times New Roman"/>
          <w:bCs/>
          <w:iCs/>
        </w:rPr>
        <w:t xml:space="preserve">) to deal with more generic situations (e.g., stripping out html).  </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Second, we make some basic, recurring substitutions to make subsequent code more efficient. Parentheses indicate variants searched for, a blank cell in the “Replacement Phrase” column means that any matches of the search term are deleted from the text.</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5"/>
        <w:gridCol w:w="2430"/>
      </w:tblGrid>
      <w:tr w:rsidR="00A4522B" w:rsidRPr="00A03CC4" w:rsidTr="00AA2A21">
        <w:trPr>
          <w:trHeight w:val="288"/>
        </w:trPr>
        <w:tc>
          <w:tcPr>
            <w:tcW w:w="5845" w:type="dxa"/>
            <w:shd w:val="clear" w:color="auto" w:fill="auto"/>
            <w:noWrap/>
            <w:vAlign w:val="bottom"/>
          </w:tcPr>
          <w:p w:rsidR="00A4522B" w:rsidRPr="00A03CC4" w:rsidRDefault="00A4522B" w:rsidP="00AA2A21">
            <w:pPr>
              <w:spacing w:after="0" w:line="240" w:lineRule="auto"/>
              <w:rPr>
                <w:rFonts w:ascii="Times New Roman" w:eastAsia="Times New Roman" w:hAnsi="Times New Roman" w:cs="Times New Roman"/>
                <w:b/>
                <w:color w:val="000000"/>
              </w:rPr>
            </w:pPr>
            <w:r w:rsidRPr="00A03CC4">
              <w:rPr>
                <w:rFonts w:ascii="Times New Roman" w:eastAsia="Times New Roman" w:hAnsi="Times New Roman" w:cs="Times New Roman"/>
                <w:b/>
                <w:color w:val="000000"/>
              </w:rPr>
              <w:t>Search term</w:t>
            </w:r>
          </w:p>
        </w:tc>
        <w:tc>
          <w:tcPr>
            <w:tcW w:w="2430" w:type="dxa"/>
            <w:shd w:val="clear" w:color="auto" w:fill="auto"/>
            <w:noWrap/>
            <w:vAlign w:val="bottom"/>
          </w:tcPr>
          <w:p w:rsidR="00A4522B" w:rsidRPr="00A03CC4" w:rsidRDefault="00A4522B" w:rsidP="00AA2A21">
            <w:pPr>
              <w:spacing w:after="0" w:line="240" w:lineRule="auto"/>
              <w:rPr>
                <w:rFonts w:ascii="Times New Roman" w:eastAsia="Times New Roman" w:hAnsi="Times New Roman" w:cs="Times New Roman"/>
                <w:b/>
                <w:color w:val="000000"/>
              </w:rPr>
            </w:pPr>
            <w:r w:rsidRPr="00A03CC4">
              <w:rPr>
                <w:rFonts w:ascii="Times New Roman" w:eastAsia="Times New Roman" w:hAnsi="Times New Roman" w:cs="Times New Roman"/>
                <w:b/>
                <w:color w:val="000000"/>
              </w:rPr>
              <w:t>Replacement Phrase</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profitable</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_</w:t>
            </w:r>
            <w:proofErr w:type="spellStart"/>
            <w:r w:rsidRPr="00A03CC4">
              <w:rPr>
                <w:rFonts w:ascii="Times New Roman" w:eastAsia="Times New Roman" w:hAnsi="Times New Roman" w:cs="Times New Roman"/>
                <w:color w:val="000000"/>
              </w:rPr>
              <w:t>nonearnings</w:t>
            </w:r>
            <w:proofErr w:type="spellEnd"/>
            <w:r w:rsidRPr="00A03CC4">
              <w:rPr>
                <w:rFonts w:ascii="Times New Roman" w:eastAsia="Times New Roman" w:hAnsi="Times New Roman" w:cs="Times New Roman"/>
                <w:color w:val="000000"/>
              </w:rPr>
              <w:t>_</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fully diluted</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 xml:space="preserve"> </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lastRenderedPageBreak/>
              <w:t>diluted</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 xml:space="preserve"> </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common</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 xml:space="preserve"> </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basic</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 xml:space="preserve"> </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net (income/loss/earnings)</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earned</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sales</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revenue</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income</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 tax</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tax</w:t>
            </w:r>
          </w:p>
        </w:tc>
      </w:tr>
      <w:tr w:rsidR="00A4522B" w:rsidRPr="00A03CC4" w:rsidTr="00AA2A21">
        <w:trPr>
          <w:trHeight w:val="288"/>
        </w:trPr>
        <w:tc>
          <w:tcPr>
            <w:tcW w:w="584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comprehensive earnings</w:t>
            </w:r>
          </w:p>
        </w:tc>
        <w:tc>
          <w:tcPr>
            <w:tcW w:w="243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r>
    </w:tbl>
    <w:p w:rsidR="00A4522B" w:rsidRPr="00A03CC4" w:rsidRDefault="00A4522B" w:rsidP="00A4522B">
      <w:pPr>
        <w:rPr>
          <w:rFonts w:ascii="Times New Roman" w:hAnsi="Times New Roman" w:cs="Times New Roman"/>
          <w:bCs/>
          <w:iCs/>
        </w:rPr>
      </w:pP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Third, we search for phrases that should be excluded (i.e., rule out false positives). An abbreviated list is included below, although we note that steps 1 (cleaning up the html) and 2 (basic substitutions) greatly increase the variation in terms. Parentheses indicate variants or optional words. Underscores surrounding a word indicate a phrase that was previously identified (e.g., “_</w:t>
      </w:r>
      <w:proofErr w:type="spellStart"/>
      <w:r w:rsidRPr="00A03CC4">
        <w:rPr>
          <w:rFonts w:ascii="Times New Roman" w:hAnsi="Times New Roman" w:cs="Times New Roman"/>
          <w:bCs/>
          <w:iCs/>
        </w:rPr>
        <w:t>grossprofit</w:t>
      </w:r>
      <w:proofErr w:type="spellEnd"/>
      <w:r w:rsidRPr="00A03CC4">
        <w:rPr>
          <w:rFonts w:ascii="Times New Roman" w:hAnsi="Times New Roman" w:cs="Times New Roman"/>
          <w:bCs/>
          <w:iCs/>
        </w:rPr>
        <w:t>_” indicates searching for any “</w:t>
      </w:r>
      <w:proofErr w:type="spellStart"/>
      <w:r w:rsidRPr="00A03CC4">
        <w:rPr>
          <w:rFonts w:ascii="Times New Roman" w:hAnsi="Times New Roman" w:cs="Times New Roman"/>
          <w:bCs/>
          <w:iCs/>
        </w:rPr>
        <w:t>grossprofit</w:t>
      </w:r>
      <w:proofErr w:type="spellEnd"/>
      <w:r w:rsidRPr="00A03CC4">
        <w:rPr>
          <w:rFonts w:ascii="Times New Roman" w:hAnsi="Times New Roman" w:cs="Times New Roman"/>
          <w:bCs/>
          <w:iCs/>
        </w:rPr>
        <w:t>” construct previously identified). Note that some elements of this code run after step 4, to allow variations from step 4 code.</w:t>
      </w:r>
    </w:p>
    <w:tbl>
      <w:tblPr>
        <w:tblW w:w="6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1890"/>
      </w:tblGrid>
      <w:tr w:rsidR="00A4522B" w:rsidRPr="00A03CC4" w:rsidTr="00AA2A21">
        <w:trPr>
          <w:trHeight w:val="288"/>
        </w:trPr>
        <w:tc>
          <w:tcPr>
            <w:tcW w:w="476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Abbreviate Set of Search Terms</w:t>
            </w:r>
          </w:p>
        </w:tc>
        <w:tc>
          <w:tcPr>
            <w:tcW w:w="189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Construct</w:t>
            </w:r>
          </w:p>
        </w:tc>
      </w:tr>
      <w:tr w:rsidR="00A4522B" w:rsidRPr="00A03CC4" w:rsidTr="00AA2A21">
        <w:trPr>
          <w:trHeight w:val="288"/>
        </w:trPr>
        <w:tc>
          <w:tcPr>
            <w:tcW w:w="476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profitable</w:t>
            </w:r>
          </w:p>
        </w:tc>
        <w:tc>
          <w:tcPr>
            <w:tcW w:w="189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loan loss</w:t>
            </w:r>
          </w:p>
        </w:tc>
        <w:tc>
          <w:tcPr>
            <w:tcW w:w="189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cost of (sales/revenue)</w:t>
            </w:r>
          </w:p>
        </w:tc>
        <w:tc>
          <w:tcPr>
            <w:tcW w:w="189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(earnings/sale/revenue) (release/conference call/press release/announcement/statement/schedule)</w:t>
            </w:r>
          </w:p>
        </w:tc>
        <w:tc>
          <w:tcPr>
            <w:tcW w:w="189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earningsrelease</w:t>
            </w:r>
            <w:proofErr w:type="spellEnd"/>
          </w:p>
        </w:tc>
      </w:tr>
      <w:tr w:rsidR="00A4522B" w:rsidRPr="00A03CC4" w:rsidTr="00AA2A21">
        <w:trPr>
          <w:trHeight w:val="288"/>
        </w:trPr>
        <w:tc>
          <w:tcPr>
            <w:tcW w:w="476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(schedule/statement) of (earnings/revenue/revenue and earnings/earnings and revenue)</w:t>
            </w:r>
          </w:p>
        </w:tc>
        <w:tc>
          <w:tcPr>
            <w:tcW w:w="189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earningsrelease</w:t>
            </w:r>
            <w:proofErr w:type="spellEnd"/>
          </w:p>
        </w:tc>
      </w:tr>
      <w:tr w:rsidR="00A4522B" w:rsidRPr="00A03CC4" w:rsidTr="00AA2A21">
        <w:trPr>
          <w:trHeight w:val="288"/>
        </w:trPr>
        <w:tc>
          <w:tcPr>
            <w:tcW w:w="476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earnings from discontinued operations</w:t>
            </w:r>
          </w:p>
        </w:tc>
        <w:tc>
          <w:tcPr>
            <w:tcW w:w="189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(other/segment/investment) earnings</w:t>
            </w:r>
          </w:p>
        </w:tc>
        <w:tc>
          <w:tcPr>
            <w:tcW w:w="189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retained _earnings_</w:t>
            </w:r>
          </w:p>
        </w:tc>
        <w:tc>
          <w:tcPr>
            <w:tcW w:w="189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r w:rsidR="00A4522B" w:rsidRPr="00A03CC4" w:rsidTr="00AA2A21">
        <w:trPr>
          <w:trHeight w:val="288"/>
        </w:trPr>
        <w:tc>
          <w:tcPr>
            <w:tcW w:w="476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(same/comparable) store _revenue_</w:t>
            </w:r>
          </w:p>
        </w:tc>
        <w:tc>
          <w:tcPr>
            <w:tcW w:w="189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nonearnings</w:t>
            </w:r>
            <w:proofErr w:type="spellEnd"/>
          </w:p>
        </w:tc>
      </w:tr>
    </w:tbl>
    <w:p w:rsidR="00A4522B" w:rsidRPr="00A03CC4" w:rsidRDefault="00A4522B" w:rsidP="00A4522B">
      <w:pPr>
        <w:rPr>
          <w:rFonts w:ascii="Times New Roman" w:hAnsi="Times New Roman" w:cs="Times New Roman"/>
          <w:bCs/>
          <w:iCs/>
        </w:rPr>
      </w:pP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 xml:space="preserve">Fourth, we search for constructs of interest (including some constructs not analyzed in the paper). </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440"/>
        <w:gridCol w:w="270"/>
        <w:gridCol w:w="3150"/>
        <w:gridCol w:w="1620"/>
      </w:tblGrid>
      <w:tr w:rsidR="00A4522B" w:rsidRPr="00A03CC4" w:rsidTr="00AA2A21">
        <w:trPr>
          <w:trHeight w:val="288"/>
        </w:trPr>
        <w:tc>
          <w:tcPr>
            <w:tcW w:w="3325"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Abbreviate Set of Search Terms</w:t>
            </w:r>
          </w:p>
        </w:tc>
        <w:tc>
          <w:tcPr>
            <w:tcW w:w="144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Construct</w:t>
            </w:r>
          </w:p>
        </w:tc>
        <w:tc>
          <w:tcPr>
            <w:tcW w:w="270" w:type="dxa"/>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p>
        </w:tc>
        <w:tc>
          <w:tcPr>
            <w:tcW w:w="3150" w:type="dxa"/>
            <w:shd w:val="clear" w:color="auto" w:fill="auto"/>
            <w:noWrap/>
            <w:vAlign w:val="bottom"/>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Abbreviate Set of Search Terms</w:t>
            </w:r>
          </w:p>
        </w:tc>
        <w:tc>
          <w:tcPr>
            <w:tcW w:w="1620" w:type="dxa"/>
            <w:shd w:val="clear" w:color="auto" w:fill="auto"/>
            <w:noWrap/>
            <w:vAlign w:val="bottom"/>
          </w:tcPr>
          <w:p w:rsidR="00A4522B" w:rsidRPr="00A03CC4" w:rsidRDefault="00A4522B" w:rsidP="00AA2A21">
            <w:pPr>
              <w:spacing w:after="0" w:line="240" w:lineRule="auto"/>
              <w:rPr>
                <w:rFonts w:ascii="Times New Roman" w:eastAsia="Times New Roman" w:hAnsi="Times New Roman" w:cs="Times New Roman"/>
                <w:b/>
                <w:bCs/>
                <w:color w:val="000000"/>
                <w:sz w:val="18"/>
                <w:szCs w:val="18"/>
              </w:rPr>
            </w:pPr>
            <w:r w:rsidRPr="00A03CC4">
              <w:rPr>
                <w:rFonts w:ascii="Times New Roman" w:eastAsia="Times New Roman" w:hAnsi="Times New Roman" w:cs="Times New Roman"/>
                <w:b/>
                <w:bCs/>
                <w:color w:val="000000"/>
                <w:sz w:val="18"/>
                <w:szCs w:val="18"/>
              </w:rPr>
              <w:t>Construct</w:t>
            </w:r>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gross (profit/loss)</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grossprofit</w:t>
            </w:r>
            <w:proofErr w:type="spellEnd"/>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_earnings_ before interest and tax</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gross (earning/income/) (margin/percent)</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grossmargin</w:t>
            </w:r>
            <w:proofErr w:type="spellEnd"/>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w:t>
            </w:r>
            <w:proofErr w:type="spellEnd"/>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w:t>
            </w:r>
            <w:proofErr w:type="spellStart"/>
            <w:r w:rsidRPr="00A03CC4">
              <w:rPr>
                <w:rFonts w:ascii="Times New Roman" w:eastAsia="Times New Roman" w:hAnsi="Times New Roman" w:cs="Times New Roman"/>
                <w:color w:val="000000"/>
                <w:sz w:val="18"/>
                <w:szCs w:val="18"/>
              </w:rPr>
              <w:t>grossprofit</w:t>
            </w:r>
            <w:proofErr w:type="spellEnd"/>
            <w:r w:rsidRPr="00A03CC4">
              <w:rPr>
                <w:rFonts w:ascii="Times New Roman" w:eastAsia="Times New Roman" w:hAnsi="Times New Roman" w:cs="Times New Roman"/>
                <w:color w:val="000000"/>
                <w:sz w:val="18"/>
                <w:szCs w:val="18"/>
              </w:rPr>
              <w:t>_ (margin/percent)</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grossmargin</w:t>
            </w:r>
            <w:proofErr w:type="spellEnd"/>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operating _earnings_</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(revenue/sales)</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revenue</w:t>
            </w:r>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_earnings_ (from operations/before tax from continuing operations)</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(earnings per share/eps)</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eps</w:t>
            </w:r>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_earnings_ excluding</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nongaapearnings</w:t>
            </w:r>
            <w:proofErr w:type="spellEnd"/>
          </w:p>
        </w:tc>
      </w:tr>
      <w:tr w:rsidR="00A4522B" w:rsidRPr="00A03CC4" w:rsidTr="00AA2A21">
        <w:trPr>
          <w:trHeight w:val="288"/>
        </w:trPr>
        <w:tc>
          <w:tcPr>
            <w:tcW w:w="332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(profit/loss/lost/earnings)</w:t>
            </w:r>
          </w:p>
        </w:tc>
        <w:tc>
          <w:tcPr>
            <w:tcW w:w="144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earnings</w:t>
            </w:r>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(normalized/</w:t>
            </w:r>
            <w:proofErr w:type="spellStart"/>
            <w:r w:rsidRPr="00A03CC4">
              <w:rPr>
                <w:rFonts w:ascii="Times New Roman" w:eastAsia="Times New Roman" w:hAnsi="Times New Roman" w:cs="Times New Roman"/>
                <w:color w:val="000000"/>
                <w:sz w:val="18"/>
                <w:szCs w:val="18"/>
              </w:rPr>
              <w:t>proforma</w:t>
            </w:r>
            <w:proofErr w:type="spellEnd"/>
            <w:r w:rsidRPr="00A03CC4">
              <w:rPr>
                <w:rFonts w:ascii="Times New Roman" w:eastAsia="Times New Roman" w:hAnsi="Times New Roman" w:cs="Times New Roman"/>
                <w:color w:val="000000"/>
                <w:sz w:val="18"/>
                <w:szCs w:val="18"/>
              </w:rPr>
              <w:t>/pro forma/core/</w:t>
            </w:r>
            <w:proofErr w:type="spellStart"/>
            <w:r w:rsidRPr="00A03CC4">
              <w:rPr>
                <w:rFonts w:ascii="Times New Roman" w:eastAsia="Times New Roman" w:hAnsi="Times New Roman" w:cs="Times New Roman"/>
                <w:color w:val="000000"/>
                <w:sz w:val="18"/>
                <w:szCs w:val="18"/>
              </w:rPr>
              <w:t>nongaap</w:t>
            </w:r>
            <w:proofErr w:type="spellEnd"/>
            <w:r w:rsidRPr="00A03CC4">
              <w:rPr>
                <w:rFonts w:ascii="Times New Roman" w:eastAsia="Times New Roman" w:hAnsi="Times New Roman" w:cs="Times New Roman"/>
                <w:color w:val="000000"/>
                <w:sz w:val="18"/>
                <w:szCs w:val="18"/>
              </w:rPr>
              <w:t>/adjusted) _earnings_</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nongaapearnings</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(cash flow from/cash from/cash used in/funds generated by/funds provided by/funds from) (operating activities/operation)</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opcashflow</w:t>
            </w:r>
            <w:proofErr w:type="spellEnd"/>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(normalized/</w:t>
            </w:r>
            <w:proofErr w:type="spellStart"/>
            <w:r w:rsidRPr="00A03CC4">
              <w:rPr>
                <w:rFonts w:ascii="Times New Roman" w:eastAsia="Times New Roman" w:hAnsi="Times New Roman" w:cs="Times New Roman"/>
                <w:color w:val="000000"/>
                <w:sz w:val="18"/>
                <w:szCs w:val="18"/>
              </w:rPr>
              <w:t>proforma</w:t>
            </w:r>
            <w:proofErr w:type="spellEnd"/>
            <w:r w:rsidRPr="00A03CC4">
              <w:rPr>
                <w:rFonts w:ascii="Times New Roman" w:eastAsia="Times New Roman" w:hAnsi="Times New Roman" w:cs="Times New Roman"/>
                <w:color w:val="000000"/>
                <w:sz w:val="18"/>
                <w:szCs w:val="18"/>
              </w:rPr>
              <w:t>/pro forma/core/</w:t>
            </w:r>
            <w:proofErr w:type="spellStart"/>
            <w:r w:rsidRPr="00A03CC4">
              <w:rPr>
                <w:rFonts w:ascii="Times New Roman" w:eastAsia="Times New Roman" w:hAnsi="Times New Roman" w:cs="Times New Roman"/>
                <w:color w:val="000000"/>
                <w:sz w:val="18"/>
                <w:szCs w:val="18"/>
              </w:rPr>
              <w:t>nongaap</w:t>
            </w:r>
            <w:proofErr w:type="spellEnd"/>
            <w:r w:rsidRPr="00A03CC4">
              <w:rPr>
                <w:rFonts w:ascii="Times New Roman" w:eastAsia="Times New Roman" w:hAnsi="Times New Roman" w:cs="Times New Roman"/>
                <w:color w:val="000000"/>
                <w:sz w:val="18"/>
                <w:szCs w:val="18"/>
              </w:rPr>
              <w:t>/adjusted) _revenue_</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nongaaprevenue</w:t>
            </w:r>
            <w:proofErr w:type="spellEnd"/>
          </w:p>
        </w:tc>
      </w:tr>
      <w:tr w:rsidR="00A4522B" w:rsidRPr="00A03CC4" w:rsidTr="00AA2A21">
        <w:trPr>
          <w:trHeight w:val="288"/>
        </w:trPr>
        <w:tc>
          <w:tcPr>
            <w:tcW w:w="3325"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operating cash flow</w:t>
            </w:r>
          </w:p>
        </w:tc>
        <w:tc>
          <w:tcPr>
            <w:tcW w:w="144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opcashflow</w:t>
            </w:r>
            <w:proofErr w:type="spellEnd"/>
          </w:p>
        </w:tc>
        <w:tc>
          <w:tcPr>
            <w:tcW w:w="270" w:type="dxa"/>
            <w:shd w:val="clear" w:color="auto" w:fill="auto"/>
            <w:noWrap/>
            <w:vAlign w:val="center"/>
            <w:hideMark/>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_revenue_ excluding</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nongaaprevenue</w:t>
            </w:r>
            <w:proofErr w:type="spellEnd"/>
          </w:p>
        </w:tc>
      </w:tr>
      <w:tr w:rsidR="00A4522B" w:rsidRPr="00A03CC4" w:rsidTr="00AA2A21">
        <w:trPr>
          <w:trHeight w:val="288"/>
        </w:trPr>
        <w:tc>
          <w:tcPr>
            <w:tcW w:w="332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lastRenderedPageBreak/>
              <w:t>free cash flow</w:t>
            </w:r>
          </w:p>
        </w:tc>
        <w:tc>
          <w:tcPr>
            <w:tcW w:w="144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freecashflow</w:t>
            </w:r>
            <w:proofErr w:type="spellEnd"/>
          </w:p>
        </w:tc>
        <w:tc>
          <w:tcPr>
            <w:tcW w:w="27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(normalized/</w:t>
            </w:r>
            <w:proofErr w:type="spellStart"/>
            <w:r w:rsidRPr="00A03CC4">
              <w:rPr>
                <w:rFonts w:ascii="Times New Roman" w:eastAsia="Times New Roman" w:hAnsi="Times New Roman" w:cs="Times New Roman"/>
                <w:color w:val="000000"/>
                <w:sz w:val="18"/>
                <w:szCs w:val="18"/>
              </w:rPr>
              <w:t>proforma</w:t>
            </w:r>
            <w:proofErr w:type="spellEnd"/>
            <w:r w:rsidRPr="00A03CC4">
              <w:rPr>
                <w:rFonts w:ascii="Times New Roman" w:eastAsia="Times New Roman" w:hAnsi="Times New Roman" w:cs="Times New Roman"/>
                <w:color w:val="000000"/>
                <w:sz w:val="18"/>
                <w:szCs w:val="18"/>
              </w:rPr>
              <w:t>/pro forma/core/</w:t>
            </w:r>
            <w:proofErr w:type="spellStart"/>
            <w:r w:rsidRPr="00A03CC4">
              <w:rPr>
                <w:rFonts w:ascii="Times New Roman" w:eastAsia="Times New Roman" w:hAnsi="Times New Roman" w:cs="Times New Roman"/>
                <w:color w:val="000000"/>
                <w:sz w:val="18"/>
                <w:szCs w:val="18"/>
              </w:rPr>
              <w:t>nongaap</w:t>
            </w:r>
            <w:proofErr w:type="spellEnd"/>
            <w:r w:rsidRPr="00A03CC4">
              <w:rPr>
                <w:rFonts w:ascii="Times New Roman" w:eastAsia="Times New Roman" w:hAnsi="Times New Roman" w:cs="Times New Roman"/>
                <w:color w:val="000000"/>
                <w:sz w:val="18"/>
                <w:szCs w:val="18"/>
              </w:rPr>
              <w:t>/adjusted) _eps_</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nongaapeps</w:t>
            </w:r>
            <w:proofErr w:type="spellEnd"/>
          </w:p>
        </w:tc>
      </w:tr>
      <w:tr w:rsidR="00A4522B" w:rsidRPr="00A03CC4" w:rsidTr="00AA2A21">
        <w:trPr>
          <w:trHeight w:val="288"/>
        </w:trPr>
        <w:tc>
          <w:tcPr>
            <w:tcW w:w="332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dividend</w:t>
            </w:r>
          </w:p>
        </w:tc>
        <w:tc>
          <w:tcPr>
            <w:tcW w:w="144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dividend</w:t>
            </w:r>
          </w:p>
        </w:tc>
        <w:tc>
          <w:tcPr>
            <w:tcW w:w="27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_eps_ excluding</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nongaapeps</w:t>
            </w:r>
            <w:proofErr w:type="spellEnd"/>
          </w:p>
        </w:tc>
      </w:tr>
      <w:tr w:rsidR="00A4522B" w:rsidRPr="00A03CC4" w:rsidTr="00AA2A21">
        <w:trPr>
          <w:trHeight w:val="683"/>
        </w:trPr>
        <w:tc>
          <w:tcPr>
            <w:tcW w:w="332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_earnings_ before interest tax depreciation and amortization</w:t>
            </w:r>
          </w:p>
        </w:tc>
        <w:tc>
          <w:tcPr>
            <w:tcW w:w="144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ebitda</w:t>
            </w:r>
            <w:proofErr w:type="spellEnd"/>
          </w:p>
        </w:tc>
        <w:tc>
          <w:tcPr>
            <w:tcW w:w="27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(_eps_/_earnings_/_revenue_/</w:t>
            </w:r>
          </w:p>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_</w:t>
            </w:r>
            <w:proofErr w:type="spellStart"/>
            <w:r w:rsidRPr="00A03CC4">
              <w:rPr>
                <w:rFonts w:ascii="Times New Roman" w:eastAsia="Times New Roman" w:hAnsi="Times New Roman" w:cs="Times New Roman"/>
                <w:color w:val="000000"/>
                <w:sz w:val="18"/>
                <w:szCs w:val="18"/>
              </w:rPr>
              <w:t>nongaapearnings</w:t>
            </w:r>
            <w:proofErr w:type="spellEnd"/>
            <w:r w:rsidRPr="00A03CC4">
              <w:rPr>
                <w:rFonts w:ascii="Times New Roman" w:eastAsia="Times New Roman" w:hAnsi="Times New Roman" w:cs="Times New Roman"/>
                <w:color w:val="000000"/>
                <w:sz w:val="18"/>
                <w:szCs w:val="18"/>
              </w:rPr>
              <w:t>_/_</w:t>
            </w:r>
            <w:proofErr w:type="spellStart"/>
            <w:r w:rsidRPr="00A03CC4">
              <w:rPr>
                <w:rFonts w:ascii="Times New Roman" w:eastAsia="Times New Roman" w:hAnsi="Times New Roman" w:cs="Times New Roman"/>
                <w:color w:val="000000"/>
                <w:sz w:val="18"/>
                <w:szCs w:val="18"/>
              </w:rPr>
              <w:t>nongaapeps</w:t>
            </w:r>
            <w:proofErr w:type="spellEnd"/>
            <w:r w:rsidRPr="00A03CC4">
              <w:rPr>
                <w:rFonts w:ascii="Times New Roman" w:eastAsia="Times New Roman" w:hAnsi="Times New Roman" w:cs="Times New Roman"/>
                <w:color w:val="000000"/>
                <w:sz w:val="18"/>
                <w:szCs w:val="18"/>
              </w:rPr>
              <w:t>_/</w:t>
            </w:r>
            <w:r w:rsidRPr="00A03CC4">
              <w:rPr>
                <w:rFonts w:ascii="Times New Roman" w:eastAsia="Times New Roman" w:hAnsi="Times New Roman" w:cs="Times New Roman"/>
                <w:color w:val="000000"/>
                <w:sz w:val="18"/>
                <w:szCs w:val="18"/>
              </w:rPr>
              <w:br/>
              <w:t>_</w:t>
            </w:r>
            <w:proofErr w:type="spellStart"/>
            <w:r w:rsidRPr="00A03CC4">
              <w:rPr>
                <w:rFonts w:ascii="Times New Roman" w:eastAsia="Times New Roman" w:hAnsi="Times New Roman" w:cs="Times New Roman"/>
                <w:color w:val="000000"/>
                <w:sz w:val="18"/>
                <w:szCs w:val="18"/>
              </w:rPr>
              <w:t>nongaaprevenue</w:t>
            </w:r>
            <w:proofErr w:type="spellEnd"/>
            <w:r w:rsidRPr="00A03CC4">
              <w:rPr>
                <w:rFonts w:ascii="Times New Roman" w:eastAsia="Times New Roman" w:hAnsi="Times New Roman" w:cs="Times New Roman"/>
                <w:color w:val="000000"/>
                <w:sz w:val="18"/>
                <w:szCs w:val="18"/>
              </w:rPr>
              <w:t>_) guidance</w:t>
            </w: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r w:rsidRPr="00A03CC4">
              <w:rPr>
                <w:rFonts w:ascii="Times New Roman" w:eastAsia="Times New Roman" w:hAnsi="Times New Roman" w:cs="Times New Roman"/>
                <w:color w:val="000000"/>
                <w:sz w:val="18"/>
                <w:szCs w:val="18"/>
              </w:rPr>
              <w:t>guidance</w:t>
            </w:r>
          </w:p>
        </w:tc>
      </w:tr>
      <w:tr w:rsidR="00A4522B" w:rsidRPr="00A03CC4" w:rsidTr="00AA2A21">
        <w:trPr>
          <w:trHeight w:val="269"/>
        </w:trPr>
        <w:tc>
          <w:tcPr>
            <w:tcW w:w="3325"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ebitda</w:t>
            </w:r>
            <w:proofErr w:type="spellEnd"/>
          </w:p>
        </w:tc>
        <w:tc>
          <w:tcPr>
            <w:tcW w:w="144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roofErr w:type="spellStart"/>
            <w:r w:rsidRPr="00A03CC4">
              <w:rPr>
                <w:rFonts w:ascii="Times New Roman" w:eastAsia="Times New Roman" w:hAnsi="Times New Roman" w:cs="Times New Roman"/>
                <w:color w:val="000000"/>
                <w:sz w:val="18"/>
                <w:szCs w:val="18"/>
              </w:rPr>
              <w:t>ebitda</w:t>
            </w:r>
            <w:proofErr w:type="spellEnd"/>
          </w:p>
        </w:tc>
        <w:tc>
          <w:tcPr>
            <w:tcW w:w="27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315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c>
          <w:tcPr>
            <w:tcW w:w="1620" w:type="dxa"/>
            <w:shd w:val="clear" w:color="auto" w:fill="auto"/>
            <w:noWrap/>
            <w:vAlign w:val="center"/>
          </w:tcPr>
          <w:p w:rsidR="00A4522B" w:rsidRPr="00A03CC4" w:rsidRDefault="00A4522B" w:rsidP="00AA2A21">
            <w:pPr>
              <w:spacing w:after="0" w:line="240" w:lineRule="auto"/>
              <w:rPr>
                <w:rFonts w:ascii="Times New Roman" w:eastAsia="Times New Roman" w:hAnsi="Times New Roman" w:cs="Times New Roman"/>
                <w:color w:val="000000"/>
                <w:sz w:val="18"/>
                <w:szCs w:val="18"/>
              </w:rPr>
            </w:pPr>
          </w:p>
        </w:tc>
      </w:tr>
    </w:tbl>
    <w:p w:rsidR="00A4522B" w:rsidRPr="00A03CC4" w:rsidRDefault="00A4522B" w:rsidP="00A4522B">
      <w:pPr>
        <w:rPr>
          <w:rFonts w:ascii="Times New Roman" w:hAnsi="Times New Roman" w:cs="Times New Roman"/>
          <w:bCs/>
          <w:iCs/>
        </w:rPr>
      </w:pP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 xml:space="preserve">Finally, we identify the textual highlighting of each metric. Conceptually, a metric is highlighted if it is formatted in a way that draws attention to it. We establish two criteria for a metric to be highlighted. First, it needs to be early in the document. For purposes of our Python code, we define “early” as the first 300 words or first quarter of the document (whichever is longer). Second, the metric needs to be distinguished from plain text. Through anecdotal reading of filings, we noted that the most common ways to highlight text were through bolding, bullet lists, and centering. Conceptually, underlining and italics could also be used. However, we observed very little use of underlining, and italics were used almost exclusively for safe harbor disclosures. As such, we do not code those two metrics. </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 xml:space="preserve">After limiting each filing to the first 300 words or first quarter of the document (whichever is longer), our code searches for blocks of text with different formatting styles and then checks if any of our metrics (identified in steps 1-4) are included in that block of text. We identify centered, bolded, or bulleted text using a combination of html tags including &lt;B&gt;, &lt;STRONG&gt;, &lt;CENTER&gt;, &lt;FONT&gt;, &lt;DIV&gt;, &lt;SPAN&gt; and &lt;UL&gt;. We also search for bullet lists formatted using tables or text with negative bottom margins, as well as text formatted using hard-coded characters (e.g., a hyphen for a bullet point, a series of spaces to center information) for documents that do not use html. </w:t>
      </w:r>
      <w:r w:rsidRPr="00A03CC4">
        <w:rPr>
          <w:rFonts w:ascii="Times New Roman" w:hAnsi="Times New Roman" w:cs="Times New Roman"/>
          <w:bCs/>
          <w:iCs/>
        </w:rPr>
        <w:br w:type="page"/>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
          <w:iCs/>
        </w:rPr>
        <w:lastRenderedPageBreak/>
        <w:t>Accuracy Rates</w:t>
      </w:r>
      <w:r w:rsidRPr="00A03CC4">
        <w:rPr>
          <w:rFonts w:ascii="Times New Roman" w:hAnsi="Times New Roman" w:cs="Times New Roman"/>
          <w:bCs/>
          <w:iCs/>
        </w:rPr>
        <w:br/>
        <w:t>To test the accuracy of our code, we had two research assistants who did not work on the Python manually code EAs in three steps. First, they checked whether Python identified the correct EA document, as described in Section 3.2 of the text. We identified the correct document in 197 out of 200 instances (98.5% accuracy).</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Second, for a subsample of 197 filings where we identified the correct document, the research assistants code whether each of our metrics of interest was disclosed in the document. Two authors who did not work on the python code then reconciled any disagreement among the research assistants without looking at the dataset.</w:t>
      </w: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 xml:space="preserve">The table below presents accuracy rates for each metric, based on whether the Python code accurately identified the metric in the press release. We walk through </w:t>
      </w:r>
      <w:r w:rsidRPr="00A03CC4">
        <w:rPr>
          <w:rFonts w:ascii="Times New Roman" w:hAnsi="Times New Roman" w:cs="Times New Roman"/>
          <w:bCs/>
          <w:iCs/>
          <w:lang w:eastAsia="zh-CN"/>
        </w:rPr>
        <w:t>r</w:t>
      </w:r>
      <w:r w:rsidRPr="00A03CC4">
        <w:rPr>
          <w:rFonts w:ascii="Times New Roman" w:hAnsi="Times New Roman" w:cs="Times New Roman"/>
          <w:bCs/>
          <w:iCs/>
        </w:rPr>
        <w:t>evenue to demonstrate how to interpret the table. Of the 197 EAs, our code identifies a revenue mention in 189 and no revenue mention in 8. The research assistants identified a revenue mention in 188 of the 189 “Yes” revenue observations (99.47%) and identified no revenue mention in 5 of the 8 EAs where the Python code did not identify a revenue mention (62.50%). Thus, the overall accuracy was 97.97% for revenue. The code is least accurate at identifying EBIT (overall accuracy = 86.8%), operating cash flows (overall accuracy = 87.8%) and non-GAAP earnings (overall accuracy = 88.8%). Overall accuracy for all other variables is greater than 93%, and the average accuracy across all variables is 94.10%.</w:t>
      </w:r>
    </w:p>
    <w:tbl>
      <w:tblPr>
        <w:tblW w:w="8290" w:type="dxa"/>
        <w:jc w:val="center"/>
        <w:tblLook w:val="04A0" w:firstRow="1" w:lastRow="0" w:firstColumn="1" w:lastColumn="0" w:noHBand="0" w:noVBand="1"/>
      </w:tblPr>
      <w:tblGrid>
        <w:gridCol w:w="3330"/>
        <w:gridCol w:w="1240"/>
        <w:gridCol w:w="1240"/>
        <w:gridCol w:w="1240"/>
        <w:gridCol w:w="1240"/>
      </w:tblGrid>
      <w:tr w:rsidR="00A4522B" w:rsidRPr="00A03CC4" w:rsidTr="00AA2A21">
        <w:trPr>
          <w:trHeight w:val="564"/>
          <w:jc w:val="center"/>
        </w:trPr>
        <w:tc>
          <w:tcPr>
            <w:tcW w:w="3330" w:type="dxa"/>
            <w:tcBorders>
              <w:top w:val="single" w:sz="4" w:space="0" w:color="auto"/>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Metric</w:t>
            </w:r>
          </w:p>
        </w:tc>
        <w:tc>
          <w:tcPr>
            <w:tcW w:w="1240" w:type="dxa"/>
            <w:tcBorders>
              <w:top w:val="single" w:sz="4" w:space="0" w:color="auto"/>
              <w:left w:val="nil"/>
              <w:bottom w:val="nil"/>
              <w:right w:val="nil"/>
            </w:tcBorders>
            <w:shd w:val="clear" w:color="auto" w:fill="auto"/>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Identified in Dataset</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N</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N Correct</w:t>
            </w:r>
          </w:p>
        </w:tc>
        <w:tc>
          <w:tcPr>
            <w:tcW w:w="1240" w:type="dxa"/>
            <w:tcBorders>
              <w:top w:val="single" w:sz="4" w:space="0" w:color="auto"/>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Percent Correct</w:t>
            </w:r>
          </w:p>
        </w:tc>
      </w:tr>
      <w:tr w:rsidR="00A4522B" w:rsidRPr="00A03CC4" w:rsidTr="00AA2A21">
        <w:trPr>
          <w:trHeight w:val="288"/>
          <w:jc w:val="center"/>
        </w:trPr>
        <w:tc>
          <w:tcPr>
            <w:tcW w:w="3330" w:type="dxa"/>
            <w:tcBorders>
              <w:top w:val="single" w:sz="4" w:space="0" w:color="auto"/>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0</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N/A</w:t>
            </w:r>
          </w:p>
        </w:tc>
        <w:tc>
          <w:tcPr>
            <w:tcW w:w="1240" w:type="dxa"/>
            <w:tcBorders>
              <w:top w:val="single" w:sz="4" w:space="0" w:color="auto"/>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N/A</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Earnings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100.00%</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Earnings</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100.00%</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Revenue</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5</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62.50%</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Revenue</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189</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188</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99.47%</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Revenue</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97.97%</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Non-GAAP</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113</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99</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87.61%</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Non-GAAP</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84</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76</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90.48%</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Non-GAAP</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175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88.83%</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EBIT</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44</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37</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84.09%</w:t>
            </w:r>
          </w:p>
        </w:tc>
      </w:tr>
      <w:tr w:rsidR="00A4522B" w:rsidRPr="00A03CC4" w:rsidTr="00AA2A21">
        <w:trPr>
          <w:trHeight w:val="288"/>
          <w:jc w:val="center"/>
        </w:trPr>
        <w:tc>
          <w:tcPr>
            <w:tcW w:w="333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EBIT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153</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134</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87.58%</w:t>
            </w:r>
          </w:p>
        </w:tc>
      </w:tr>
      <w:tr w:rsidR="00A4522B" w:rsidRPr="00A03CC4" w:rsidTr="00AA2A21">
        <w:trPr>
          <w:trHeight w:val="288"/>
          <w:jc w:val="center"/>
        </w:trPr>
        <w:tc>
          <w:tcPr>
            <w:tcW w:w="333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EBIT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171</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86.80%</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EBITDA</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144</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144</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100.00%</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EBITDA</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53</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52</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98.11%</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EBITDA</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196</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99.49%</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Operating Cash Flows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98</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89</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90.82%</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Operating Cash Flows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99</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84</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84.85%</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Operating Cash Flows</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173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87.82%</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Gross Margin</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149</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139</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93.29%</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Gross Margin</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48</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46</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95.83%</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Gross Margin</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185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93.91%</w:t>
            </w:r>
          </w:p>
        </w:tc>
      </w:tr>
      <w:tr w:rsidR="00A4522B" w:rsidRPr="00A03CC4" w:rsidTr="00AA2A21">
        <w:trPr>
          <w:trHeight w:val="288"/>
          <w:jc w:val="center"/>
        </w:trPr>
        <w:tc>
          <w:tcPr>
            <w:tcW w:w="333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Gross Profit</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No</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126</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125</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99.21%</w:t>
            </w:r>
          </w:p>
        </w:tc>
      </w:tr>
      <w:tr w:rsidR="00A4522B" w:rsidRPr="00A03CC4" w:rsidTr="00AA2A21">
        <w:trPr>
          <w:trHeight w:val="288"/>
          <w:jc w:val="center"/>
        </w:trPr>
        <w:tc>
          <w:tcPr>
            <w:tcW w:w="333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Gross Profit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Yes</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68</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95.77%</w:t>
            </w:r>
          </w:p>
        </w:tc>
      </w:tr>
      <w:tr w:rsidR="00A4522B" w:rsidRPr="00A03CC4" w:rsidTr="00AA2A21">
        <w:trPr>
          <w:trHeight w:val="288"/>
          <w:jc w:val="center"/>
        </w:trPr>
        <w:tc>
          <w:tcPr>
            <w:tcW w:w="3330" w:type="dxa"/>
            <w:tcBorders>
              <w:top w:val="single" w:sz="4" w:space="0" w:color="auto"/>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lastRenderedPageBreak/>
              <w:t>Overall Gross Profit</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197</w:t>
            </w:r>
          </w:p>
        </w:tc>
        <w:tc>
          <w:tcPr>
            <w:tcW w:w="1240" w:type="dxa"/>
            <w:tcBorders>
              <w:top w:val="single" w:sz="4" w:space="0" w:color="auto"/>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193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97.97%</w:t>
            </w:r>
          </w:p>
        </w:tc>
      </w:tr>
    </w:tbl>
    <w:p w:rsidR="00A4522B" w:rsidRPr="00A03CC4" w:rsidRDefault="00A4522B" w:rsidP="00A4522B">
      <w:pPr>
        <w:rPr>
          <w:rFonts w:ascii="Times New Roman" w:hAnsi="Times New Roman" w:cs="Times New Roman"/>
          <w:bCs/>
          <w:iCs/>
        </w:rPr>
      </w:pPr>
    </w:p>
    <w:p w:rsidR="00A4522B" w:rsidRPr="00A03CC4" w:rsidRDefault="00A4522B" w:rsidP="00A4522B">
      <w:pPr>
        <w:rPr>
          <w:rFonts w:ascii="Times New Roman" w:hAnsi="Times New Roman" w:cs="Times New Roman"/>
          <w:bCs/>
          <w:iCs/>
        </w:rPr>
      </w:pPr>
      <w:r w:rsidRPr="00A03CC4">
        <w:rPr>
          <w:rFonts w:ascii="Times New Roman" w:hAnsi="Times New Roman" w:cs="Times New Roman"/>
          <w:bCs/>
          <w:iCs/>
        </w:rPr>
        <w:t>Finally, for the subsample of metric-EA observations where the Python code indicated that a metric was disclosed, we evaluate whether the code correctly identified whether the metric was textually differentiated at least one time in the EA (i.e., bolded, bulleted, and/or centered). In the 197 EAs evaluated, we identified 894 mentions of the 8 metrics (sum of the “Yes” observations).</w:t>
      </w:r>
      <w:r w:rsidRPr="00A03CC4">
        <w:rPr>
          <w:rStyle w:val="FootnoteReference"/>
          <w:rFonts w:ascii="Times New Roman" w:hAnsi="Times New Roman" w:cs="Times New Roman"/>
          <w:bCs/>
          <w:iCs/>
        </w:rPr>
        <w:footnoteReference w:id="2"/>
      </w:r>
      <w:r w:rsidRPr="00A03CC4">
        <w:rPr>
          <w:rFonts w:ascii="Times New Roman" w:hAnsi="Times New Roman" w:cs="Times New Roman"/>
          <w:bCs/>
          <w:iCs/>
        </w:rPr>
        <w:t xml:space="preserve"> In other words, our sample includes 197 EA-earnings, 189 EA-revenue, 84 EA-NG earnings, 153 EA-EBIT, 53 EA-EBITDA, 99 EA-operating cash flows, 48 EA-gross margin, and 71 EA-gross profit. Our research assistants performed an independent assessment of whether a given metric was bolded, bulleted, or centered at least once in a given document and we compared that to our dataset. Of the 153 metric-EAs which our code identified a bolded mention of the given metric, the research assistants identified a bold mention of that metric in 138 metric-EAs (90.20% correct). Conversely of the 894 metric-EAs, the Python code did not identify a bolding of the metric in 741 metric-EA observations. The graduate assistants identified no bolding of the given metric in 709 of these instances (95.68 percent). For example, a given observation would be an EA where the code did not identify any bolding of an earnings term. Our graduate assistants would evaluate that EA for whether earnings were bolded at least once in that EA. If there was no bolding of earnings terms (outside of tables), then this would be classified as a “correct” observation. The table below presents our accuracy rates for each formatting style, based on whether our Python code said that a particular formatting style was used for a particular metric. The code has an overall accuracy of at least 90% for each formatting style. </w:t>
      </w:r>
    </w:p>
    <w:tbl>
      <w:tblPr>
        <w:tblW w:w="7030" w:type="dxa"/>
        <w:jc w:val="center"/>
        <w:tblLook w:val="04A0" w:firstRow="1" w:lastRow="0" w:firstColumn="1" w:lastColumn="0" w:noHBand="0" w:noVBand="1"/>
      </w:tblPr>
      <w:tblGrid>
        <w:gridCol w:w="2070"/>
        <w:gridCol w:w="1240"/>
        <w:gridCol w:w="1240"/>
        <w:gridCol w:w="1240"/>
        <w:gridCol w:w="1240"/>
      </w:tblGrid>
      <w:tr w:rsidR="00A4522B" w:rsidRPr="00A03CC4" w:rsidTr="00AA2A21">
        <w:trPr>
          <w:trHeight w:val="564"/>
          <w:jc w:val="center"/>
        </w:trPr>
        <w:tc>
          <w:tcPr>
            <w:tcW w:w="2070" w:type="dxa"/>
            <w:tcBorders>
              <w:top w:val="single" w:sz="4" w:space="0" w:color="auto"/>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Format Attribute</w:t>
            </w:r>
          </w:p>
        </w:tc>
        <w:tc>
          <w:tcPr>
            <w:tcW w:w="1240" w:type="dxa"/>
            <w:tcBorders>
              <w:top w:val="single" w:sz="4" w:space="0" w:color="auto"/>
              <w:left w:val="nil"/>
              <w:bottom w:val="nil"/>
              <w:right w:val="nil"/>
            </w:tcBorders>
            <w:shd w:val="clear" w:color="auto" w:fill="auto"/>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Python Result</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N</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N Correct</w:t>
            </w:r>
          </w:p>
        </w:tc>
        <w:tc>
          <w:tcPr>
            <w:tcW w:w="1240" w:type="dxa"/>
            <w:tcBorders>
              <w:top w:val="single" w:sz="4" w:space="0" w:color="auto"/>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b/>
                <w:bCs/>
                <w:color w:val="000000"/>
              </w:rPr>
            </w:pPr>
            <w:r w:rsidRPr="00A03CC4">
              <w:rPr>
                <w:rFonts w:ascii="Times New Roman" w:eastAsia="Times New Roman" w:hAnsi="Times New Roman" w:cs="Times New Roman"/>
                <w:b/>
                <w:bCs/>
                <w:color w:val="000000"/>
              </w:rPr>
              <w:t>Percent Correct</w:t>
            </w:r>
          </w:p>
        </w:tc>
      </w:tr>
      <w:tr w:rsidR="00A4522B" w:rsidRPr="00A03CC4" w:rsidTr="00AA2A21">
        <w:trPr>
          <w:trHeight w:val="288"/>
          <w:jc w:val="center"/>
        </w:trPr>
        <w:tc>
          <w:tcPr>
            <w:tcW w:w="2070" w:type="dxa"/>
            <w:tcBorders>
              <w:top w:val="single" w:sz="4" w:space="0" w:color="auto"/>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Bold</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0</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741</w:t>
            </w:r>
          </w:p>
        </w:tc>
        <w:tc>
          <w:tcPr>
            <w:tcW w:w="1240" w:type="dxa"/>
            <w:tcBorders>
              <w:top w:val="single" w:sz="4" w:space="0" w:color="auto"/>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709</w:t>
            </w:r>
          </w:p>
        </w:tc>
        <w:tc>
          <w:tcPr>
            <w:tcW w:w="1240" w:type="dxa"/>
            <w:tcBorders>
              <w:top w:val="single" w:sz="4" w:space="0" w:color="auto"/>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95.68%</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Bold</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153</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138</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90.20%</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Bold</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894</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847</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94.74%</w:t>
            </w:r>
          </w:p>
        </w:tc>
      </w:tr>
      <w:tr w:rsidR="00A4522B" w:rsidRPr="00A03CC4" w:rsidTr="00AA2A21">
        <w:trPr>
          <w:trHeight w:val="288"/>
          <w:jc w:val="center"/>
        </w:trPr>
        <w:tc>
          <w:tcPr>
            <w:tcW w:w="207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Bullet</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0</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658</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610</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92.71%</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Bullet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236</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207</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87.71%</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Bullet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894</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817</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91.39%</w:t>
            </w:r>
          </w:p>
        </w:tc>
      </w:tr>
      <w:tr w:rsidR="00A4522B" w:rsidRPr="00A03CC4" w:rsidTr="00AA2A21">
        <w:trPr>
          <w:trHeight w:val="288"/>
          <w:jc w:val="center"/>
        </w:trPr>
        <w:tc>
          <w:tcPr>
            <w:tcW w:w="207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Center</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0</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774</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749</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96.77%</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Center</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120</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108</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90.00%</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Center</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894</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857</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95.86%</w:t>
            </w:r>
          </w:p>
        </w:tc>
      </w:tr>
      <w:tr w:rsidR="00A4522B" w:rsidRPr="00A03CC4" w:rsidTr="00AA2A21">
        <w:trPr>
          <w:trHeight w:val="288"/>
          <w:jc w:val="center"/>
        </w:trPr>
        <w:tc>
          <w:tcPr>
            <w:tcW w:w="2070" w:type="dxa"/>
            <w:tcBorders>
              <w:top w:val="nil"/>
              <w:left w:val="single" w:sz="4" w:space="0" w:color="auto"/>
              <w:bottom w:val="nil"/>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Highlight</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0</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563</w:t>
            </w:r>
          </w:p>
        </w:tc>
        <w:tc>
          <w:tcPr>
            <w:tcW w:w="1240" w:type="dxa"/>
            <w:tcBorders>
              <w:top w:val="nil"/>
              <w:left w:val="nil"/>
              <w:bottom w:val="nil"/>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510</w:t>
            </w:r>
          </w:p>
        </w:tc>
        <w:tc>
          <w:tcPr>
            <w:tcW w:w="1240" w:type="dxa"/>
            <w:tcBorders>
              <w:top w:val="nil"/>
              <w:left w:val="nil"/>
              <w:bottom w:val="nil"/>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90.59%</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Highlight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331</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300</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90.63%</w:t>
            </w:r>
          </w:p>
        </w:tc>
      </w:tr>
      <w:tr w:rsidR="00A4522B" w:rsidRPr="00A03CC4" w:rsidTr="00AA2A21">
        <w:trPr>
          <w:trHeight w:val="288"/>
          <w:jc w:val="center"/>
        </w:trPr>
        <w:tc>
          <w:tcPr>
            <w:tcW w:w="2070" w:type="dxa"/>
            <w:tcBorders>
              <w:top w:val="nil"/>
              <w:left w:val="single" w:sz="4" w:space="0" w:color="auto"/>
              <w:bottom w:val="single" w:sz="4" w:space="0" w:color="auto"/>
              <w:right w:val="nil"/>
            </w:tcBorders>
            <w:shd w:val="clear" w:color="auto" w:fill="auto"/>
            <w:noWrap/>
            <w:vAlign w:val="bottom"/>
            <w:hideMark/>
          </w:tcPr>
          <w:p w:rsidR="00A4522B" w:rsidRPr="00A03CC4" w:rsidRDefault="00A4522B" w:rsidP="00AA2A21">
            <w:pPr>
              <w:spacing w:after="0" w:line="240" w:lineRule="auto"/>
              <w:rPr>
                <w:rFonts w:ascii="Times New Roman" w:eastAsia="Times New Roman" w:hAnsi="Times New Roman" w:cs="Times New Roman"/>
                <w:color w:val="000000"/>
              </w:rPr>
            </w:pPr>
            <w:r w:rsidRPr="00A03CC4">
              <w:rPr>
                <w:rFonts w:ascii="Times New Roman" w:eastAsia="Times New Roman" w:hAnsi="Times New Roman" w:cs="Times New Roman"/>
                <w:color w:val="000000"/>
              </w:rPr>
              <w:t>Overall Highlight</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 </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894</w:t>
            </w:r>
          </w:p>
        </w:tc>
        <w:tc>
          <w:tcPr>
            <w:tcW w:w="1240" w:type="dxa"/>
            <w:tcBorders>
              <w:top w:val="nil"/>
              <w:left w:val="nil"/>
              <w:bottom w:val="single" w:sz="4" w:space="0" w:color="auto"/>
              <w:right w:val="nil"/>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810</w:t>
            </w:r>
          </w:p>
        </w:tc>
        <w:tc>
          <w:tcPr>
            <w:tcW w:w="1240" w:type="dxa"/>
            <w:tcBorders>
              <w:top w:val="nil"/>
              <w:left w:val="nil"/>
              <w:bottom w:val="single" w:sz="4" w:space="0" w:color="auto"/>
              <w:right w:val="single" w:sz="4" w:space="0" w:color="auto"/>
            </w:tcBorders>
            <w:shd w:val="clear" w:color="auto" w:fill="auto"/>
            <w:noWrap/>
            <w:vAlign w:val="bottom"/>
            <w:hideMark/>
          </w:tcPr>
          <w:p w:rsidR="00A4522B" w:rsidRPr="00A03CC4" w:rsidRDefault="00A4522B" w:rsidP="00AA2A21">
            <w:pPr>
              <w:spacing w:after="0" w:line="240" w:lineRule="auto"/>
              <w:jc w:val="center"/>
              <w:rPr>
                <w:rFonts w:ascii="Times New Roman" w:eastAsia="Times New Roman" w:hAnsi="Times New Roman" w:cs="Times New Roman"/>
                <w:color w:val="000000"/>
              </w:rPr>
            </w:pPr>
            <w:r w:rsidRPr="00A03CC4">
              <w:rPr>
                <w:rFonts w:ascii="Times New Roman" w:eastAsia="Times New Roman" w:hAnsi="Times New Roman" w:cs="Times New Roman"/>
                <w:color w:val="000000"/>
              </w:rPr>
              <w:t>90.60%</w:t>
            </w:r>
          </w:p>
        </w:tc>
      </w:tr>
      <w:bookmarkEnd w:id="1"/>
    </w:tbl>
    <w:p w:rsidR="00A4522B" w:rsidRPr="00A03CC4" w:rsidRDefault="00A4522B" w:rsidP="00A4522B">
      <w:pPr>
        <w:rPr>
          <w:rFonts w:ascii="Times New Roman" w:hAnsi="Times New Roman" w:cs="Times New Roman"/>
          <w:bCs/>
          <w:iCs/>
        </w:rPr>
      </w:pPr>
    </w:p>
    <w:p w:rsidR="00A4522B" w:rsidRPr="00A03CC4" w:rsidRDefault="00A4522B" w:rsidP="00A03CC4">
      <w:pPr>
        <w:spacing w:after="0"/>
        <w:rPr>
          <w:rFonts w:ascii="Times New Roman" w:hAnsi="Times New Roman" w:cs="Times New Roman"/>
          <w:b/>
          <w:bCs/>
          <w:i/>
          <w:iCs/>
        </w:rPr>
      </w:pPr>
    </w:p>
    <w:sectPr w:rsidR="00A4522B" w:rsidRPr="00A03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99F" w:rsidRDefault="00E0299F" w:rsidP="00A4522B">
      <w:pPr>
        <w:spacing w:after="0" w:line="240" w:lineRule="auto"/>
      </w:pPr>
      <w:r>
        <w:separator/>
      </w:r>
    </w:p>
  </w:endnote>
  <w:endnote w:type="continuationSeparator" w:id="0">
    <w:p w:rsidR="00E0299F" w:rsidRDefault="00E0299F" w:rsidP="00A4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99F" w:rsidRDefault="00E0299F" w:rsidP="00A4522B">
      <w:pPr>
        <w:spacing w:after="0" w:line="240" w:lineRule="auto"/>
      </w:pPr>
      <w:r>
        <w:separator/>
      </w:r>
    </w:p>
  </w:footnote>
  <w:footnote w:type="continuationSeparator" w:id="0">
    <w:p w:rsidR="00E0299F" w:rsidRDefault="00E0299F" w:rsidP="00A4522B">
      <w:pPr>
        <w:spacing w:after="0" w:line="240" w:lineRule="auto"/>
      </w:pPr>
      <w:r>
        <w:continuationSeparator/>
      </w:r>
    </w:p>
  </w:footnote>
  <w:footnote w:id="1">
    <w:p w:rsidR="00A4522B" w:rsidRPr="003336FA" w:rsidRDefault="00A4522B" w:rsidP="00A4522B">
      <w:pPr>
        <w:pStyle w:val="FootnoteText"/>
        <w:rPr>
          <w:rFonts w:ascii="Times New Roman" w:hAnsi="Times New Roman" w:cs="Times New Roman"/>
        </w:rPr>
      </w:pPr>
      <w:r w:rsidRPr="003336FA">
        <w:rPr>
          <w:rStyle w:val="FootnoteReference"/>
          <w:rFonts w:ascii="Times New Roman" w:hAnsi="Times New Roman" w:cs="Times New Roman"/>
        </w:rPr>
        <w:footnoteRef/>
      </w:r>
      <w:r w:rsidRPr="003336FA">
        <w:rPr>
          <w:rFonts w:ascii="Times New Roman" w:hAnsi="Times New Roman" w:cs="Times New Roman"/>
        </w:rPr>
        <w:t xml:space="preserve"> The steps move back and forth in order to accommodate various specific phrases. For example, “cost of sales” needs to be classified as a “cost of goods sold” phrase before “sales” can be classified as a “revenue” phrase, which needs to occur before “non-GAAP sales” can be classified as an exempted phrase. </w:t>
      </w:r>
    </w:p>
  </w:footnote>
  <w:footnote w:id="2">
    <w:p w:rsidR="00A4522B" w:rsidRPr="004C5680" w:rsidRDefault="00A4522B" w:rsidP="00A4522B">
      <w:pPr>
        <w:pStyle w:val="FootnoteText"/>
        <w:rPr>
          <w:rFonts w:ascii="Times New Roman" w:hAnsi="Times New Roman" w:cs="Times New Roman"/>
        </w:rPr>
      </w:pPr>
      <w:r w:rsidRPr="003336FA">
        <w:rPr>
          <w:rStyle w:val="FootnoteReference"/>
          <w:rFonts w:ascii="Times New Roman" w:hAnsi="Times New Roman" w:cs="Times New Roman"/>
        </w:rPr>
        <w:footnoteRef/>
      </w:r>
      <w:r w:rsidRPr="003336FA">
        <w:rPr>
          <w:rFonts w:ascii="Times New Roman" w:hAnsi="Times New Roman" w:cs="Times New Roman"/>
        </w:rPr>
        <w:t xml:space="preserve"> The total number of metric-EA observations was 1,576 (8 metrics * 197 EAs). However, we exclude metric-EAs where a given metric was not mentioned (i.e., “No” in the prior table) to make accurac</w:t>
      </w:r>
      <w:r w:rsidRPr="004C5680">
        <w:rPr>
          <w:rFonts w:ascii="Times New Roman" w:hAnsi="Times New Roman" w:cs="Times New Roman"/>
        </w:rPr>
        <w:t xml:space="preserve">y rates more conservative. This is conservative because a metric that is not mentioned is inherently not textually differentiated. If we include these observations, our overall accuracy rates increase to 94.75% for bulleting, 96.94% for bolding, 97.56% for centering, and 94.31% for overall highlighting.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2B"/>
    <w:rsid w:val="00454B7B"/>
    <w:rsid w:val="00666DB5"/>
    <w:rsid w:val="007604B9"/>
    <w:rsid w:val="007A5276"/>
    <w:rsid w:val="00917926"/>
    <w:rsid w:val="00972560"/>
    <w:rsid w:val="00A03CC4"/>
    <w:rsid w:val="00A15829"/>
    <w:rsid w:val="00A4522B"/>
    <w:rsid w:val="00B86257"/>
    <w:rsid w:val="00C076CB"/>
    <w:rsid w:val="00C54C94"/>
    <w:rsid w:val="00D00E0B"/>
    <w:rsid w:val="00E0299F"/>
    <w:rsid w:val="00F25FD4"/>
    <w:rsid w:val="00F8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7ADD"/>
  <w15:chartTrackingRefBased/>
  <w15:docId w15:val="{7F405E03-70E0-46C0-BED3-734892AC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4522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A4522B"/>
    <w:rPr>
      <w:rFonts w:eastAsiaTheme="minorEastAsia"/>
      <w:sz w:val="20"/>
      <w:szCs w:val="20"/>
    </w:rPr>
  </w:style>
  <w:style w:type="character" w:styleId="FootnoteReference">
    <w:name w:val="footnote reference"/>
    <w:basedOn w:val="DefaultParagraphFont"/>
    <w:uiPriority w:val="99"/>
    <w:semiHidden/>
    <w:unhideWhenUsed/>
    <w:rsid w:val="00A4522B"/>
    <w:rPr>
      <w:vertAlign w:val="superscript"/>
    </w:rPr>
  </w:style>
  <w:style w:type="character" w:styleId="Hyperlink">
    <w:name w:val="Hyperlink"/>
    <w:basedOn w:val="DefaultParagraphFont"/>
    <w:uiPriority w:val="99"/>
    <w:unhideWhenUsed/>
    <w:rsid w:val="00C54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Lowell Whited</dc:creator>
  <cp:keywords/>
  <dc:description/>
  <cp:lastModifiedBy>Rob Lowell Whited</cp:lastModifiedBy>
  <cp:revision>2</cp:revision>
  <dcterms:created xsi:type="dcterms:W3CDTF">2023-05-22T15:32:00Z</dcterms:created>
  <dcterms:modified xsi:type="dcterms:W3CDTF">2023-05-22T15:32:00Z</dcterms:modified>
</cp:coreProperties>
</file>