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40" w:before="0"/>
        <w:jc w:val="center"/>
      </w:pPr>
      <w:r>
        <w:rPr>
          <w:rFonts w:ascii="Calibri" w:cs="Calibri" w:eastAsia="Calibri" w:hAnsi="Calibri"/>
          <w:b/>
          <w:bCs/>
          <w:color w:val="0D2B55"/>
          <w:sz w:val="64"/>
          <w:szCs w:val="64"/>
        </w:rPr>
        <w:t xml:space="preserve">APPLICATION SECURITY</w:t>
      </w:r>
    </w:p>
    <w:p>
      <w:pPr>
        <w:spacing w:after="120" w:before="0"/>
        <w:jc w:val="center"/>
      </w:pPr>
      <w:r>
        <w:rPr>
          <w:rFonts w:ascii="Calibri" w:cs="Calibri" w:eastAsia="Calibri" w:hAnsi="Calibri"/>
          <w:b/>
          <w:bCs/>
          <w:color w:val="1B5FA8"/>
          <w:sz w:val="64"/>
          <w:szCs w:val="64"/>
        </w:rPr>
        <w:t xml:space="preserve">REFERENCE MODEL</w:t>
      </w:r>
    </w:p>
    <w:p>
      <w:pPr>
        <w:pBdr>
          <w:bottom w:val="single" w:color="1B5FA8" w:sz="12" w:space="4"/>
        </w:pBdr>
        <w:spacing w:after="320" w:before="0"/>
        <w:jc w:val="center"/>
      </w:pPr>
      <w:r>
        <w:rPr>
          <w:rFonts w:ascii="Calibri" w:cs="Calibri" w:eastAsia="Calibri" w:hAnsi="Calibri"/>
          <w:color w:val="4A5568"/>
          <w:sz w:val="28"/>
          <w:szCs w:val="28"/>
        </w:rPr>
        <w:t xml:space="preserve">Enterprise Edition — Fortune 100</w:t>
      </w:r>
    </w:p>
    <w:p>
      <w:pPr>
        <w:spacing w:after="0" w:before="0"/>
      </w:pPr>
      <w:r>
        <w:t xml:space="preserve"/>
      </w:r>
    </w:p>
    <w:p>
      <w:pPr>
        <w:spacing w:after="0" w:before="0"/>
      </w:pPr>
      <w:r>
        <w:t xml:space="preserve"/>
      </w:r>
    </w:p>
    <w:p>
      <w:pPr>
        <w:jc w:val="center"/>
      </w:pPr>
      <w:r>
        <w:rPr>
          <w:rFonts w:ascii="Calibri" w:cs="Calibri" w:eastAsia="Calibri" w:hAnsi="Calibri"/>
          <w:i/>
          <w:iCs/>
          <w:color w:val="4A5568"/>
          <w:sz w:val="22"/>
          <w:szCs w:val="22"/>
        </w:rPr>
        <w:t xml:space="preserve">Audience: CISO · IT Architects · Security Professionals</w:t>
      </w:r>
    </w:p>
    <w:p>
      <w:pPr>
        <w:spacing w:after="0" w:before="0"/>
      </w:pPr>
      <w:r>
        <w:t xml:space="preserve"/>
      </w:r>
    </w:p>
    <w:p>
      <w:pPr>
        <w:jc w:val="center"/>
      </w:pPr>
      <w:r>
        <w:rPr>
          <w:rFonts w:ascii="Calibri" w:cs="Calibri" w:eastAsia="Calibri" w:hAnsi="Calibri"/>
          <w:color w:val="4A5568"/>
          <w:sz w:val="20"/>
          <w:szCs w:val="20"/>
        </w:rPr>
        <w:t xml:space="preserve">Version 1.0  |  Classification: Confidential  |  May 2026</w:t>
      </w:r>
    </w:p>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1. Executive Summary</w:t>
      </w:r>
    </w:p>
    <w:p>
      <w:pPr>
        <w:spacing w:after="100" w:before="80"/>
      </w:pPr>
      <w:r>
        <w:rPr>
          <w:rFonts w:ascii="Calibri" w:cs="Calibri" w:eastAsia="Calibri" w:hAnsi="Calibri"/>
          <w:color w:val="4A5568"/>
          <w:sz w:val="22"/>
          <w:szCs w:val="22"/>
        </w:rPr>
        <w:t xml:space="preserve">This Application Security Reference Model (ASRM) establishes the strategic framework and operational standards governing application security across the enterprise. It defines the architectural principles, security domains, control objectives, and governance structures required to protect applications, data, and infrastructure at the scale and risk exposure of a Fortune 100 organization.</w:t>
      </w:r>
    </w:p>
    <w:p>
      <w:pPr>
        <w:spacing w:after="100" w:before="80"/>
      </w:pPr>
      <w:r>
        <w:rPr>
          <w:rFonts w:ascii="Calibri" w:cs="Calibri" w:eastAsia="Calibri" w:hAnsi="Calibri"/>
          <w:color w:val="4A5568"/>
          <w:sz w:val="22"/>
          <w:szCs w:val="22"/>
        </w:rPr>
        <w:t xml:space="preserve">The model is organized across seven security domains — Identity &amp; Access Management, Secure Software Development Lifecycle, API Security, Infrastructure &amp; Cloud Security, Data Protection, Threat Detection &amp; Response, and Governance, Risk &amp; Compliance — each with layered controls, tooling guidance, and accountability mappings.</w:t>
      </w:r>
    </w:p>
    <w:p>
      <w:pPr>
        <w:spacing w:after="100" w:before="80"/>
      </w:pPr>
      <w:r>
        <w:rPr>
          <w:rFonts w:ascii="Calibri" w:cs="Calibri" w:eastAsia="Calibri" w:hAnsi="Calibri"/>
          <w:color w:val="4A5568"/>
          <w:sz w:val="22"/>
          <w:szCs w:val="22"/>
        </w:rPr>
        <w:t xml:space="preserve">This document is intended to serve three audiences simultaneously:</w:t>
      </w:r>
    </w:p>
    <w:p>
      <w:pPr>
        <w:pStyle w:val="ListParagraph"/>
        <w:numPr>
          <w:ilvl w:val="0"/>
          <w:numId w:val="2"/>
        </w:numPr>
        <w:spacing w:after="60" w:before="40"/>
      </w:pPr>
      <w:r>
        <w:rPr>
          <w:rFonts w:ascii="Calibri" w:cs="Calibri" w:eastAsia="Calibri" w:hAnsi="Calibri"/>
          <w:color w:val="4A5568"/>
          <w:sz w:val="22"/>
          <w:szCs w:val="22"/>
        </w:rPr>
        <w:t xml:space="preserve">CISOs — Strategic risk posture, governance alignment, and board-level reporting anchors.</w:t>
      </w:r>
    </w:p>
    <w:p>
      <w:pPr>
        <w:pStyle w:val="ListParagraph"/>
        <w:numPr>
          <w:ilvl w:val="0"/>
          <w:numId w:val="2"/>
        </w:numPr>
        <w:spacing w:after="60" w:before="40"/>
      </w:pPr>
      <w:r>
        <w:rPr>
          <w:rFonts w:ascii="Calibri" w:cs="Calibri" w:eastAsia="Calibri" w:hAnsi="Calibri"/>
          <w:color w:val="4A5568"/>
          <w:sz w:val="22"/>
          <w:szCs w:val="22"/>
        </w:rPr>
        <w:t xml:space="preserve">IT Architects — Domain decomposition, technology patterns, and integration guidance.</w:t>
      </w:r>
    </w:p>
    <w:p>
      <w:pPr>
        <w:pStyle w:val="ListParagraph"/>
        <w:numPr>
          <w:ilvl w:val="0"/>
          <w:numId w:val="2"/>
        </w:numPr>
        <w:spacing w:after="60" w:before="40"/>
      </w:pPr>
      <w:r>
        <w:rPr>
          <w:rFonts w:ascii="Calibri" w:cs="Calibri" w:eastAsia="Calibri" w:hAnsi="Calibri"/>
          <w:color w:val="4A5568"/>
          <w:sz w:val="22"/>
          <w:szCs w:val="22"/>
        </w:rPr>
        <w:t xml:space="preserve">Security Professionals — Operational control standards, tool stack, and implementation detail.</w:t>
      </w:r>
    </w:p>
    <w:p>
      <w:pPr>
        <w:spacing w:after="0" w:before="0"/>
      </w:pPr>
      <w:r>
        <w:t xml:space="preserve"/>
      </w:r>
    </w:p>
    <w:p>
      <w:pPr>
        <w:spacing w:after="100" w:before="80"/>
      </w:pPr>
      <w:r>
        <w:rPr>
          <w:rFonts w:ascii="Calibri" w:cs="Calibri" w:eastAsia="Calibri" w:hAnsi="Calibri"/>
          <w:color w:val="4A5568"/>
          <w:sz w:val="22"/>
          <w:szCs w:val="22"/>
        </w:rPr>
        <w:t xml:space="preserve">The ASRM is aligned to NIST CSF 2.0, ISO/IEC 27001:2022, OWASP SAMM, CIS Controls v8, SOC 2 Type II, and applicable regulatory frameworks (PCI-DSS 4.0, HIPAA, SOX, GDPR) as appropriate to the organization's operating footprint.</w:t>
      </w:r>
    </w:p>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2. Guiding Principles</w:t>
      </w:r>
    </w:p>
    <w:p>
      <w:pPr>
        <w:spacing w:after="100" w:before="80"/>
      </w:pPr>
      <w:r>
        <w:rPr>
          <w:rFonts w:ascii="Calibri" w:cs="Calibri" w:eastAsia="Calibri" w:hAnsi="Calibri"/>
          <w:color w:val="4A5568"/>
          <w:sz w:val="22"/>
          <w:szCs w:val="22"/>
        </w:rPr>
        <w:t xml:space="preserve">The following principles underpin every architectural and operational decision within the ASRM:</w:t>
      </w:r>
    </w:p>
    <w:p>
      <w:pPr>
        <w:spacing w:after="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5460"/>
      </w:tblGrid>
      <w:tr>
        <w:tc>
          <w:tcPr>
            <w:tcW w:type="dxa" w:w="5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Principle</w:t>
            </w:r>
          </w:p>
        </w:tc>
        <w:tc>
          <w:tcPr>
            <w:tcW w:type="dxa" w:w="546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Implication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Zero Trust by Default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No implicit trust — every request authenticated, authorized, and encrypted regardless of network origin.</w:t>
            </w:r>
          </w:p>
        </w:tc>
      </w:tr>
      <w:tr>
        <w:tc>
          <w:tcPr>
            <w:tcW w:type="dxa" w:w="5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P2</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Shift-Left Security</w:t>
            </w:r>
          </w:p>
        </w:tc>
        <w:tc>
          <w:tcPr>
            <w:tcW w:type="dxa" w:w="5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controls embedded at design and coding phases, not inserted post-deployment.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Defense in Depth</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Multiple overlapping control layers ensure no single point of failure.</w:t>
            </w:r>
          </w:p>
        </w:tc>
      </w:tr>
      <w:tr>
        <w:tc>
          <w:tcPr>
            <w:tcW w:type="dxa" w:w="5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P4</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Least Privilege</w:t>
            </w:r>
          </w:p>
        </w:tc>
        <w:tc>
          <w:tcPr>
            <w:tcW w:type="dxa" w:w="5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Minimum required permissions granted to every identity, service, and process.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Secure by Design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modeling, secure defaults, and architecture reviews mandatory for all new systems.</w:t>
            </w:r>
          </w:p>
        </w:tc>
      </w:tr>
      <w:tr>
        <w:tc>
          <w:tcPr>
            <w:tcW w:type="dxa" w:w="5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P6</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Continuous Assurance</w:t>
            </w:r>
          </w:p>
        </w:tc>
        <w:tc>
          <w:tcPr>
            <w:tcW w:type="dxa" w:w="5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Automated testing, runtime monitoring, and compliance validation operate in real time.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Resilience &amp; Recovery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Applications designed for graceful degradation and rapid, tested recovery.</w:t>
            </w:r>
          </w:p>
        </w:tc>
      </w:tr>
      <w:tr>
        <w:tc>
          <w:tcPr>
            <w:tcW w:type="dxa" w:w="5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P8</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Data Minimization</w:t>
            </w:r>
          </w:p>
        </w:tc>
        <w:tc>
          <w:tcPr>
            <w:tcW w:type="dxa" w:w="5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Collect only what is necessary; retain only as long as operationally and legally required.</w:t>
            </w:r>
          </w:p>
        </w:tc>
      </w:tr>
    </w:tbl>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3. Domain 1 — Identity &amp; Access Management</w:t>
      </w:r>
    </w:p>
    <w:p>
      <w:pPr>
        <w:pStyle w:val="Heading2"/>
        <w:spacing w:after="120" w:before="280"/>
      </w:pPr>
      <w:r>
        <w:rPr>
          <w:rFonts w:ascii="Calibri" w:cs="Calibri" w:eastAsia="Calibri" w:hAnsi="Calibri"/>
          <w:b/>
          <w:bCs/>
          <w:color w:val="1B5FA8"/>
          <w:sz w:val="28"/>
          <w:szCs w:val="28"/>
        </w:rPr>
        <w:t xml:space="preserve">3.1 Overview</w:t>
      </w:r>
    </w:p>
    <w:p>
      <w:pPr>
        <w:spacing w:after="100" w:before="80"/>
      </w:pPr>
      <w:r>
        <w:rPr>
          <w:rFonts w:ascii="Calibri" w:cs="Calibri" w:eastAsia="Calibri" w:hAnsi="Calibri"/>
          <w:color w:val="4A5568"/>
          <w:sz w:val="22"/>
          <w:szCs w:val="22"/>
        </w:rPr>
        <w:t xml:space="preserve">Identity is the new perimeter. Every human and non-human identity must be governed by a consistent, policy-driven IAM framework that spans on-premises, cloud, and third-party environments.</w:t>
      </w:r>
    </w:p>
    <w:p>
      <w:pPr>
        <w:pStyle w:val="Heading2"/>
        <w:spacing w:after="120" w:before="280"/>
      </w:pPr>
      <w:r>
        <w:rPr>
          <w:rFonts w:ascii="Calibri" w:cs="Calibri" w:eastAsia="Calibri" w:hAnsi="Calibri"/>
          <w:b/>
          <w:bCs/>
          <w:color w:val="1B5FA8"/>
          <w:sz w:val="28"/>
          <w:szCs w:val="28"/>
        </w:rPr>
        <w:t xml:space="preserve">3.2 Architecture Components</w:t>
      </w:r>
    </w:p>
    <w:p>
      <w:pPr>
        <w:pStyle w:val="ListParagraph"/>
        <w:numPr>
          <w:ilvl w:val="0"/>
          <w:numId w:val="2"/>
        </w:numPr>
        <w:spacing w:after="60" w:before="40"/>
      </w:pPr>
      <w:r>
        <w:rPr>
          <w:rFonts w:ascii="Calibri" w:cs="Calibri" w:eastAsia="Calibri" w:hAnsi="Calibri"/>
          <w:color w:val="4A5568"/>
          <w:sz w:val="22"/>
          <w:szCs w:val="22"/>
        </w:rPr>
        <w:t xml:space="preserve">Enterprise Identity Provider (IdP): Centralized authentication via OIDC / SAML 2.0 (Okta, Azure AD, Ping Identity).</w:t>
      </w:r>
    </w:p>
    <w:p>
      <w:pPr>
        <w:pStyle w:val="ListParagraph"/>
        <w:numPr>
          <w:ilvl w:val="0"/>
          <w:numId w:val="2"/>
        </w:numPr>
        <w:spacing w:after="60" w:before="40"/>
      </w:pPr>
      <w:r>
        <w:rPr>
          <w:rFonts w:ascii="Calibri" w:cs="Calibri" w:eastAsia="Calibri" w:hAnsi="Calibri"/>
          <w:color w:val="4A5568"/>
          <w:sz w:val="22"/>
          <w:szCs w:val="22"/>
        </w:rPr>
        <w:t xml:space="preserve">Privileged Access Management (PAM): Just-in-time (JIT) elevation, session recording, and credential vaulting for privileged accounts (CyberArk, Delinea).</w:t>
      </w:r>
    </w:p>
    <w:p>
      <w:pPr>
        <w:pStyle w:val="ListParagraph"/>
        <w:numPr>
          <w:ilvl w:val="0"/>
          <w:numId w:val="2"/>
        </w:numPr>
        <w:spacing w:after="60" w:before="40"/>
      </w:pPr>
      <w:r>
        <w:rPr>
          <w:rFonts w:ascii="Calibri" w:cs="Calibri" w:eastAsia="Calibri" w:hAnsi="Calibri"/>
          <w:color w:val="4A5568"/>
          <w:sz w:val="22"/>
          <w:szCs w:val="22"/>
        </w:rPr>
        <w:t xml:space="preserve">Workload Identity: SPIFFE/SPIRE for service-to-service authentication with short-lived X.509 SVIDs.</w:t>
      </w:r>
    </w:p>
    <w:p>
      <w:pPr>
        <w:pStyle w:val="ListParagraph"/>
        <w:numPr>
          <w:ilvl w:val="0"/>
          <w:numId w:val="2"/>
        </w:numPr>
        <w:spacing w:after="60" w:before="40"/>
      </w:pPr>
      <w:r>
        <w:rPr>
          <w:rFonts w:ascii="Calibri" w:cs="Calibri" w:eastAsia="Calibri" w:hAnsi="Calibri"/>
          <w:color w:val="4A5568"/>
          <w:sz w:val="22"/>
          <w:szCs w:val="22"/>
        </w:rPr>
        <w:t xml:space="preserve">Non-Human Identity (NHI): Secrets management via HashiCorp Vault or AWS Secrets Manager; no static credentials.</w:t>
      </w:r>
    </w:p>
    <w:p>
      <w:pPr>
        <w:pStyle w:val="ListParagraph"/>
        <w:numPr>
          <w:ilvl w:val="0"/>
          <w:numId w:val="2"/>
        </w:numPr>
        <w:spacing w:after="60" w:before="40"/>
      </w:pPr>
      <w:r>
        <w:rPr>
          <w:rFonts w:ascii="Calibri" w:cs="Calibri" w:eastAsia="Calibri" w:hAnsi="Calibri"/>
          <w:color w:val="4A5568"/>
          <w:sz w:val="22"/>
          <w:szCs w:val="22"/>
        </w:rPr>
        <w:t xml:space="preserve">Multi-Factor Authentication (MFA): Phishing-resistant MFA (FIDO2/WebAuthn) mandatory for all human access.</w:t>
      </w:r>
    </w:p>
    <w:p>
      <w:pPr>
        <w:pStyle w:val="ListParagraph"/>
        <w:numPr>
          <w:ilvl w:val="0"/>
          <w:numId w:val="2"/>
        </w:numPr>
        <w:spacing w:after="60" w:before="40"/>
      </w:pPr>
      <w:r>
        <w:rPr>
          <w:rFonts w:ascii="Calibri" w:cs="Calibri" w:eastAsia="Calibri" w:hAnsi="Calibri"/>
          <w:color w:val="4A5568"/>
          <w:sz w:val="22"/>
          <w:szCs w:val="22"/>
        </w:rPr>
        <w:t xml:space="preserve">Directory Services: Unified LDAP/AD with automated lifecycle management (joiners, movers, leavers).</w:t>
      </w:r>
    </w:p>
    <w:p>
      <w:pPr>
        <w:pStyle w:val="Heading2"/>
        <w:spacing w:after="120" w:before="280"/>
      </w:pPr>
      <w:r>
        <w:rPr>
          <w:rFonts w:ascii="Calibri" w:cs="Calibri" w:eastAsia="Calibri" w:hAnsi="Calibri"/>
          <w:b/>
          <w:bCs/>
          <w:color w:val="1B5FA8"/>
          <w:sz w:val="28"/>
          <w:szCs w:val="28"/>
        </w:rPr>
        <w:t xml:space="preserve">3.3 Key Controls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2640"/>
      </w:tblGrid>
      <w:tr>
        <w:tc>
          <w:tcPr>
            <w:tcW w:type="dxa" w:w="12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Control ID</w:t>
            </w:r>
          </w:p>
        </w:tc>
        <w:tc>
          <w:tcPr>
            <w:tcW w:type="dxa" w:w="456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Control Objective</w:t>
            </w:r>
          </w:p>
        </w:tc>
        <w:tc>
          <w:tcPr>
            <w:tcW w:type="dxa" w:w="26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Standard Mapping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Enforce MFA for all privileged and remote access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NIST AC-17, CIS 6.3</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IAM-02</w:t>
            </w:r>
          </w:p>
        </w:tc>
        <w:tc>
          <w:tcPr>
            <w:tcW w:type="dxa" w:w="4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Implement role-based access control (RBAC) with attribute enrichment</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NIST AC-2, ISO A.9.2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Rotate all service credentials automatically; no long-lived secrets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NIST IA-5, CIS 4.4</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IAM-04</w:t>
            </w:r>
          </w:p>
        </w:tc>
        <w:tc>
          <w:tcPr>
            <w:tcW w:type="dxa" w:w="4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Enforce PAM for all privileged sessions with full audit trail</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NIST AU-2, PCI 8.3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Quarterly access certification reviews for all critical systems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SOX ITGC, ISO A.9.2.5</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IAM-06</w:t>
            </w:r>
          </w:p>
        </w:tc>
        <w:tc>
          <w:tcPr>
            <w:tcW w:type="dxa" w:w="4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Federate all applications to enterprise IdP; eliminate local accounts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NIST IA-8, CIS 5.3</w:t>
            </w:r>
          </w:p>
        </w:tc>
      </w:tr>
    </w:tbl>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4. Domain 2 — Secure Software Development Lifecycle (SSDLC)</w:t>
      </w:r>
    </w:p>
    <w:p>
      <w:pPr>
        <w:pStyle w:val="Heading2"/>
        <w:spacing w:after="120" w:before="280"/>
      </w:pPr>
      <w:r>
        <w:rPr>
          <w:rFonts w:ascii="Calibri" w:cs="Calibri" w:eastAsia="Calibri" w:hAnsi="Calibri"/>
          <w:b/>
          <w:bCs/>
          <w:color w:val="1B5FA8"/>
          <w:sz w:val="28"/>
          <w:szCs w:val="28"/>
        </w:rPr>
        <w:t xml:space="preserve">4.1 Overview</w:t>
      </w:r>
    </w:p>
    <w:p>
      <w:pPr>
        <w:spacing w:after="100" w:before="80"/>
      </w:pPr>
      <w:r>
        <w:rPr>
          <w:rFonts w:ascii="Calibri" w:cs="Calibri" w:eastAsia="Calibri" w:hAnsi="Calibri"/>
          <w:color w:val="4A5568"/>
          <w:sz w:val="22"/>
          <w:szCs w:val="22"/>
        </w:rPr>
        <w:t xml:space="preserve">Security must be integrated at every phase of software delivery — from requirements gathering through design, development, testing, deployment, and decommission. The SSDLC operationalizes OWASP SAMM across all engineering teams.</w:t>
      </w:r>
    </w:p>
    <w:p>
      <w:pPr>
        <w:pStyle w:val="Heading2"/>
        <w:spacing w:after="120" w:before="280"/>
      </w:pPr>
      <w:r>
        <w:rPr>
          <w:rFonts w:ascii="Calibri" w:cs="Calibri" w:eastAsia="Calibri" w:hAnsi="Calibri"/>
          <w:b/>
          <w:bCs/>
          <w:color w:val="1B5FA8"/>
          <w:sz w:val="28"/>
          <w:szCs w:val="28"/>
        </w:rPr>
        <w:t xml:space="preserve">4.2 SSDLC Phase Controls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2640"/>
      </w:tblGrid>
      <w:tr>
        <w:tc>
          <w:tcPr>
            <w:tcW w:type="dxa" w:w="18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SDLC Phase</w:t>
            </w:r>
          </w:p>
        </w:tc>
        <w:tc>
          <w:tcPr>
            <w:tcW w:type="dxa" w:w="396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Security Activities</w:t>
            </w:r>
          </w:p>
        </w:tc>
        <w:tc>
          <w:tcPr>
            <w:tcW w:type="dxa" w:w="26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Tooling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Requirements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requirements elicitation; abuse case definition; regulatory impact assessment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Jira, Confluence security templates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Design</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modeling (STRIDE/PASTA); architecture review board (ARB); data flow analysis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Dragon, Microsoft TMT, IriusRisk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Development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Secure coding standards enforcement; pre-commit hooks; IDE security plugins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SonarQube, Semgrep, Snyk IDE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Build &amp; CI</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SAST, SCA (OSS vulnerability scan), container image scanning, secret detection</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Checkmarx, Veracode, Trivy, Gitleaks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Test &amp; QA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DAST, API security testing, penetration testing gate for P0/P1 systems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Burp Suite Enterprise, StackHawk, OWASP ZAP</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Deploy</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Infrastructure-as-Code scanning, signed artifact verification, least-privilege deployment roles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Checkov, Terrascan, Sigstore/Cosign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Operate &amp; Monitor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RASP, WAF, anomaly detection, vulnerability management lifecycle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Contrast Security, Imperva, Qualys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Decommission</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Secure data disposal, certificate revocation, access removal, documentation archival</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Process-driven checklists</w:t>
            </w:r>
          </w:p>
        </w:tc>
      </w:tr>
    </w:tbl>
    <w:p>
      <w:pPr>
        <w:spacing w:after="0" w:before="0"/>
      </w:pPr>
      <w:r>
        <w:t xml:space="preserve"/>
      </w:r>
    </w:p>
    <w:p>
      <w:pPr>
        <w:pStyle w:val="Heading2"/>
        <w:spacing w:after="120" w:before="280"/>
      </w:pPr>
      <w:r>
        <w:rPr>
          <w:rFonts w:ascii="Calibri" w:cs="Calibri" w:eastAsia="Calibri" w:hAnsi="Calibri"/>
          <w:b/>
          <w:bCs/>
          <w:color w:val="1B5FA8"/>
          <w:sz w:val="28"/>
          <w:szCs w:val="28"/>
        </w:rPr>
        <w:t xml:space="preserve">4.3 Developer Security Training</w:t>
      </w:r>
    </w:p>
    <w:p>
      <w:pPr>
        <w:spacing w:after="100" w:before="80"/>
      </w:pPr>
      <w:r>
        <w:rPr>
          <w:rFonts w:ascii="Calibri" w:cs="Calibri" w:eastAsia="Calibri" w:hAnsi="Calibri"/>
          <w:color w:val="4A5568"/>
          <w:sz w:val="22"/>
          <w:szCs w:val="22"/>
        </w:rPr>
        <w:t xml:space="preserve">All engineers complete annual secure coding training aligned to their primary language stack. Security champions are embedded in each product team and serve as liaisons to the central Security Engineering function. Threat modeling workshops are mandatory for new systems and major architectural changes.</w:t>
      </w:r>
    </w:p>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5. Domain 3 — API Security</w:t>
      </w:r>
    </w:p>
    <w:p>
      <w:pPr>
        <w:pStyle w:val="Heading2"/>
        <w:spacing w:after="120" w:before="280"/>
      </w:pPr>
      <w:r>
        <w:rPr>
          <w:rFonts w:ascii="Calibri" w:cs="Calibri" w:eastAsia="Calibri" w:hAnsi="Calibri"/>
          <w:b/>
          <w:bCs/>
          <w:color w:val="1B5FA8"/>
          <w:sz w:val="28"/>
          <w:szCs w:val="28"/>
        </w:rPr>
        <w:t xml:space="preserve">5.1 Overview</w:t>
      </w:r>
    </w:p>
    <w:p>
      <w:pPr>
        <w:spacing w:after="100" w:before="80"/>
      </w:pPr>
      <w:r>
        <w:rPr>
          <w:rFonts w:ascii="Calibri" w:cs="Calibri" w:eastAsia="Calibri" w:hAnsi="Calibri"/>
          <w:color w:val="4A5568"/>
          <w:sz w:val="22"/>
          <w:szCs w:val="22"/>
        </w:rPr>
        <w:t xml:space="preserve">APIs represent the primary attack surface of a modern enterprise. The API Security domain governs the design, authentication, authorization, runtime protection, and inventory management of all internal, partner, and public-facing APIs.</w:t>
      </w:r>
    </w:p>
    <w:p>
      <w:pPr>
        <w:pStyle w:val="Heading2"/>
        <w:spacing w:after="120" w:before="280"/>
      </w:pPr>
      <w:r>
        <w:rPr>
          <w:rFonts w:ascii="Calibri" w:cs="Calibri" w:eastAsia="Calibri" w:hAnsi="Calibri"/>
          <w:b/>
          <w:bCs/>
          <w:color w:val="1B5FA8"/>
          <w:sz w:val="28"/>
          <w:szCs w:val="28"/>
        </w:rPr>
        <w:t xml:space="preserve">5.2 API Security Architecture</w:t>
      </w:r>
    </w:p>
    <w:p>
      <w:pPr>
        <w:pStyle w:val="ListParagraph"/>
        <w:numPr>
          <w:ilvl w:val="0"/>
          <w:numId w:val="2"/>
        </w:numPr>
        <w:spacing w:after="60" w:before="40"/>
      </w:pPr>
      <w:r>
        <w:rPr>
          <w:rFonts w:ascii="Calibri" w:cs="Calibri" w:eastAsia="Calibri" w:hAnsi="Calibri"/>
          <w:color w:val="4A5568"/>
          <w:sz w:val="22"/>
          <w:szCs w:val="22"/>
        </w:rPr>
        <w:t xml:space="preserve">API Gateway: Centralized enforcement of authentication, rate limiting, input validation, and TLS termination (Kong, Apigee, AWS API GW).</w:t>
      </w:r>
    </w:p>
    <w:p>
      <w:pPr>
        <w:pStyle w:val="ListParagraph"/>
        <w:numPr>
          <w:ilvl w:val="0"/>
          <w:numId w:val="2"/>
        </w:numPr>
        <w:spacing w:after="60" w:before="40"/>
      </w:pPr>
      <w:r>
        <w:rPr>
          <w:rFonts w:ascii="Calibri" w:cs="Calibri" w:eastAsia="Calibri" w:hAnsi="Calibri"/>
          <w:color w:val="4A5568"/>
          <w:sz w:val="22"/>
          <w:szCs w:val="22"/>
        </w:rPr>
        <w:t xml:space="preserve">API Catalog &amp; Discovery: Shadow API detection and full inventory maintained in API management platform.</w:t>
      </w:r>
    </w:p>
    <w:p>
      <w:pPr>
        <w:pStyle w:val="ListParagraph"/>
        <w:numPr>
          <w:ilvl w:val="0"/>
          <w:numId w:val="2"/>
        </w:numPr>
        <w:spacing w:after="60" w:before="40"/>
      </w:pPr>
      <w:r>
        <w:rPr>
          <w:rFonts w:ascii="Calibri" w:cs="Calibri" w:eastAsia="Calibri" w:hAnsi="Calibri"/>
          <w:color w:val="4A5568"/>
          <w:sz w:val="22"/>
          <w:szCs w:val="22"/>
        </w:rPr>
        <w:t xml:space="preserve">AuthN/AuthZ: OAuth 2.1 with PKCE for external; mTLS + JWT for internal service APIs; externalized authorization via OPA/Cedar.</w:t>
      </w:r>
    </w:p>
    <w:p>
      <w:pPr>
        <w:pStyle w:val="ListParagraph"/>
        <w:numPr>
          <w:ilvl w:val="0"/>
          <w:numId w:val="2"/>
        </w:numPr>
        <w:spacing w:after="60" w:before="40"/>
      </w:pPr>
      <w:r>
        <w:rPr>
          <w:rFonts w:ascii="Calibri" w:cs="Calibri" w:eastAsia="Calibri" w:hAnsi="Calibri"/>
          <w:color w:val="4A5568"/>
          <w:sz w:val="22"/>
          <w:szCs w:val="22"/>
        </w:rPr>
        <w:t xml:space="preserve">Input Validation: Schema-driven validation at gateway layer; reject-by-default for malformed payloads.</w:t>
      </w:r>
    </w:p>
    <w:p>
      <w:pPr>
        <w:pStyle w:val="ListParagraph"/>
        <w:numPr>
          <w:ilvl w:val="0"/>
          <w:numId w:val="2"/>
        </w:numPr>
        <w:spacing w:after="60" w:before="40"/>
      </w:pPr>
      <w:r>
        <w:rPr>
          <w:rFonts w:ascii="Calibri" w:cs="Calibri" w:eastAsia="Calibri" w:hAnsi="Calibri"/>
          <w:color w:val="4A5568"/>
          <w:sz w:val="22"/>
          <w:szCs w:val="22"/>
        </w:rPr>
        <w:t xml:space="preserve">Rate Limiting &amp; Throttling: Per-client, per-scope, and per-endpoint throttling policies.</w:t>
      </w:r>
    </w:p>
    <w:p>
      <w:pPr>
        <w:pStyle w:val="ListParagraph"/>
        <w:numPr>
          <w:ilvl w:val="0"/>
          <w:numId w:val="2"/>
        </w:numPr>
        <w:spacing w:after="60" w:before="40"/>
      </w:pPr>
      <w:r>
        <w:rPr>
          <w:rFonts w:ascii="Calibri" w:cs="Calibri" w:eastAsia="Calibri" w:hAnsi="Calibri"/>
          <w:color w:val="4A5568"/>
          <w:sz w:val="22"/>
          <w:szCs w:val="22"/>
        </w:rPr>
        <w:t xml:space="preserve">API Security Testing: Automated OWASP API Top 10 coverage in CI pipeline.</w:t>
      </w:r>
    </w:p>
    <w:p>
      <w:pPr>
        <w:pStyle w:val="Heading2"/>
        <w:spacing w:after="120" w:before="280"/>
      </w:pPr>
      <w:r>
        <w:rPr>
          <w:rFonts w:ascii="Calibri" w:cs="Calibri" w:eastAsia="Calibri" w:hAnsi="Calibri"/>
          <w:b/>
          <w:bCs/>
          <w:color w:val="1B5FA8"/>
          <w:sz w:val="28"/>
          <w:szCs w:val="28"/>
        </w:rPr>
        <w:t xml:space="preserve">5.3 OWASP API Top 10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OWASP API Risk</w:t>
            </w:r>
          </w:p>
        </w:tc>
        <w:tc>
          <w:tcPr>
            <w:tcW w:type="dxa" w:w="576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Mitigation Control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API1 - Broken Object Level Authorization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Object-level auth checks enforced in service layer; API gateway cannot substitute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API2 - Broken Authentication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OAuth 2.1 + short-lived tokens; phishing-resistant MFA at authorization endpoint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API3 - Broken Object Property Level Auth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Field-level authorization in response serialization; no over-posting</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API4 - Unrestricted Resource Consumption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Rate limits, payload size limits, query complexity limits enforced at gateway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API5 - Broken Function Level Authorization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RBAC + ABAC at function level; explicit allow-list per role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API6 - Unrestricted Access to Sensitive Flows</w:t>
            </w:r>
          </w:p>
        </w:tc>
        <w:tc>
          <w:tcPr>
            <w:tcW w:type="dxa" w:w="5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Bot protection, CAPTCHA, step-up auth for sensitive workflows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API7 - Server-Side Request Forgery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Allowlist-based egress filtering; no dynamic URL resolution from client input</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API8 - Security Misconfiguration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IaC scanning, automated config drift detection, secure-by-default gateway templates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API9 - Improper Inventory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 catalog mandatory; CI gate blocks undocumented endpoints from deploying</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API10 - Unsafe API Consumption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Third-party API risk assessment; schema validation of upstream responses</w:t>
            </w:r>
          </w:p>
        </w:tc>
      </w:tr>
    </w:tbl>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6. Domain 4 — Infrastructure &amp; Cloud Security</w:t>
      </w:r>
    </w:p>
    <w:p>
      <w:pPr>
        <w:pStyle w:val="Heading2"/>
        <w:spacing w:after="120" w:before="280"/>
      </w:pPr>
      <w:r>
        <w:rPr>
          <w:rFonts w:ascii="Calibri" w:cs="Calibri" w:eastAsia="Calibri" w:hAnsi="Calibri"/>
          <w:b/>
          <w:bCs/>
          <w:color w:val="1B5FA8"/>
          <w:sz w:val="28"/>
          <w:szCs w:val="28"/>
        </w:rPr>
        <w:t xml:space="preserve">6.1 Overview</w:t>
      </w:r>
    </w:p>
    <w:p>
      <w:pPr>
        <w:spacing w:after="100" w:before="80"/>
      </w:pPr>
      <w:r>
        <w:rPr>
          <w:rFonts w:ascii="Calibri" w:cs="Calibri" w:eastAsia="Calibri" w:hAnsi="Calibri"/>
          <w:color w:val="4A5568"/>
          <w:sz w:val="22"/>
          <w:szCs w:val="22"/>
        </w:rPr>
        <w:t xml:space="preserve">The enterprise operates a hybrid cloud environment spanning on-premises data centers, multiple public cloud providers (AWS, Azure, GCP), and colocation facilities. Infrastructure security governs the configuration, hardening, network segmentation, and runtime posture of all compute, network, and storage resources.</w:t>
      </w:r>
    </w:p>
    <w:p>
      <w:pPr>
        <w:pStyle w:val="Heading2"/>
        <w:spacing w:after="120" w:before="280"/>
      </w:pPr>
      <w:r>
        <w:rPr>
          <w:rFonts w:ascii="Calibri" w:cs="Calibri" w:eastAsia="Calibri" w:hAnsi="Calibri"/>
          <w:b/>
          <w:bCs/>
          <w:color w:val="1B5FA8"/>
          <w:sz w:val="28"/>
          <w:szCs w:val="28"/>
        </w:rPr>
        <w:t xml:space="preserve">6.2 Cloud Security Posture</w:t>
      </w:r>
    </w:p>
    <w:p>
      <w:pPr>
        <w:pStyle w:val="ListParagraph"/>
        <w:numPr>
          <w:ilvl w:val="0"/>
          <w:numId w:val="2"/>
        </w:numPr>
        <w:spacing w:after="60" w:before="40"/>
      </w:pPr>
      <w:r>
        <w:rPr>
          <w:rFonts w:ascii="Calibri" w:cs="Calibri" w:eastAsia="Calibri" w:hAnsi="Calibri"/>
          <w:color w:val="4A5568"/>
          <w:sz w:val="22"/>
          <w:szCs w:val="22"/>
        </w:rPr>
        <w:t xml:space="preserve">Cloud Security Posture Management (CSPM): Continuous misconfiguration detection across all cloud accounts (Wiz, Prisma Cloud).</w:t>
      </w:r>
    </w:p>
    <w:p>
      <w:pPr>
        <w:pStyle w:val="ListParagraph"/>
        <w:numPr>
          <w:ilvl w:val="0"/>
          <w:numId w:val="2"/>
        </w:numPr>
        <w:spacing w:after="60" w:before="40"/>
      </w:pPr>
      <w:r>
        <w:rPr>
          <w:rFonts w:ascii="Calibri" w:cs="Calibri" w:eastAsia="Calibri" w:hAnsi="Calibri"/>
          <w:color w:val="4A5568"/>
          <w:sz w:val="22"/>
          <w:szCs w:val="22"/>
        </w:rPr>
        <w:t xml:space="preserve">Cloud Workload Protection (CWPP): Runtime protection for VMs, containers, and serverless functions.</w:t>
      </w:r>
    </w:p>
    <w:p>
      <w:pPr>
        <w:pStyle w:val="ListParagraph"/>
        <w:numPr>
          <w:ilvl w:val="0"/>
          <w:numId w:val="2"/>
        </w:numPr>
        <w:spacing w:after="60" w:before="40"/>
      </w:pPr>
      <w:r>
        <w:rPr>
          <w:rFonts w:ascii="Calibri" w:cs="Calibri" w:eastAsia="Calibri" w:hAnsi="Calibri"/>
          <w:color w:val="4A5568"/>
          <w:sz w:val="22"/>
          <w:szCs w:val="22"/>
        </w:rPr>
        <w:t xml:space="preserve">Cloud Infrastructure Entitlement Management (CIEM): Excessive cloud permissions detection and right-sizing.</w:t>
      </w:r>
    </w:p>
    <w:p>
      <w:pPr>
        <w:pStyle w:val="ListParagraph"/>
        <w:numPr>
          <w:ilvl w:val="0"/>
          <w:numId w:val="2"/>
        </w:numPr>
        <w:spacing w:after="60" w:before="40"/>
      </w:pPr>
      <w:r>
        <w:rPr>
          <w:rFonts w:ascii="Calibri" w:cs="Calibri" w:eastAsia="Calibri" w:hAnsi="Calibri"/>
          <w:color w:val="4A5568"/>
          <w:sz w:val="22"/>
          <w:szCs w:val="22"/>
        </w:rPr>
        <w:t xml:space="preserve">Infrastructure as Code (IaC): All cloud resources provisioned via Terraform; IaC scanned for misconfigs pre-deployment.</w:t>
      </w:r>
    </w:p>
    <w:p>
      <w:pPr>
        <w:pStyle w:val="ListParagraph"/>
        <w:numPr>
          <w:ilvl w:val="0"/>
          <w:numId w:val="2"/>
        </w:numPr>
        <w:spacing w:after="60" w:before="40"/>
      </w:pPr>
      <w:r>
        <w:rPr>
          <w:rFonts w:ascii="Calibri" w:cs="Calibri" w:eastAsia="Calibri" w:hAnsi="Calibri"/>
          <w:color w:val="4A5568"/>
          <w:sz w:val="22"/>
          <w:szCs w:val="22"/>
        </w:rPr>
        <w:t xml:space="preserve">Container Security: Image signing (Cosign/Sigstore), registry scanning, runtime policy enforcement (Falco, OPA Gatekeeper).</w:t>
      </w:r>
    </w:p>
    <w:p>
      <w:pPr>
        <w:pStyle w:val="ListParagraph"/>
        <w:numPr>
          <w:ilvl w:val="0"/>
          <w:numId w:val="2"/>
        </w:numPr>
        <w:spacing w:after="60" w:before="40"/>
      </w:pPr>
      <w:r>
        <w:rPr>
          <w:rFonts w:ascii="Calibri" w:cs="Calibri" w:eastAsia="Calibri" w:hAnsi="Calibri"/>
          <w:color w:val="4A5568"/>
          <w:sz w:val="22"/>
          <w:szCs w:val="22"/>
        </w:rPr>
        <w:t xml:space="preserve">Kubernetes Hardening: CIS Kubernetes Benchmark compliance; network policies, pod security standards, admission controllers.</w:t>
      </w:r>
    </w:p>
    <w:p>
      <w:pPr>
        <w:pStyle w:val="Heading2"/>
        <w:spacing w:after="120" w:before="280"/>
      </w:pPr>
      <w:r>
        <w:rPr>
          <w:rFonts w:ascii="Calibri" w:cs="Calibri" w:eastAsia="Calibri" w:hAnsi="Calibri"/>
          <w:b/>
          <w:bCs/>
          <w:color w:val="1B5FA8"/>
          <w:sz w:val="28"/>
          <w:szCs w:val="28"/>
        </w:rPr>
        <w:t xml:space="preserve">6.3 Network Security Architecture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3360"/>
      </w:tblGrid>
      <w:tr>
        <w:tc>
          <w:tcPr>
            <w:tcW w:type="dxa" w:w="14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Layer</w:t>
            </w:r>
          </w:p>
        </w:tc>
        <w:tc>
          <w:tcPr>
            <w:tcW w:type="dxa" w:w="36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Control</w:t>
            </w:r>
          </w:p>
        </w:tc>
        <w:tc>
          <w:tcPr>
            <w:tcW w:type="dxa" w:w="336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Technology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Perimeter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Web Application Firewall, DDoS mitigation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Cloudflare Enterprise, Akamai</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Edge</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TLS 1.3 enforcement; certificate lifecycle management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Let's Encrypt / internal PKI, cert-manager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Segmentation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Micro-segmentation; zero trust network access (ZTNA)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Zscaler, Illumio, Palo Alto Prisma</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Internal</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Service mesh mTLS (east-west); network policy enforcement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Istio / Linkerd, Cilium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Egress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Allowlist-based egress proxy; DLP at egress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Zscaler, Netskope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Monitoring</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NetFlow analysis, NDR, east-west anomaly detection</w:t>
            </w:r>
          </w:p>
        </w:tc>
        <w:tc>
          <w:tcPr>
            <w:tcW w:type="dxa" w:w="3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Darktrace, ExtraHop, Corelight</w:t>
            </w:r>
          </w:p>
        </w:tc>
      </w:tr>
    </w:tbl>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7. Domain 5 — Data Protection &amp; Privacy</w:t>
      </w:r>
    </w:p>
    <w:p>
      <w:pPr>
        <w:pStyle w:val="Heading2"/>
        <w:spacing w:after="120" w:before="280"/>
      </w:pPr>
      <w:r>
        <w:rPr>
          <w:rFonts w:ascii="Calibri" w:cs="Calibri" w:eastAsia="Calibri" w:hAnsi="Calibri"/>
          <w:b/>
          <w:bCs/>
          <w:color w:val="1B5FA8"/>
          <w:sz w:val="28"/>
          <w:szCs w:val="28"/>
        </w:rPr>
        <w:t xml:space="preserve">7.1 Data Classification</w:t>
      </w:r>
    </w:p>
    <w:p>
      <w:pPr>
        <w:spacing w:after="100" w:before="80"/>
      </w:pPr>
      <w:r>
        <w:rPr>
          <w:rFonts w:ascii="Calibri" w:cs="Calibri" w:eastAsia="Calibri" w:hAnsi="Calibri"/>
          <w:color w:val="4A5568"/>
          <w:sz w:val="22"/>
          <w:szCs w:val="22"/>
        </w:rPr>
        <w:t xml:space="preserve">All enterprise data is classified according to a four-tier model that drives encryption, access, retention, and handling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040"/>
        <w:gridCol w:w="2640"/>
      </w:tblGrid>
      <w:tr>
        <w:tc>
          <w:tcPr>
            <w:tcW w:type="dxa" w:w="156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Classification</w:t>
            </w:r>
          </w:p>
        </w:tc>
        <w:tc>
          <w:tcPr>
            <w:tcW w:type="dxa" w:w="216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Definition</w:t>
            </w:r>
          </w:p>
        </w:tc>
        <w:tc>
          <w:tcPr>
            <w:tcW w:type="dxa" w:w="20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Example</w:t>
            </w:r>
          </w:p>
        </w:tc>
        <w:tc>
          <w:tcPr>
            <w:tcW w:type="dxa" w:w="26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Controls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Public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Intentionally public; no business harm from disclosure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Press releases, product docs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Integrity controls only</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Internal</w:t>
            </w:r>
          </w:p>
        </w:tc>
        <w:tc>
          <w:tcPr>
            <w:tcW w:type="dxa" w:w="2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General business use; limited harm from disclosure</w:t>
            </w:r>
          </w:p>
        </w:tc>
        <w:tc>
          <w:tcPr>
            <w:tcW w:type="dxa" w:w="20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Internal memos, metrics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Access controls, audit log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Confidential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Sensitive business or personal data; significant harm if disclosed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PII, financials, IP</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Encryption, DLP, MFA, monitoring</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Restricted</w:t>
            </w:r>
          </w:p>
        </w:tc>
        <w:tc>
          <w:tcPr>
            <w:tcW w:type="dxa" w:w="2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Highest sensitivity; severe regulatory or business impact</w:t>
            </w:r>
          </w:p>
        </w:tc>
        <w:tc>
          <w:tcPr>
            <w:tcW w:type="dxa" w:w="20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PHI, PCI data, trade secrets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Encryption + HSM, strict need-to-know, DLP, UEBA</w:t>
            </w:r>
          </w:p>
        </w:tc>
      </w:tr>
    </w:tbl>
    <w:p>
      <w:pPr>
        <w:spacing w:after="0" w:before="0"/>
      </w:pPr>
      <w:r>
        <w:t xml:space="preserve"/>
      </w:r>
    </w:p>
    <w:p>
      <w:pPr>
        <w:pStyle w:val="Heading2"/>
        <w:spacing w:after="120" w:before="280"/>
      </w:pPr>
      <w:r>
        <w:rPr>
          <w:rFonts w:ascii="Calibri" w:cs="Calibri" w:eastAsia="Calibri" w:hAnsi="Calibri"/>
          <w:b/>
          <w:bCs/>
          <w:color w:val="1B5FA8"/>
          <w:sz w:val="28"/>
          <w:szCs w:val="28"/>
        </w:rPr>
        <w:t xml:space="preserve">7.2 Encryption Standards</w:t>
      </w:r>
    </w:p>
    <w:p>
      <w:pPr>
        <w:pStyle w:val="ListParagraph"/>
        <w:numPr>
          <w:ilvl w:val="0"/>
          <w:numId w:val="2"/>
        </w:numPr>
        <w:spacing w:after="60" w:before="40"/>
      </w:pPr>
      <w:r>
        <w:rPr>
          <w:rFonts w:ascii="Calibri" w:cs="Calibri" w:eastAsia="Calibri" w:hAnsi="Calibri"/>
          <w:color w:val="4A5568"/>
          <w:sz w:val="22"/>
          <w:szCs w:val="22"/>
        </w:rPr>
        <w:t xml:space="preserve">Data in Transit: TLS 1.3 minimum; TLS 1.2 permitted with approved cipher suites; TLS 1.0/1.1 prohibited.</w:t>
      </w:r>
    </w:p>
    <w:p>
      <w:pPr>
        <w:pStyle w:val="ListParagraph"/>
        <w:numPr>
          <w:ilvl w:val="0"/>
          <w:numId w:val="2"/>
        </w:numPr>
        <w:spacing w:after="60" w:before="40"/>
      </w:pPr>
      <w:r>
        <w:rPr>
          <w:rFonts w:ascii="Calibri" w:cs="Calibri" w:eastAsia="Calibri" w:hAnsi="Calibri"/>
          <w:color w:val="4A5568"/>
          <w:sz w:val="22"/>
          <w:szCs w:val="22"/>
        </w:rPr>
        <w:t xml:space="preserve">Data at Rest: AES-256-GCM for databases, object storage, and backups; envelope encryption with KMS.</w:t>
      </w:r>
    </w:p>
    <w:p>
      <w:pPr>
        <w:pStyle w:val="ListParagraph"/>
        <w:numPr>
          <w:ilvl w:val="0"/>
          <w:numId w:val="2"/>
        </w:numPr>
        <w:spacing w:after="60" w:before="40"/>
      </w:pPr>
      <w:r>
        <w:rPr>
          <w:rFonts w:ascii="Calibri" w:cs="Calibri" w:eastAsia="Calibri" w:hAnsi="Calibri"/>
          <w:color w:val="4A5568"/>
          <w:sz w:val="22"/>
          <w:szCs w:val="22"/>
        </w:rPr>
        <w:t xml:space="preserve">Key Management: HSM-backed KMS (AWS KMS with CloudHSM, Azure Key Vault Premium, or Thales); per-application key hierarchy.</w:t>
      </w:r>
    </w:p>
    <w:p>
      <w:pPr>
        <w:pStyle w:val="ListParagraph"/>
        <w:numPr>
          <w:ilvl w:val="0"/>
          <w:numId w:val="2"/>
        </w:numPr>
        <w:spacing w:after="60" w:before="40"/>
      </w:pPr>
      <w:r>
        <w:rPr>
          <w:rFonts w:ascii="Calibri" w:cs="Calibri" w:eastAsia="Calibri" w:hAnsi="Calibri"/>
          <w:color w:val="4A5568"/>
          <w:sz w:val="22"/>
          <w:szCs w:val="22"/>
        </w:rPr>
        <w:t xml:space="preserve">Tokenization: PCI card data tokenized at point of entry; original PANs never stored in application tier.</w:t>
      </w:r>
    </w:p>
    <w:p>
      <w:pPr>
        <w:pStyle w:val="ListParagraph"/>
        <w:numPr>
          <w:ilvl w:val="0"/>
          <w:numId w:val="2"/>
        </w:numPr>
        <w:spacing w:after="60" w:before="40"/>
      </w:pPr>
      <w:r>
        <w:rPr>
          <w:rFonts w:ascii="Calibri" w:cs="Calibri" w:eastAsia="Calibri" w:hAnsi="Calibri"/>
          <w:color w:val="4A5568"/>
          <w:sz w:val="22"/>
          <w:szCs w:val="22"/>
        </w:rPr>
        <w:t xml:space="preserve">Database Encryption: Transparent Data Encryption (TDE) plus application-layer field encryption for Restricted data.</w:t>
      </w:r>
    </w:p>
    <w:p>
      <w:pPr>
        <w:pStyle w:val="Heading2"/>
        <w:spacing w:after="120" w:before="280"/>
      </w:pPr>
      <w:r>
        <w:rPr>
          <w:rFonts w:ascii="Calibri" w:cs="Calibri" w:eastAsia="Calibri" w:hAnsi="Calibri"/>
          <w:b/>
          <w:bCs/>
          <w:color w:val="1B5FA8"/>
          <w:sz w:val="28"/>
          <w:szCs w:val="28"/>
        </w:rPr>
        <w:t xml:space="preserve">7.3 Data Loss Prevention</w:t>
      </w:r>
    </w:p>
    <w:p>
      <w:pPr>
        <w:spacing w:after="100" w:before="80"/>
      </w:pPr>
      <w:r>
        <w:rPr>
          <w:rFonts w:ascii="Calibri" w:cs="Calibri" w:eastAsia="Calibri" w:hAnsi="Calibri"/>
          <w:color w:val="4A5568"/>
          <w:sz w:val="22"/>
          <w:szCs w:val="22"/>
        </w:rPr>
        <w:t xml:space="preserve">Enterprise DLP policies enforce data handling at endpoint, network egress, cloud upload, and email gateways. Policies are tuned per classification tier and business unit. UEBA analytics detect anomalous data exfiltration patterns.</w:t>
      </w:r>
    </w:p>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8. Domain 6 — Threat Detection &amp; Response</w:t>
      </w:r>
    </w:p>
    <w:p>
      <w:pPr>
        <w:pStyle w:val="Heading2"/>
        <w:spacing w:after="120" w:before="280"/>
      </w:pPr>
      <w:r>
        <w:rPr>
          <w:rFonts w:ascii="Calibri" w:cs="Calibri" w:eastAsia="Calibri" w:hAnsi="Calibri"/>
          <w:b/>
          <w:bCs/>
          <w:color w:val="1B5FA8"/>
          <w:sz w:val="28"/>
          <w:szCs w:val="28"/>
        </w:rPr>
        <w:t xml:space="preserve">8.1 Security Operations Architecture</w:t>
      </w:r>
    </w:p>
    <w:p>
      <w:pPr>
        <w:spacing w:after="100" w:before="80"/>
      </w:pPr>
      <w:r>
        <w:rPr>
          <w:rFonts w:ascii="Calibri" w:cs="Calibri" w:eastAsia="Calibri" w:hAnsi="Calibri"/>
          <w:color w:val="4A5568"/>
          <w:sz w:val="22"/>
          <w:szCs w:val="22"/>
        </w:rPr>
        <w:t xml:space="preserve">The Security Operations Center (SOC) operates 24x7 and is organized around a tiered analyst model supported by automation, threat intelligence, and AI-assisted triage. The detection architecture spans application, infrastructure, identity, and network telemetry sources.</w:t>
      </w:r>
    </w:p>
    <w:p>
      <w:pPr>
        <w:pStyle w:val="Heading2"/>
        <w:spacing w:after="120" w:before="280"/>
      </w:pPr>
      <w:r>
        <w:rPr>
          <w:rFonts w:ascii="Calibri" w:cs="Calibri" w:eastAsia="Calibri" w:hAnsi="Calibri"/>
          <w:b/>
          <w:bCs/>
          <w:color w:val="1B5FA8"/>
          <w:sz w:val="28"/>
          <w:szCs w:val="28"/>
        </w:rPr>
        <w:t xml:space="preserve">8.2 Telemetry Sources &amp; Coverage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000"/>
      </w:tblGrid>
      <w:tr>
        <w:tc>
          <w:tcPr>
            <w:tcW w:type="dxa" w:w="18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Telemetry Domain</w:t>
            </w:r>
          </w:p>
        </w:tc>
        <w:tc>
          <w:tcPr>
            <w:tcW w:type="dxa" w:w="36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Sources</w:t>
            </w:r>
          </w:p>
        </w:tc>
        <w:tc>
          <w:tcPr>
            <w:tcW w:type="dxa" w:w="30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Application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WAF logs, RASP events, API gateway logs, error rates, APM traces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SIEM (Splunk / Microsoft Sentinel)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Identity</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IdP authentication logs, PAM session logs, directory change events</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SIEM + UEBA (Exabeam, Securonix)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Infrastructure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Cloud audit logs (CloudTrail, Audit Log, Cloud Audit), OS syslog, container logs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SIEM + CSPM</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Network</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NetFlow, DNS query logs, proxy logs, east-west NDR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SIEM + NDR (Corelight, ExtraHop)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Endpoint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EDR telemetry (process, file, network, registry), DLP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CrowdStrike Falcon, SentinelOne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Intel</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Commercial feeds, ISACs, open-source IOCs, dark web monitoring</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TIP (ThreatConnect, Recorded Future)</w:t>
            </w:r>
          </w:p>
        </w:tc>
      </w:tr>
    </w:tbl>
    <w:p>
      <w:pPr>
        <w:spacing w:after="0" w:before="0"/>
      </w:pPr>
      <w:r>
        <w:t xml:space="preserve"/>
      </w:r>
    </w:p>
    <w:p>
      <w:pPr>
        <w:pStyle w:val="Heading2"/>
        <w:spacing w:after="120" w:before="280"/>
      </w:pPr>
      <w:r>
        <w:rPr>
          <w:rFonts w:ascii="Calibri" w:cs="Calibri" w:eastAsia="Calibri" w:hAnsi="Calibri"/>
          <w:b/>
          <w:bCs/>
          <w:color w:val="1B5FA8"/>
          <w:sz w:val="28"/>
          <w:szCs w:val="28"/>
        </w:rPr>
        <w:t xml:space="preserve">8.3 Incident Response</w:t>
      </w:r>
    </w:p>
    <w:p>
      <w:pPr>
        <w:spacing w:after="100" w:before="80"/>
      </w:pPr>
      <w:r>
        <w:rPr>
          <w:rFonts w:ascii="Calibri" w:cs="Calibri" w:eastAsia="Calibri" w:hAnsi="Calibri"/>
          <w:color w:val="4A5568"/>
          <w:sz w:val="22"/>
          <w:szCs w:val="22"/>
        </w:rPr>
        <w:t xml:space="preserve">The Incident Response lifecycle follows NIST SP 800-61 Rev 2 with enterprise-specific playbooks for critical scenario types:</w:t>
      </w:r>
    </w:p>
    <w:p>
      <w:pPr>
        <w:pStyle w:val="ListParagraph"/>
        <w:numPr>
          <w:ilvl w:val="0"/>
          <w:numId w:val="2"/>
        </w:numPr>
        <w:spacing w:after="60" w:before="40"/>
      </w:pPr>
      <w:r>
        <w:rPr>
          <w:rFonts w:ascii="Calibri" w:cs="Calibri" w:eastAsia="Calibri" w:hAnsi="Calibri"/>
          <w:color w:val="4A5568"/>
          <w:sz w:val="22"/>
          <w:szCs w:val="22"/>
        </w:rPr>
        <w:t xml:space="preserve">Preparation: IR plan, runbooks, tabletop exercises, retainer with IR firm.</w:t>
      </w:r>
    </w:p>
    <w:p>
      <w:pPr>
        <w:pStyle w:val="ListParagraph"/>
        <w:numPr>
          <w:ilvl w:val="0"/>
          <w:numId w:val="2"/>
        </w:numPr>
        <w:spacing w:after="60" w:before="40"/>
      </w:pPr>
      <w:r>
        <w:rPr>
          <w:rFonts w:ascii="Calibri" w:cs="Calibri" w:eastAsia="Calibri" w:hAnsi="Calibri"/>
          <w:color w:val="4A5568"/>
          <w:sz w:val="22"/>
          <w:szCs w:val="22"/>
        </w:rPr>
        <w:t xml:space="preserve">Detection &amp; Analysis: Automated alert enrichment, SOAR-driven triage, analyst escalation paths.</w:t>
      </w:r>
    </w:p>
    <w:p>
      <w:pPr>
        <w:pStyle w:val="ListParagraph"/>
        <w:numPr>
          <w:ilvl w:val="0"/>
          <w:numId w:val="2"/>
        </w:numPr>
        <w:spacing w:after="60" w:before="40"/>
      </w:pPr>
      <w:r>
        <w:rPr>
          <w:rFonts w:ascii="Calibri" w:cs="Calibri" w:eastAsia="Calibri" w:hAnsi="Calibri"/>
          <w:color w:val="4A5568"/>
          <w:sz w:val="22"/>
          <w:szCs w:val="22"/>
        </w:rPr>
        <w:t xml:space="preserve">Containment: Automated quarantine playbooks for endpoint/identity; network isolation for critical systems.</w:t>
      </w:r>
    </w:p>
    <w:p>
      <w:pPr>
        <w:pStyle w:val="ListParagraph"/>
        <w:numPr>
          <w:ilvl w:val="0"/>
          <w:numId w:val="2"/>
        </w:numPr>
        <w:spacing w:after="60" w:before="40"/>
      </w:pPr>
      <w:r>
        <w:rPr>
          <w:rFonts w:ascii="Calibri" w:cs="Calibri" w:eastAsia="Calibri" w:hAnsi="Calibri"/>
          <w:color w:val="4A5568"/>
          <w:sz w:val="22"/>
          <w:szCs w:val="22"/>
        </w:rPr>
        <w:t xml:space="preserve">Eradication &amp; Recovery: Root cause analysis, threat hunting sweep, system restoration from verified clean backups.</w:t>
      </w:r>
    </w:p>
    <w:p>
      <w:pPr>
        <w:pStyle w:val="ListParagraph"/>
        <w:numPr>
          <w:ilvl w:val="0"/>
          <w:numId w:val="2"/>
        </w:numPr>
        <w:spacing w:after="60" w:before="40"/>
      </w:pPr>
      <w:r>
        <w:rPr>
          <w:rFonts w:ascii="Calibri" w:cs="Calibri" w:eastAsia="Calibri" w:hAnsi="Calibri"/>
          <w:color w:val="4A5568"/>
          <w:sz w:val="22"/>
          <w:szCs w:val="22"/>
        </w:rPr>
        <w:t xml:space="preserve">Post-Incident: Lessons learned, metrics reporting to CISO, control gap remediation tracking.</w:t>
      </w:r>
    </w:p>
    <w:p>
      <w:pPr>
        <w:pStyle w:val="Heading2"/>
        <w:spacing w:after="120" w:before="280"/>
      </w:pPr>
      <w:r>
        <w:rPr>
          <w:rFonts w:ascii="Calibri" w:cs="Calibri" w:eastAsia="Calibri" w:hAnsi="Calibri"/>
          <w:b/>
          <w:bCs/>
          <w:color w:val="1B5FA8"/>
          <w:sz w:val="28"/>
          <w:szCs w:val="28"/>
        </w:rPr>
        <w:t xml:space="preserve">8.4 Key Metrics (KPIs)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c>
          <w:tcPr>
            <w:tcW w:type="dxa" w:w="36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Metric</w:t>
            </w:r>
          </w:p>
        </w:tc>
        <w:tc>
          <w:tcPr>
            <w:tcW w:type="dxa" w:w="48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Mean Time to Detect (MTTD)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&lt; 1 hour for P1/P2 incidents</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Mean Time to Respond (MTTR)</w:t>
            </w:r>
          </w:p>
        </w:tc>
        <w:tc>
          <w:tcPr>
            <w:tcW w:type="dxa" w:w="4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&lt; 4 hours for P1; &lt; 24 hours for P2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False Positive Rate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&lt; 5% of alerts escalated to L2</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SIEM Coverage</w:t>
            </w:r>
          </w:p>
        </w:tc>
        <w:tc>
          <w:tcPr>
            <w:tcW w:type="dxa" w:w="4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&gt; 95% of critical asset telemetry ingested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Playbook Automation Rate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&gt; 70% of P2/P3 alerts auto-remediated or triaged</w:t>
            </w:r>
          </w:p>
        </w:tc>
      </w:tr>
    </w:tbl>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9. Domain 7 — Governance, Risk &amp; Compliance</w:t>
      </w:r>
    </w:p>
    <w:p>
      <w:pPr>
        <w:pStyle w:val="Heading2"/>
        <w:spacing w:after="120" w:before="280"/>
      </w:pPr>
      <w:r>
        <w:rPr>
          <w:rFonts w:ascii="Calibri" w:cs="Calibri" w:eastAsia="Calibri" w:hAnsi="Calibri"/>
          <w:b/>
          <w:bCs/>
          <w:color w:val="1B5FA8"/>
          <w:sz w:val="28"/>
          <w:szCs w:val="28"/>
        </w:rPr>
        <w:t xml:space="preserve">9.1 Governance Structure</w:t>
      </w:r>
    </w:p>
    <w:p>
      <w:pPr>
        <w:spacing w:after="100" w:before="80"/>
      </w:pPr>
      <w:r>
        <w:rPr>
          <w:rFonts w:ascii="Calibri" w:cs="Calibri" w:eastAsia="Calibri" w:hAnsi="Calibri"/>
          <w:color w:val="4A5568"/>
          <w:sz w:val="22"/>
          <w:szCs w:val="22"/>
        </w:rPr>
        <w:t xml:space="preserve">Application security governance operates through a three-tier model: Board/Audit Committee oversight, CISO-led enterprise security program, and business unit Security Steering Committees. Risk appetite and material risk thresholds are set at the Board level and translated into operational control objectives by the CISO.</w:t>
      </w:r>
    </w:p>
    <w:p>
      <w:pPr>
        <w:pStyle w:val="Heading2"/>
        <w:spacing w:after="120" w:before="280"/>
      </w:pPr>
      <w:r>
        <w:rPr>
          <w:rFonts w:ascii="Calibri" w:cs="Calibri" w:eastAsia="Calibri" w:hAnsi="Calibri"/>
          <w:b/>
          <w:bCs/>
          <w:color w:val="1B5FA8"/>
          <w:sz w:val="28"/>
          <w:szCs w:val="28"/>
        </w:rPr>
        <w:t xml:space="preserve">9.2 Regulatory &amp; Framework Alignment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2640"/>
      </w:tblGrid>
      <w:tr>
        <w:tc>
          <w:tcPr>
            <w:tcW w:type="dxa" w:w="252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Framework / Regulation</w:t>
            </w:r>
          </w:p>
        </w:tc>
        <w:tc>
          <w:tcPr>
            <w:tcW w:type="dxa" w:w="32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Applicability</w:t>
            </w:r>
          </w:p>
        </w:tc>
        <w:tc>
          <w:tcPr>
            <w:tcW w:type="dxa" w:w="26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Primary Owner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NIST CSF 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Enterprise baseline security framework</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CISO / Security Architecture</w:t>
            </w:r>
          </w:p>
        </w:tc>
      </w:tr>
      <w:tr>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ISO/IEC 27001:2022</w:t>
            </w:r>
          </w:p>
        </w:tc>
        <w:tc>
          <w:tcPr>
            <w:tcW w:type="dxa" w:w="32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ISMS certification; scope includes application &amp; cloud</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Compliance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OWASP SAMM 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Software security maturity measurement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Engineering</w:t>
            </w:r>
          </w:p>
        </w:tc>
      </w:tr>
      <w:tr>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CIS Controls v8</w:t>
            </w:r>
          </w:p>
        </w:tc>
        <w:tc>
          <w:tcPr>
            <w:tcW w:type="dxa" w:w="32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Operational security control prioritization</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Operations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PCI-DSS 4.0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Cardholder data environment controls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Compliance / Product Security</w:t>
            </w:r>
          </w:p>
        </w:tc>
      </w:tr>
      <w:tr>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HIPAA Security Rule</w:t>
            </w:r>
          </w:p>
        </w:tc>
        <w:tc>
          <w:tcPr>
            <w:tcW w:type="dxa" w:w="32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Protected health information (PHI) controls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Compliance / Healthcare BU</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SOX ITGC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IT general controls for financial reporting systems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Compliance / Internal Audit</w:t>
            </w:r>
          </w:p>
        </w:tc>
      </w:tr>
      <w:tr>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GDPR / CCPA</w:t>
            </w:r>
          </w:p>
        </w:tc>
        <w:tc>
          <w:tcPr>
            <w:tcW w:type="dxa" w:w="32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Personal data protection; privacy by design</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Privacy / Legal / Security</w:t>
            </w:r>
          </w:p>
        </w:tc>
      </w:tr>
    </w:tbl>
    <w:p>
      <w:pPr>
        <w:spacing w:after="0" w:before="0"/>
      </w:pPr>
      <w:r>
        <w:t xml:space="preserve"/>
      </w:r>
    </w:p>
    <w:p>
      <w:pPr>
        <w:pStyle w:val="Heading2"/>
        <w:spacing w:after="120" w:before="280"/>
      </w:pPr>
      <w:r>
        <w:rPr>
          <w:rFonts w:ascii="Calibri" w:cs="Calibri" w:eastAsia="Calibri" w:hAnsi="Calibri"/>
          <w:b/>
          <w:bCs/>
          <w:color w:val="1B5FA8"/>
          <w:sz w:val="28"/>
          <w:szCs w:val="28"/>
        </w:rPr>
        <w:t xml:space="preserve">9.3 Risk Management</w:t>
      </w:r>
    </w:p>
    <w:p>
      <w:pPr>
        <w:spacing w:after="100" w:before="80"/>
      </w:pPr>
      <w:r>
        <w:rPr>
          <w:rFonts w:ascii="Calibri" w:cs="Calibri" w:eastAsia="Calibri" w:hAnsi="Calibri"/>
          <w:color w:val="4A5568"/>
          <w:sz w:val="22"/>
          <w:szCs w:val="22"/>
        </w:rPr>
        <w:t xml:space="preserve">Application security risks are tracked in the enterprise GRC platform (ServiceNow GRC / Archer) and rated using a 5x5 likelihood-impact matrix. Risk owners are assigned at the business-unit level. Residual risks exceeding appetite thresholds are escalated to the Security Steering Committee and, where material, to the Board.</w:t>
      </w:r>
    </w:p>
    <w:p>
      <w:pPr>
        <w:pStyle w:val="Heading2"/>
        <w:spacing w:after="120" w:before="280"/>
      </w:pPr>
      <w:r>
        <w:rPr>
          <w:rFonts w:ascii="Calibri" w:cs="Calibri" w:eastAsia="Calibri" w:hAnsi="Calibri"/>
          <w:b/>
          <w:bCs/>
          <w:color w:val="1B5FA8"/>
          <w:sz w:val="28"/>
          <w:szCs w:val="28"/>
        </w:rPr>
        <w:t xml:space="preserve">9.4 Vulnerability Management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20"/>
        <w:gridCol w:w="2640"/>
        <w:gridCol w:w="3840"/>
      </w:tblGrid>
      <w:tr>
        <w:tc>
          <w:tcPr>
            <w:tcW w:type="dxa" w:w="192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26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SLA to Remediation</w:t>
            </w:r>
          </w:p>
        </w:tc>
        <w:tc>
          <w:tcPr>
            <w:tcW w:type="dxa" w:w="38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Escalation if Missed</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Critical (CVSS 9.0–10.0)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72 hours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Immediate CISO notification; emergency change process</w:t>
            </w:r>
          </w:p>
        </w:tc>
      </w:tr>
      <w:tr>
        <w:tc>
          <w:tcPr>
            <w:tcW w:type="dxa" w:w="1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High (CVSS 7.0–8.9)</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14 days</w:t>
            </w:r>
          </w:p>
        </w:tc>
        <w:tc>
          <w:tcPr>
            <w:tcW w:type="dxa" w:w="38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VP Engineering + CISO; weekly tracking</w:t>
            </w:r>
          </w:p>
        </w:tc>
      </w:tr>
      <w:tr>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Medium (CVSS 4.0–6.9)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45 days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team tracking; monthly steering review</w:t>
            </w:r>
          </w:p>
        </w:tc>
      </w:tr>
      <w:tr>
        <w:tc>
          <w:tcPr>
            <w:tcW w:type="dxa" w:w="1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Low (CVSS 0.1–3.9)</w:t>
            </w:r>
          </w:p>
        </w:tc>
        <w:tc>
          <w:tcPr>
            <w:tcW w:type="dxa" w:w="2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90 days</w:t>
            </w:r>
          </w:p>
        </w:tc>
        <w:tc>
          <w:tcPr>
            <w:tcW w:type="dxa" w:w="38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Included in standard backlog; quarterly review</w:t>
            </w:r>
          </w:p>
        </w:tc>
      </w:tr>
    </w:tbl>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10. Consolidated Technology Reference</w:t>
      </w:r>
    </w:p>
    <w:p>
      <w:pPr>
        <w:spacing w:after="100" w:before="80"/>
      </w:pPr>
      <w:r>
        <w:rPr>
          <w:rFonts w:ascii="Calibri" w:cs="Calibri" w:eastAsia="Calibri" w:hAnsi="Calibri"/>
          <w:color w:val="4A5568"/>
          <w:sz w:val="22"/>
          <w:szCs w:val="22"/>
        </w:rPr>
        <w:t xml:space="preserve">The following table summarizes the approved enterprise security tooling aligned to each domain. Deviations require Security Architecture Board approval.</w:t>
      </w:r>
    </w:p>
    <w:p>
      <w:pPr>
        <w:spacing w:after="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4200"/>
      </w:tblGrid>
      <w:tr>
        <w:tc>
          <w:tcPr>
            <w:tcW w:type="dxa" w:w="168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Domain</w:t>
            </w:r>
          </w:p>
        </w:tc>
        <w:tc>
          <w:tcPr>
            <w:tcW w:type="dxa" w:w="252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Capability</w:t>
            </w:r>
          </w:p>
        </w:tc>
        <w:tc>
          <w:tcPr>
            <w:tcW w:type="dxa" w:w="420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Approved Tooling</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Enterprise IdP / SSO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Okta, Azure Entra ID</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Privileged Access Management</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CyberArk, Delinea Secret Server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Workload Identity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SPIFFE/SPIRE, HashiCorp Vault</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SSDLC</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SAST</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Checkmarx One, Semgrep</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SSDLC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SCA / OSS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Snyk, Mend (WhiteSource)</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SSDLC</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DAST</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Burp Suite Enterprise, StackHawk</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SSDLC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Secrets Detection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Gitleaks, Trufflehog</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SSDLC</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Container Scanning</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Trivy, Sysdig Secure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 Security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 Gateway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Kong Enterprise, Apigee</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API Security</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Authorization Engine</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OPA, Cedar (AWS)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Infrastructure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CSPM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Wiz, Prisma Cloud</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Infrastructure</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CWPP / CNAPP</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Wiz, Aqua Security</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Infrastructure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WAF / DDoS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Cloudflare Enterprise, Akamai</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Infrastructure</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Service Mesh</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Istio, Linkerd</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Data Protection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DLP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Symantec DLP, Netskope</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Data Protection</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KMS / HSM</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AWS KMS + CloudHSM, Azure Key Vault Premium</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Detection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SIEM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Splunk Enterprise Security, Microsoft Sentinel</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Detection</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SOAR</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Splunk SOAR, Palo Alto XSOAR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Detection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EDR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CrowdStrike Falcon, SentinelOne</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Detection</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NDR</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Corelight, ExtraHop Reveal(x)</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Threat Detection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UEBA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Exabeam, Securonix</w:t>
            </w:r>
          </w:p>
        </w:tc>
      </w:tr>
      <w:tr>
        <w:tc>
          <w:tcPr>
            <w:tcW w:type="dxa" w:w="1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GRC</w:t>
            </w:r>
          </w:p>
        </w:tc>
        <w:tc>
          <w:tcPr>
            <w:tcW w:type="dxa" w:w="25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GRC Platform</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ServiceNow GRC, RSA Archer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GRC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Vulnerability Management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Qualys VMDR, Tenable.io</w:t>
            </w:r>
          </w:p>
        </w:tc>
      </w:tr>
    </w:tbl>
    <w:p>
      <w:r>
        <w:br w:type="page"/>
      </w:r>
    </w:p>
    <w:p>
      <w:pPr>
        <w:pStyle w:val="Heading1"/>
        <w:pBdr>
          <w:bottom w:val="single" w:color="1B5FA8" w:sz="6" w:space="4"/>
        </w:pBdr>
        <w:spacing w:after="180" w:before="360"/>
      </w:pPr>
      <w:r>
        <w:rPr>
          <w:rFonts w:ascii="Calibri" w:cs="Calibri" w:eastAsia="Calibri" w:hAnsi="Calibri"/>
          <w:b/>
          <w:bCs/>
          <w:color w:val="0D2B55"/>
          <w:sz w:val="36"/>
          <w:szCs w:val="36"/>
        </w:rPr>
        <w:t xml:space="preserve">11. Appendix — Key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Acronym</w:t>
            </w:r>
          </w:p>
        </w:tc>
        <w:tc>
          <w:tcPr>
            <w:tcW w:type="dxa" w:w="7920"/>
            <w:tcBorders>
              <w:top w:val="single" w:color="4472C4" w:sz="1"/>
              <w:left w:val="single" w:color="4472C4" w:sz="1"/>
              <w:bottom w:val="single" w:color="4472C4" w:sz="1"/>
              <w:right w:val="single" w:color="4472C4" w:sz="1"/>
            </w:tcBorders>
            <w:shd w:fill="0D2B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Definition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ABAC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Attribute-Based Access Control</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ARB</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Architecture Review Board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ASRM</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Application Security Reference Model</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CIEM</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Cloud Infrastructure Entitlement Management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CNAPP</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Cloud-Native Application Protection Platform</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CSPM</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Cloud Security Posture Management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CWPP</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Cloud Workload Protection Platform</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DAST</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Dynamic Application Security Testing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DLP</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Data Loss Prevention</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GRC</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Governance, Risk &amp; Compliance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IAM</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Identity &amp; Access Management</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IaC</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Infrastructure as Code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IdP</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Identity Provider</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JIT</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Just-in-Time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KMS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Key Management Service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mTLS</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Mutual Transport Layer Security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NDR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Network Detection &amp; Response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NHI</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Non-Human Identity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OPA</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Open Policy Agent</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PAM</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Privileged Access Management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PKI</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Public Key Infrastructure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RASP</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Runtime Application Self-Protection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RBAC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Role-Based Access Control</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SAMM</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Software Assurance Maturity Model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SAST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Static Application Security Testing</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SCA</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Software Composition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SIEM</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Information &amp; Event Management</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SOAR</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Security Orchestration, Automation &amp; Response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SPIFFE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Secure Production Identity Framework for Everyone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SSDLC</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Secure Software Development Lifecycle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UEBA</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User &amp; Entity Behavior Analytics</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WAF</w:t>
            </w:r>
          </w:p>
        </w:tc>
        <w:tc>
          <w:tcPr>
            <w:tcW w:type="dxa" w:w="79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Web Application Firewall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ZTNA</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1A1A2E"/>
                <w:sz w:val="20"/>
                <w:szCs w:val="20"/>
              </w:rPr>
              <w:t xml:space="preserve">Zero Trust Network Access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B55" w:sz="4" w:space="4"/>
      </w:pBdr>
      <w:tabs>
        <w:tab w:val="right" w:pos="9026"/>
      </w:tabs>
    </w:pPr>
    <w:r>
      <w:rPr>
        <w:rFonts w:ascii="Calibri" w:cs="Calibri" w:eastAsia="Calibri" w:hAnsi="Calibri"/>
        <w:color w:val="4A5568"/>
        <w:sz w:val="16"/>
        <w:szCs w:val="16"/>
      </w:rPr>
      <w:t xml:space="preserve">Enterprise Security Architecture</w:t>
    </w:r>
    <w:r>
      <w:rPr>
        <w:rFonts w:ascii="Calibri" w:cs="Calibri" w:eastAsia="Calibri" w:hAnsi="Calibri"/>
        <w:color w:val="4A5568"/>
        <w:sz w:val="16"/>
        <w:szCs w:val="16"/>
      </w:rPr>
      <w:t xml:space="preserve">	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5" w:sz="6" w:space="4"/>
      </w:pBdr>
    </w:pPr>
    <w:r>
      <w:rPr>
        <w:rFonts w:ascii="Calibri" w:cs="Calibri" w:eastAsia="Calibri" w:hAnsi="Calibri"/>
        <w:b/>
        <w:bCs/>
        <w:color w:val="0D2B55"/>
        <w:sz w:val="18"/>
        <w:szCs w:val="18"/>
      </w:rPr>
      <w:t xml:space="preserve">APPLICATION SECURITY REFERENCE MODEL</w:t>
    </w:r>
    <w:r>
      <w:rPr>
        <w:rFonts w:ascii="Calibri" w:cs="Calibri" w:eastAsia="Calibri" w:hAnsi="Calibri"/>
        <w:color w:val="4A556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2B55"/>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5FA8"/>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2026-05-13T22:34:54.058Z</dcterms:created>
  <dcterms:modified xsi:type="dcterms:W3CDTF">2026-05-13T22:34:54.058Z</dcterms:modified>
</cp:coreProperties>
</file>

<file path=docProps/custom.xml><?xml version="1.0" encoding="utf-8"?>
<Properties xmlns="http://schemas.openxmlformats.org/officeDocument/2006/custom-properties" xmlns:vt="http://schemas.openxmlformats.org/officeDocument/2006/docPropsVTypes"/>
</file>