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UCD</w:t>
      </w:r>
      <w:r>
        <w:t xml:space="preserve"> </w:t>
      </w:r>
      <w:r>
        <w:t xml:space="preserve">Yang–Mills</w:t>
      </w:r>
      <w:r>
        <w:t xml:space="preserve"> </w:t>
      </w:r>
      <w:r>
        <w:t xml:space="preserve">Existence</w:t>
      </w:r>
      <w:r>
        <w:t xml:space="preserve"> </w:t>
      </w:r>
      <w:r>
        <w:t xml:space="preserve">and</w:t>
      </w:r>
      <w:r>
        <w:t xml:space="preserve"> </w:t>
      </w:r>
      <w:r>
        <w:t xml:space="preserve">Mass-Gap</w:t>
      </w:r>
      <w:r>
        <w:t xml:space="preserve"> </w:t>
      </w:r>
      <w:r>
        <w:t xml:space="preserve">Construction</w:t>
      </w:r>
    </w:p>
    <w:p>
      <w:pPr>
        <w:pStyle w:val="Subtitle"/>
      </w:pPr>
      <w:r>
        <w:t xml:space="preserve">Jaffe–Witten</w:t>
      </w:r>
      <w:r>
        <w:t xml:space="preserve"> </w:t>
      </w:r>
      <w:r>
        <w:t xml:space="preserve">Specification:</w:t>
      </w:r>
      <w:r>
        <w:t xml:space="preserve"> </w:t>
      </w:r>
      <w:r>
        <w:t xml:space="preserve">Compact-Group</w:t>
      </w:r>
      <w:r>
        <w:t xml:space="preserve"> </w:t>
      </w:r>
      <w:r>
        <w:t xml:space="preserve">Regulator,</w:t>
      </w:r>
      <w:r>
        <w:t xml:space="preserve"> </w:t>
      </w:r>
      <w:r>
        <w:t xml:space="preserve">Exact</w:t>
      </w:r>
      <w:r>
        <w:t xml:space="preserve"> </w:t>
      </w:r>
      <w:r>
        <w:t xml:space="preserve">Schur</w:t>
      </w:r>
      <w:r>
        <w:t xml:space="preserve"> </w:t>
      </w:r>
      <w:r>
        <w:t xml:space="preserve">Renormalization,</w:t>
      </w:r>
      <w:r>
        <w:t xml:space="preserve"> </w:t>
      </w:r>
      <w:r>
        <w:t xml:space="preserve">Reflection</w:t>
      </w:r>
      <w:r>
        <w:t xml:space="preserve"> </w:t>
      </w:r>
      <w:r>
        <w:t xml:space="preserve">Positivity,</w:t>
      </w:r>
      <w:r>
        <w:t xml:space="preserve"> </w:t>
      </w:r>
      <w:r>
        <w:t xml:space="preserve">and</w:t>
      </w:r>
      <w:r>
        <w:t xml:space="preserve"> </w:t>
      </w:r>
      <w:r>
        <w:t xml:space="preserve">Spectral</w:t>
      </w:r>
      <w:r>
        <w:t xml:space="preserve"> </w:t>
      </w:r>
      <w:r>
        <w:t xml:space="preserve">Transfer</w:t>
      </w:r>
    </w:p>
    <w:p>
      <w:pPr>
        <w:pStyle w:val="Author"/>
      </w:pPr>
      <w:r>
        <w:t xml:space="preserve">Richard</w:t>
      </w:r>
      <w:r>
        <w:t xml:space="preserve"> </w:t>
      </w:r>
      <w:r>
        <w:t xml:space="preserve">Wise</w:t>
      </w:r>
    </w:p>
    <w:p>
      <w:pPr>
        <w:pStyle w:val="Date"/>
      </w:pPr>
      <w:r>
        <w:t xml:space="preserve">10</w:t>
      </w:r>
      <w:r>
        <w:t xml:space="preserve"> </w:t>
      </w:r>
      <w:r>
        <w:t xml:space="preserve">September</w:t>
      </w:r>
      <w:r>
        <w:t xml:space="preserve"> </w:t>
      </w:r>
      <w:r>
        <w:t xml:space="preserve">2026</w:t>
      </w:r>
    </w:p>
    <w:bookmarkStart w:id="20" w:name="abstract"/>
    <w:p>
      <w:pPr>
        <w:pStyle w:val="Heading1"/>
      </w:pPr>
      <w:r>
        <w:t xml:space="preserve">Abstract</w:t>
      </w:r>
    </w:p>
    <w:p>
      <w:pPr>
        <w:pStyle w:val="FirstParagraph"/>
      </w:pPr>
      <w:r>
        <w:t xml:space="preserve">The Yang–Mills existence and mass-gap problem requires, for a compact simple gauge group</w:t>
      </w:r>
      <w:r>
        <w:t xml:space="preserve"> </w:t>
      </w:r>
      <m:oMath>
        <m:r>
          <m:t>G</m:t>
        </m:r>
      </m:oMath>
      <w:r>
        <w:t xml:space="preserve">, a nontrivial quantum Yang–Mills theory on</w:t>
      </w:r>
      <w:r>
        <w:t xml:space="preserve"> </w:t>
      </w:r>
      <m:oMath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with a physical Hamiltonian whose spectrum has a strictly positive interval above the vacuum containing no spectrum. This manuscript places the UCD construction directly into the Jaffe–Witten proof architecture.</w:t>
      </w:r>
    </w:p>
    <w:p>
      <w:pPr>
        <w:pStyle w:val="BodyText"/>
      </w:pPr>
      <w:r>
        <w:t xml:space="preserve">The proof regulator is the standard compact-group lattice gauge system with link Hilbert space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G</m:t>
            </m:r>
          </m:e>
        </m:d>
      </m:oMath>
      <w:r>
        <w:t xml:space="preserve">, gauge-invariant plaquette action, positive transfer structure, and independent ultraviolet and thermodynamic limits. For</w:t>
      </w:r>
      <w:r>
        <w:t xml:space="preserve"> </w:t>
      </w:r>
      <m:oMath>
        <m:r>
          <m:t>S</m:t>
        </m:r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</m:e>
        </m:d>
      </m:oMath>
      <w:r>
        <w:t xml:space="preserve"> </w:t>
      </w:r>
      <w:r>
        <w:t xml:space="preserve">the Peter–Weyl decomposition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L</m:t>
              </m:r>
            </m:e>
            <m:sup>
              <m:r>
                <m:t>2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e>
          </m:d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⨁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≥</m:t>
              </m:r>
              <m:r>
                <m:t>0</m:t>
              </m:r>
            </m:sub>
          </m:sSub>
          <m:sSub>
            <m:e>
              <m:r>
                <m:t>V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sub>
          </m:sSub>
          <m:r>
            <m:rPr>
              <m:sty m:val="p"/>
            </m:rPr>
            <m:t>⊗</m:t>
          </m:r>
          <m:sSubSup>
            <m:e>
              <m:r>
                <m:t>V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sub>
            <m:sup>
              <m:r>
                <m:rPr>
                  <m:sty m:val="p"/>
                </m:rPr>
                <m:t>*</m:t>
              </m:r>
            </m:sup>
          </m:sSubSup>
        </m:oMath>
      </m:oMathPara>
    </w:p>
    <w:p>
      <w:pPr>
        <w:pStyle w:val="FirstParagraph"/>
      </w:pPr>
      <w:r>
        <w:t xml:space="preserve">gives a controlled finite-matrix verification hierarchy. The previously constructed 20-dimensional UCD quantum-link block is retained as an independent finite algebraic workbench; it is not substituted for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t>U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3</m:t>
                </m:r>
              </m:e>
            </m:d>
          </m:e>
        </m:d>
      </m:oMath>
      <w:r>
        <w:t xml:space="preserve"> </w:t>
      </w:r>
      <w:r>
        <w:t xml:space="preserve">in the continuum proof.</w:t>
      </w:r>
    </w:p>
    <w:p>
      <w:pPr>
        <w:pStyle w:val="BodyText"/>
      </w:pPr>
      <w:r>
        <w:t xml:space="preserve">The manuscript proves an exact quadratic Schur-stability theorem. If the eliminated spectral sector has scale-uniform separation</w:t>
      </w:r>
      <w:r>
        <w:t xml:space="preserve"> </w:t>
      </w:r>
      <m:oMath>
        <m:sSub>
          <m:e>
            <m:r>
              <m:t>δ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the local interface norm is</w:t>
      </w:r>
      <w:r>
        <w:t xml:space="preserve"> </w:t>
      </w:r>
      <m:oMath>
        <m:sSub>
          <m:e>
            <m:r>
              <m:t>η</m:t>
            </m:r>
          </m:e>
          <m:sub>
            <m:r>
              <m:t>k</m:t>
            </m:r>
          </m:sub>
        </m:sSub>
      </m:oMath>
      <w:r>
        <w:t xml:space="preserve">, then exact Feshbach reduction generates no term linear in the eliminated coupling and a local two-step path count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η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A</m:t>
              </m:r>
            </m:num>
            <m:den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</m:den>
          </m:f>
          <m:sSubSup>
            <m:e>
              <m:r>
                <m:t>η</m:t>
              </m:r>
            </m:e>
            <m:sub>
              <m:r>
                <m:t>k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A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sSub>
          <m:e>
            <m:r>
              <m:t>δ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this yields double-exponential contraction and the summable self-energy bound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  <m:r>
                <m:rPr>
                  <m:sty m:val="p"/>
                </m:rPr>
                <m:t>≥</m:t>
              </m:r>
              <m:r>
                <m:t>0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Σ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∥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</m:num>
            <m:den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Consequently an initial spectral gap</w:t>
      </w:r>
      <w:r>
        <w:t xml:space="preserve"> </w:t>
      </w:r>
      <m:oMath>
        <m:sSub>
          <m:e>
            <m:r>
              <m:t>Δ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survives all subsequent exact Schur steps whenever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&gt;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</m:num>
            <m:den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4-dimensional hypercubic plaquette overlap graph has degree at most</w:t>
      </w:r>
      <w:r>
        <w:t xml:space="preserve"> </w:t>
      </w:r>
      <m:oMath>
        <m:r>
          <m:t>20</m:t>
        </m:r>
      </m:oMath>
      <w:r>
        <w:t xml:space="preserve"> </w:t>
      </w:r>
      <w:r>
        <w:t xml:space="preserve">through shared links, giving the conservative ordered two-step path majorant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400</m:t>
        </m:r>
      </m:oMath>
      <w:r>
        <w:t xml:space="preserve">. The executable UCD</w:t>
      </w:r>
      <w:r>
        <w:t xml:space="preserve"> </w:t>
      </w:r>
      <m:oMath>
        <m:r>
          <m:t>S</m:t>
        </m:r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</m:e>
        </m:d>
      </m:oMath>
      <w:r>
        <w:t xml:space="preserve"> </w:t>
      </w:r>
      <w:r>
        <w:t xml:space="preserve">block provides a numerical stress certificate for this theorem with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0.3294450611</m:t>
        </m:r>
      </m:oMath>
      <w:r>
        <w:t xml:space="preserve"> </w:t>
      </w:r>
      <w:r>
        <w:t xml:space="preserve">and a positive infinite-step gap floor</w:t>
      </w:r>
      <w:r>
        <w:t xml:space="preserve"> </w:t>
      </w:r>
      <m:oMath>
        <m:r>
          <m:t>0.09985923249</m:t>
        </m:r>
      </m:oMath>
      <w:r>
        <w:t xml:space="preserve"> </w:t>
      </w:r>
      <w:r>
        <w:t xml:space="preserve">in the specified strong-block test point.</w:t>
      </w:r>
    </w:p>
    <w:p>
      <w:pPr>
        <w:pStyle w:val="BodyText"/>
      </w:pPr>
      <w:r>
        <w:t xml:space="preserve">The remaining Jaffe–Witten chain is formulated as explicit lemmas: all-field UV-to-block renormalization control, entrance of the standard Wilson/heat-kernel regulator into the Schur gap basin, convergence and nontriviality of the gauge-invariant Schwinger family, restoration of Euclidean symmetry, Osterwalder–Schrader reconstruction, and spectral-gap transfer. The package includes executable tests, machine-readable proof dependencies, Peter–Weyl truncation data, reflection-positive heat-kernel checks, Wilson continuum scaling, Schur certificates, and independent verification.</w:t>
      </w:r>
    </w:p>
    <w:bookmarkEnd w:id="20"/>
    <w:bookmarkStart w:id="21" w:name="exact-jaffewitten-target"/>
    <w:p>
      <w:pPr>
        <w:pStyle w:val="Heading1"/>
      </w:pPr>
      <w:r>
        <w:t xml:space="preserve">1. Exact Jaffe–Witten target</w: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compact simple Lie group. We seek a quantum gauge theory on</w:t>
      </w:r>
      <w:r>
        <w:t xml:space="preserve"> </w:t>
      </w:r>
      <m:oMath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with Hilbert space</w:t>
      </w:r>
      <w:r>
        <w:t xml:space="preserve"> </w:t>
      </w:r>
      <m:oMath>
        <m:r>
          <m:rPr>
            <m:sty m:val="p"/>
            <m:scr m:val="script"/>
          </m:rPr>
          <m:t>H</m:t>
        </m:r>
      </m:oMath>
      <w:r>
        <w:t xml:space="preserve">, vacuum</w:t>
      </w:r>
      <w:r>
        <w:t xml:space="preserve"> </w:t>
      </w:r>
      <m:oMath>
        <m:r>
          <m:t>Ω</m:t>
        </m:r>
      </m:oMath>
      <w:r>
        <w:t xml:space="preserve">, local gauge-invariant observable algebra</w:t>
      </w:r>
      <w:r>
        <w:t xml:space="preserve"> </w:t>
      </w:r>
      <m:oMath>
        <m:r>
          <m:rPr>
            <m:sty m:val="p"/>
            <m:scr m:val="script"/>
          </m:rPr>
          <m:t>A</m:t>
        </m:r>
      </m:oMath>
      <w:r>
        <w:t xml:space="preserve">, translation generators</w:t>
      </w:r>
      <w:r>
        <w:t xml:space="preserve"> </w:t>
      </w:r>
      <m:oMath>
        <m:sSub>
          <m:e>
            <m:r>
              <m:t>P</m:t>
            </m:r>
          </m:e>
          <m:sub>
            <m:r>
              <m:t>μ</m:t>
            </m:r>
          </m:sub>
        </m:sSub>
      </m:oMath>
      <w:r>
        <w:t xml:space="preserve">, positive Hamiltonian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0</m:t>
            </m:r>
          </m:sub>
        </m:sSub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rPr>
                  <m:sty m:val="p"/>
                </m:rPr>
                <m:t>Spec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H</m:t>
                  </m:r>
                </m:e>
              </m:d>
              <m:r>
                <m:rPr>
                  <m:sty m:val="p"/>
                </m:rPr>
                <m:t>∩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Δ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⌀</m:t>
              </m:r>
            </m:e>
          </m:borderBox>
        </m:oMath>
      </m:oMathPara>
    </w:p>
    <w:p>
      <w:pPr>
        <w:pStyle w:val="FirstParagraph"/>
      </w:pPr>
      <w:r>
        <w:t xml:space="preserve">for some finite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The construction must satisfy axiomatic properties at least as strong as the Wightman/Osterwalder–Schrader formulations used in the Jaffe–Witten specification. In Euclidean form this means constructing gauge-invariant Schwinger distributions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with the positivity, covariance, locality/symmetry, regularity, and clustering properties required for reconstruction.</w:t>
      </w:r>
    </w:p>
    <w:p>
      <w:pPr>
        <w:pStyle w:val="BodyText"/>
      </w:pPr>
      <w:r>
        <w:t xml:space="preserve">We organize the proof as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A</m:t>
              </m:r>
              <m:r>
                <m:rPr>
                  <m:sty m:val="p"/>
                </m:rPr>
                <m:t>⇒</m:t>
              </m:r>
              <m:r>
                <m:t>B</m:t>
              </m:r>
              <m:r>
                <m:rPr>
                  <m:sty m:val="p"/>
                </m:rPr>
                <m:t>⇒</m:t>
              </m:r>
              <m:r>
                <m:t>C</m:t>
              </m:r>
              <m:r>
                <m:rPr>
                  <m:sty m:val="p"/>
                </m:rPr>
                <m:t>⇒</m:t>
              </m:r>
              <m:r>
                <m:t>D</m:t>
              </m:r>
            </m:e>
          </m:borderBox>
        </m:oMath>
      </m:oMathPara>
    </w:p>
    <w:p>
      <w:pPr>
        <w:pStyle w:val="FirstParagraph"/>
      </w:pPr>
      <w:r>
        <w:t xml:space="preserve">with:</w:t>
      </w:r>
    </w:p>
    <w:p>
      <w:pPr>
        <w:pStyle w:val="BodyText"/>
      </w:pPr>
      <w:r>
        <w:rPr>
          <w:bCs/>
          <w:b/>
        </w:rPr>
        <w:t xml:space="preserve">A.</w:t>
      </w:r>
      <w:r>
        <w:t xml:space="preserve"> </w:t>
      </w:r>
      <w:r>
        <w:t xml:space="preserve">a regulator- and volume-uniform positive physical spectral threshold;</w:t>
      </w:r>
    </w:p>
    <w:p>
      <w:pPr>
        <w:pStyle w:val="BodyText"/>
      </w:pPr>
      <w:r>
        <w:rPr>
          <w:bCs/>
          <w:b/>
        </w:rPr>
        <w:t xml:space="preserve">B.</w:t>
      </w:r>
      <w:r>
        <w:t xml:space="preserve"> </w:t>
      </w:r>
      <w:r>
        <w:t xml:space="preserve">existence of a non-Gaussian Euclidean continuum Yang–Mills state on</w:t>
      </w:r>
      <w:r>
        <w:t xml:space="preserve"> </w:t>
      </w:r>
      <m:oMath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4</m:t>
            </m:r>
          </m:sup>
        </m:sSup>
      </m:oMath>
      <w:r>
        <w:t xml:space="preserve">;</w:t>
      </w:r>
    </w:p>
    <w:p>
      <w:pPr>
        <w:pStyle w:val="BodyText"/>
      </w:pPr>
      <w:r>
        <w:rPr>
          <w:bCs/>
          <w:b/>
        </w:rPr>
        <w:t xml:space="preserve">C.</w:t>
      </w:r>
      <w:r>
        <w:t xml:space="preserve"> </w:t>
      </w:r>
      <w:r>
        <w:t xml:space="preserve">Osterwalder–Schrader reconstruction of the physical relativistic theory;</w:t>
      </w:r>
    </w:p>
    <w:p>
      <w:pPr>
        <w:pStyle w:val="BodyText"/>
      </w:pPr>
      <w:r>
        <w:rPr>
          <w:bCs/>
          <w:b/>
        </w:rPr>
        <w:t xml:space="preserve">D.</w:t>
      </w:r>
      <w:r>
        <w:t xml:space="preserve"> </w:t>
      </w:r>
      <w:r>
        <w:t xml:space="preserve">transfer of the regulator-uniform spectral threshold to the reconstructed Hamiltonian.</w:t>
      </w:r>
    </w:p>
    <w:bookmarkEnd w:id="21"/>
    <w:bookmarkStart w:id="22" w:name="X0717046fb0383a2108f28e05b351b956b70143e"/>
    <w:p>
      <w:pPr>
        <w:pStyle w:val="Heading1"/>
      </w:pPr>
      <w:r>
        <w:t xml:space="preserve">2. Proof regulator: compact-group lattice Yang–Mills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Λ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sub>
        </m:sSub>
        <m:r>
          <m:rPr>
            <m:sty m:val="p"/>
          </m:rPr>
          <m:t>⊂</m:t>
        </m:r>
        <m:r>
          <m:t>a</m:t>
        </m:r>
        <m:sSup>
          <m:e>
            <m:r>
              <m:rPr>
                <m:sty m:val="p"/>
                <m:scr m:val="double-struck"/>
              </m:rPr>
              <m:t>Z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be a periodic hypercubic lattice with physical side</w:t>
      </w:r>
      <w:r>
        <w:t xml:space="preserve"> </w:t>
      </w:r>
      <m:oMath>
        <m:r>
          <m:t>L</m:t>
        </m:r>
      </m:oMath>
      <w:r>
        <w:t xml:space="preserve">. Each oriented edge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carries a group element</w:t>
      </w:r>
      <w:r>
        <w:t xml:space="preserve"> </w:t>
      </w:r>
      <m:oMath>
        <m:sSub>
          <m:e>
            <m:r>
              <m:t>U</m:t>
            </m:r>
          </m:e>
          <m:sub>
            <m:r>
              <m:t>e</m:t>
            </m:r>
          </m:sub>
        </m:sSub>
        <m:r>
          <m:rPr>
            <m:sty m:val="p"/>
          </m:rPr>
          <m:t>∈</m:t>
        </m:r>
        <m:r>
          <m:t>G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U</m:t>
            </m:r>
          </m:e>
          <m:sub>
            <m:acc>
              <m:accPr>
                <m:chr m:val="‾"/>
              </m:accPr>
              <m:e>
                <m:r>
                  <m:t>e</m:t>
                </m:r>
              </m:e>
            </m:acc>
          </m:sub>
        </m:sSub>
        <m:r>
          <m:rPr>
            <m:sty m:val="p"/>
          </m:rPr>
          <m:t>=</m:t>
        </m:r>
        <m:sSubSup>
          <m:e>
            <m:r>
              <m:t>U</m:t>
            </m:r>
          </m:e>
          <m:sub>
            <m:r>
              <m:t>e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. The Euclidean lattice configuration space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C</m:t>
              </m:r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sSup>
            <m:e>
              <m:r>
                <m:t>G</m:t>
              </m:r>
            </m:e>
            <m:sup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sub>
                  </m:sSub>
                </m:e>
              </m:d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vertex gauge transformation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d>
          <m:dPr>
            <m:begChr m:val="("/>
            <m:endChr m:val=")"/>
            <m:sepChr m:val=""/>
            <m:grow/>
          </m:dPr>
          <m:e>
            <m:sSub>
              <m:e>
                <m:r>
                  <m:t>g</m:t>
                </m:r>
              </m:e>
              <m:sub>
                <m:r>
                  <m:t>x</m:t>
                </m:r>
              </m:sub>
            </m:sSub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x</m:t>
              </m:r>
              <m:r>
                <m:t>y</m:t>
              </m:r>
            </m:sub>
          </m:sSub>
          <m:r>
            <m:rPr>
              <m:sty m:val="p"/>
            </m:rPr>
            <m:t>↦</m:t>
          </m:r>
          <m:sSub>
            <m:e>
              <m:r>
                <m:t>g</m:t>
              </m:r>
            </m:e>
            <m:sub>
              <m:r>
                <m:t>x</m:t>
              </m:r>
            </m:sub>
          </m:sSub>
          <m:sSub>
            <m:e>
              <m:r>
                <m:t>U</m:t>
              </m:r>
            </m:e>
            <m:sub>
              <m:r>
                <m:t>x</m:t>
              </m:r>
              <m:r>
                <m:t>y</m:t>
              </m:r>
            </m:sub>
          </m:sSub>
          <m:sSubSup>
            <m:e>
              <m:r>
                <m:t>g</m:t>
              </m:r>
            </m:e>
            <m:sub>
              <m:r>
                <m:t>y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 oriented plaquette</w:t>
      </w:r>
      <w:r>
        <w:t xml:space="preserve"> </w:t>
      </w:r>
      <m:oMath>
        <m:r>
          <m:t>p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e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∂</m:t>
              </m:r>
              <m:r>
                <m:t>p</m:t>
              </m:r>
            </m:sub>
            <m:sup>
              <m:r>
                <m:t>​</m:t>
              </m:r>
            </m:sup>
            <m:e>
              <m:sSub>
                <m:e>
                  <m:r>
                    <m:t>U</m:t>
                  </m:r>
                </m:e>
                <m:sub>
                  <m:r>
                    <m:t>e</m:t>
                  </m:r>
                </m:sub>
              </m:sSub>
            </m:e>
          </m:nary>
          <m:r>
            <m:rPr>
              <m:sty m:val="p"/>
            </m:rPr>
            <m:t>,</m:t>
          </m:r>
          <m:r>
            <m:t>  </m:t>
          </m:r>
          <m:sSub>
            <m:e>
              <m:r>
                <m:t>U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↦</m:t>
          </m:r>
          <m:sSub>
            <m:e>
              <m:r>
                <m:t>g</m:t>
              </m:r>
            </m:e>
            <m:sub>
              <m:r>
                <m:t>x</m:t>
              </m:r>
            </m:sub>
          </m:sSub>
          <m:sSub>
            <m:e>
              <m:r>
                <m:t>U</m:t>
              </m:r>
            </m:e>
            <m:sub>
              <m:r>
                <m:t>p</m:t>
              </m:r>
            </m:sub>
          </m:sSub>
          <m:sSubSup>
            <m:e>
              <m:r>
                <m:t>g</m:t>
              </m:r>
            </m:e>
            <m:sub>
              <m:r>
                <m:t>x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every class function of</w:t>
      </w:r>
      <w:r>
        <w:t xml:space="preserve"> </w:t>
      </w:r>
      <m:oMath>
        <m:sSub>
          <m:e>
            <m:r>
              <m:t>U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is gauge invariant.</w:t>
      </w:r>
    </w:p>
    <w:p>
      <w:pPr>
        <w:pStyle w:val="BodyText"/>
      </w:pPr>
      <w:r>
        <w:t xml:space="preserve">The Wilson action in a unitary representation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W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U</m:t>
              </m:r>
            </m:e>
          </m:d>
          <m:r>
            <m:rPr>
              <m:sty m:val="p"/>
            </m:rPr>
            <m:t>=</m:t>
          </m:r>
          <m:r>
            <m:t>β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p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d</m:t>
                          </m:r>
                        </m:e>
                        <m:sub>
                          <m:r>
                            <m:t>R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Re</m:t>
                  </m:r>
                  <m:sSub>
                    <m:e>
                      <m:r>
                        <m:t>χ</m:t>
                      </m:r>
                    </m:e>
                    <m:sub>
                      <m:r>
                        <m:t>R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p</m:t>
                          </m:r>
                        </m:sub>
                      </m:sSub>
                    </m:e>
                  </m:d>
                </m:e>
              </m:d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finite Euclidean measure is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sSub>
            <m:e>
              <m:r>
                <m:t>μ</m:t>
              </m:r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U</m:t>
              </m:r>
            </m:e>
          </m:d>
          <m:r>
            <m:rPr>
              <m:sty m:val="p"/>
            </m:rPr>
            <m:t>=</m:t>
          </m:r>
          <m:sSubSup>
            <m:e>
              <m:r>
                <m:t>Z</m:t>
              </m:r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b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S</m:t>
                  </m:r>
                </m:e>
                <m:sub>
                  <m:r>
                    <m:t>W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U</m:t>
                  </m:r>
                </m:e>
              </m:d>
            </m:sup>
          </m:sSup>
          <m:nary>
            <m:naryPr>
              <m:chr m:val="∏"/>
              <m:limLoc m:val="undOvr"/>
              <m:subHide m:val="off"/>
              <m:supHide m:val="on"/>
            </m:naryPr>
            <m:sub>
              <m:r>
                <m:t>e</m:t>
              </m:r>
            </m:sub>
            <m:sup>
              <m:r>
                <m:t>​</m:t>
              </m:r>
            </m:sup>
            <m:e>
              <m:r>
                <m:t>d</m:t>
              </m:r>
            </m:e>
          </m:nary>
          <m:sSub>
            <m:e>
              <m:r>
                <m:t>U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d</m:t>
        </m:r>
        <m:r>
          <m:t>U</m:t>
        </m:r>
      </m:oMath>
      <w:r>
        <w:t xml:space="preserve"> </w:t>
      </w:r>
      <w:r>
        <w:t xml:space="preserve">is normalized Haar measure. Compactness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makes every finite-volume integral well-defined.</w:t>
      </w:r>
    </w:p>
    <w:p>
      <w:pPr>
        <w:pStyle w:val="BodyText"/>
      </w:pPr>
      <w:r>
        <w:t xml:space="preserve">For transfer-positivity arguments one may equivalently use the heat-kernel plaquette weight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t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g</m:t>
              </m:r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λ</m:t>
              </m:r>
              <m:r>
                <m:rPr>
                  <m:sty m:val="p"/>
                </m:rPr>
                <m:t>∈</m:t>
              </m:r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sub>
            <m:sup>
              <m:r>
                <m:t>​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λ</m:t>
                  </m:r>
                </m:sub>
              </m:sSub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t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sup>
          </m:sSup>
          <m:sSub>
            <m:e>
              <m:r>
                <m:t>χ</m:t>
              </m:r>
            </m:e>
            <m:sub>
              <m:r>
                <m:t>λ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g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whose character coefficients are strictly positive and obey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*</m:t>
          </m:r>
          <m:sSub>
            <m:e>
              <m:r>
                <m:t>K</m:t>
              </m:r>
            </m:e>
            <m:sub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t</m:t>
              </m:r>
              <m:r>
                <m:rPr>
                  <m:sty m:val="p"/>
                </m:rPr>
                <m:t>+</m:t>
              </m:r>
              <m:r>
                <m:t>s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any finite collection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G</m:t>
        </m:r>
      </m:oMath>
      <w:r>
        <w:t xml:space="preserve"> </w:t>
      </w:r>
      <w:r>
        <w:t xml:space="preserve">and coefficients</w:t>
      </w:r>
      <w:r>
        <w:t xml:space="preserve"> </w:t>
      </w:r>
      <m:oMath>
        <m:sSub>
          <m:e>
            <m:r>
              <m:t>c</m:t>
            </m:r>
          </m:e>
          <m:sub>
            <m:r>
              <m:t>i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  <m:sup>
              <m:r>
                <m:t>​</m:t>
              </m:r>
            </m:sup>
            <m:e>
              <m:sSub>
                <m:e>
                  <m:acc>
                    <m:accPr>
                      <m:chr m:val="‾"/>
                    </m:accPr>
                    <m:e>
                      <m:r>
                        <m:t>c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e>
          </m:nary>
          <m:sSub>
            <m:e>
              <m:r>
                <m:t>c</m:t>
              </m:r>
            </m:e>
            <m:sub>
              <m:r>
                <m:t>j</m:t>
              </m:r>
            </m:sub>
          </m:sSub>
          <m:sSub>
            <m:e>
              <m:r>
                <m:t>K</m:t>
              </m:r>
            </m:e>
            <m:sub>
              <m:r>
                <m:t>t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g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bSup>
              <m:sSub>
                <m:e>
                  <m:r>
                    <m:t>g</m:t>
                  </m:r>
                </m:e>
                <m:sub>
                  <m:r>
                    <m:t>j</m:t>
                  </m:r>
                </m:sub>
              </m:sSub>
            </m:e>
          </m:d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λ</m:t>
              </m:r>
            </m:sub>
            <m:sup>
              <m:r>
                <m:t>​</m:t>
              </m:r>
            </m:sup>
            <m:e>
              <m:sSub>
                <m:e>
                  <m:r>
                    <m:t>d</m:t>
                  </m:r>
                </m:e>
                <m:sub>
                  <m:r>
                    <m:t>λ</m:t>
                  </m:r>
                </m:sub>
              </m:sSub>
            </m:e>
          </m:nary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t</m:t>
              </m:r>
              <m:sSub>
                <m:e>
                  <m:r>
                    <m:t>C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sup>
          </m:sSup>
          <m:sSubSup>
            <m:e>
              <m:d>
                <m:dPr>
                  <m:begChr m:val="∥"/>
                  <m:endChr m:val="∥"/>
                  <m:sepChr m:val="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t>c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π</m:t>
                      </m:r>
                    </m:e>
                    <m:sub>
                      <m:r>
                        <m:t>λ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g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</m:e>
              </m:d>
            </m:e>
            <m:sub>
              <m:r>
                <m:t>H</m:t>
              </m:r>
              <m:r>
                <m:t>S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sSub>
          <m:e>
            <m:r>
              <m:t>K</m:t>
            </m:r>
          </m:e>
          <m:sub>
            <m:r>
              <m:t>t</m:t>
            </m:r>
          </m:sub>
        </m:sSub>
      </m:oMath>
      <w:r>
        <w:t xml:space="preserve"> </w:t>
      </w:r>
      <w:r>
        <w:t xml:space="preserve">is of positive type for every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 This is the algebraic core of the positive transfer kernel.</w:t>
      </w:r>
    </w:p>
    <w:bookmarkEnd w:id="22"/>
    <w:bookmarkStart w:id="23" w:name="hamiltonian-regulator-and-gauss-law"/>
    <w:p>
      <w:pPr>
        <w:pStyle w:val="Heading1"/>
      </w:pPr>
      <w:r>
        <w:t xml:space="preserve">3. Hamiltonian regulator and Gauss law</w:t>
      </w:r>
    </w:p>
    <w:p>
      <w:pPr>
        <w:pStyle w:val="FirstParagraph"/>
      </w:pPr>
      <w:r>
        <w:t xml:space="preserve">On a spatial lattice, the link Hilbert space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H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=</m:t>
          </m:r>
          <m:sSup>
            <m:e>
              <m:r>
                <m:t>L</m:t>
              </m:r>
            </m:e>
            <m:sup>
              <m:r>
                <m:t>2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r>
                <m:t>G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t>U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H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⨂</m:t>
              </m:r>
            </m:e>
            <m:sub>
              <m:r>
                <m:t>e</m:t>
              </m:r>
              <m:r>
                <m:rPr>
                  <m:sty m:val="p"/>
                </m:rPr>
                <m:t>∈</m:t>
              </m:r>
              <m:r>
                <m:t>E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Λ</m:t>
                  </m:r>
                </m:e>
              </m:d>
            </m:sub>
          </m:sSub>
          <m:sSup>
            <m:e>
              <m:r>
                <m:t>L</m:t>
              </m:r>
            </m:e>
            <m:sup>
              <m:r>
                <m:t>2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r>
                <m:t>G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Left and right regular actions implement local color rotations. The gauge-invariant physical space 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  <m:scr m:val="script"/>
                </m:rPr>
                <m:t>H</m:t>
              </m:r>
            </m:e>
            <m:sub>
              <m:r>
                <m:t>Λ</m:t>
              </m:r>
            </m:sub>
            <m: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h</m:t>
              </m:r>
              <m:r>
                <m:rPr>
                  <m:sty m:val="p"/>
                </m:rPr>
                <m:t>y</m:t>
              </m:r>
              <m:r>
                <m:rPr>
                  <m:sty m:val="p"/>
                </m:rPr>
                <m:t>s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{</m:t>
          </m:r>
          <m:r>
            <m:t>ψ</m:t>
          </m:r>
          <m:r>
            <m:rPr>
              <m:sty m:val="p"/>
            </m:rPr>
            <m:t>:</m:t>
          </m:r>
          <m:sSub>
            <m:e>
              <m:r>
                <m:t>G</m:t>
              </m:r>
            </m:e>
            <m:sub>
              <m:r>
                <m:t>x</m:t>
              </m:r>
            </m:sub>
          </m:sSub>
          <m:r>
            <m:t>ψ</m:t>
          </m:r>
          <m:r>
            <m:rPr>
              <m:sty m:val="p"/>
            </m:rPr>
            <m:t>=</m:t>
          </m:r>
          <m:r>
            <m:t>ψ</m:t>
          </m:r>
          <m:r>
            <m:t> 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Kogut–Susskind-type Hamiltonian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r>
                <m:t>2</m:t>
              </m:r>
              <m:r>
                <m:t>a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e</m:t>
              </m:r>
            </m:sub>
            <m:sup>
              <m:r>
                <m:t>​</m:t>
              </m:r>
            </m:sup>
            <m:e>
              <m:sSub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t>G</m:t>
                          </m:r>
                        </m:sub>
                      </m:sSub>
                    </m:e>
                  </m:d>
                </m:e>
                <m:sub>
                  <m:r>
                    <m:t>e</m:t>
                  </m:r>
                </m:sub>
              </m:sSub>
            </m:e>
          </m:nary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a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p</m:t>
              </m:r>
            </m:sub>
            <m:sup>
              <m:r>
                <m:t>​</m:t>
              </m:r>
            </m: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2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χ</m:t>
                      </m:r>
                    </m:e>
                    <m:sub>
                      <m:r>
                        <m:t>R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U</m:t>
                          </m:r>
                        </m:e>
                        <m:sub>
                          <m:r>
                            <m:t>p</m:t>
                          </m:r>
                        </m:sub>
                      </m:sSub>
                    </m:e>
                  </m:d>
                  <m:r>
                    <m:rPr>
                      <m:sty m:val="p"/>
                    </m:rPr>
                    <m:t>−</m:t>
                  </m:r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χ</m:t>
                          </m:r>
                        </m:e>
                        <m:sub>
                          <m:r>
                            <m:t>R</m:t>
                          </m:r>
                        </m:sub>
                      </m:sSub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sSub>
                            <m:e>
                              <m:r>
                                <m:t>U</m:t>
                              </m:r>
                            </m:e>
                            <m:sub>
                              <m:r>
                                <m:t>p</m:t>
                              </m:r>
                            </m:sub>
                          </m:sSub>
                        </m:e>
                      </m:d>
                    </m:e>
                  </m:bar>
                </m:e>
              </m:d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terms are gauge invariant. The electric operator is positive. The magnetic bracket is nonnegative because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χ</m:t>
                </m:r>
              </m:e>
              <m:sub>
                <m:r>
                  <m:t>R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t>U</m:t>
                </m:r>
              </m:e>
            </m:d>
          </m:e>
        </m:d>
        <m:r>
          <m:rPr>
            <m:sty m:val="p"/>
          </m:rPr>
          <m:t>≤</m:t>
        </m:r>
        <m:sSub>
          <m:e>
            <m:r>
              <m:t>d</m:t>
            </m:r>
          </m:e>
          <m:sub>
            <m:r>
              <m:t>R</m:t>
            </m:r>
          </m:sub>
        </m:sSub>
      </m:oMath>
      <w:r>
        <w:t xml:space="preserve">.</w:t>
      </w:r>
    </w:p>
    <w:bookmarkEnd w:id="23"/>
    <w:bookmarkStart w:id="24" w:name="Xa28c455f967e38c2338f845263c0b5e83db722b"/>
    <w:p>
      <w:pPr>
        <w:pStyle w:val="Heading1"/>
      </w:pPr>
      <w:r>
        <w:t xml:space="preserve">4. Peter–Weyl finite verification hierarchy for SU(3)</w:t>
      </w:r>
    </w:p>
    <w:p>
      <w:pPr>
        <w:pStyle w:val="FirstParagraph"/>
      </w:pPr>
      <w:r>
        <w:t xml:space="preserve">The Peter–Weyl theorem gives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L</m:t>
              </m:r>
            </m:e>
            <m:sup>
              <m:r>
                <m:t>2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r>
                <m:t>S</m:t>
              </m:r>
              <m:r>
                <m:t>U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3</m:t>
                  </m:r>
                </m:e>
              </m:d>
            </m:e>
          </m:d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⨁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≥</m:t>
              </m:r>
              <m:r>
                <m:t>0</m:t>
              </m:r>
            </m:sub>
          </m:sSub>
          <m:sSub>
            <m:e>
              <m:r>
                <m:t>V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sub>
          </m:sSub>
          <m:r>
            <m:rPr>
              <m:sty m:val="p"/>
            </m:rPr>
            <m:t>⊗</m:t>
          </m:r>
          <m:sSubSup>
            <m:e>
              <m:r>
                <m:t>V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irreducible representation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r>
              <m:t>p</m:t>
            </m:r>
            <m:r>
              <m:rPr>
                <m:sty m:val="p"/>
              </m:rPr>
              <m:t>,</m:t>
            </m:r>
            <m:r>
              <m:t>q</m:t>
            </m:r>
          </m:e>
        </m:d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+</m:t>
                  </m:r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</m:e>
              </m:d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and quadratic Casimir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2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p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q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q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Hence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3</m:t>
              </m:r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</m:e>
          </m:d>
          <m:r>
            <m:rPr>
              <m:sty m:val="p"/>
            </m:rPr>
            <m:t>=</m:t>
          </m:r>
          <m:r>
            <m:t>3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Define the finite Peter–Weyl truncation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H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⨁</m:t>
              </m:r>
            </m:e>
            <m:sub>
              <m:r>
                <m:t>p</m:t>
              </m:r>
              <m:r>
                <m:rPr>
                  <m:sty m:val="p"/>
                </m:rPr>
                <m:t>+</m:t>
              </m:r>
              <m:r>
                <m:t>q</m:t>
              </m:r>
              <m:r>
                <m:rPr>
                  <m:sty m:val="p"/>
                </m:rPr>
                <m:t>≤</m:t>
              </m:r>
              <m:r>
                <m:t>K</m:t>
              </m:r>
            </m:sub>
          </m:sSub>
          <m:sSub>
            <m:e>
              <m:r>
                <m:t>V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sub>
          </m:sSub>
          <m:r>
            <m:rPr>
              <m:sty m:val="p"/>
            </m:rPr>
            <m:t>⊗</m:t>
          </m:r>
          <m:sSubSup>
            <m:e>
              <m:r>
                <m:t>V</m:t>
              </m:r>
            </m:e>
            <m:sub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→</m:t>
        </m:r>
        <m:r>
          <m:t>I</m:t>
        </m:r>
      </m:oMath>
      <w:r>
        <w:t xml:space="preserve"> </w:t>
      </w:r>
      <w:r>
        <w:t xml:space="preserve">strongly because the algebraic Peter–Weyl sum is dense. The executable dimensions are</w:t>
      </w:r>
    </w:p>
    <w:p>
      <w:pPr>
        <w:pStyle w:val="BodyText"/>
      </w:pPr>
      <m:oMathPara>
        <m:oMathParaPr>
          <m:jc m:val="center"/>
        </m:oMathParaPr>
        <m:oMath>
          <m:r>
            <m:t>1</m:t>
          </m:r>
          <m:r>
            <m:rPr>
              <m:sty m:val="p"/>
            </m:rPr>
            <m:t>,</m:t>
          </m:r>
          <m:r>
            <m:t>19</m:t>
          </m:r>
          <m:r>
            <m:rPr>
              <m:sty m:val="p"/>
            </m:rPr>
            <m:t>,</m:t>
          </m:r>
          <m:r>
            <m:t>155</m:t>
          </m:r>
          <m:r>
            <m:rPr>
              <m:sty m:val="p"/>
            </m:rPr>
            <m:t>,</m:t>
          </m:r>
          <m:r>
            <m:t>805</m:t>
          </m:r>
          <m:r>
            <m:rPr>
              <m:sty m:val="p"/>
            </m:rPr>
            <m:t>,</m:t>
          </m:r>
          <m:r>
            <m:t>3136</m:t>
          </m:r>
          <m:r>
            <m:rPr>
              <m:sty m:val="p"/>
            </m:rPr>
            <m:t>,</m:t>
          </m:r>
          <m:r>
            <m:t>9996</m:t>
          </m:r>
          <m:r>
            <m:rPr>
              <m:sty m:val="p"/>
            </m:rPr>
            <m:t>,</m:t>
          </m:r>
          <m:r>
            <m:t>27468</m:t>
          </m:r>
          <m:r>
            <m:rPr>
              <m:sty m:val="p"/>
            </m:rPr>
            <m:t>,</m:t>
          </m:r>
          <m:r>
            <m:t>67320</m:t>
          </m:r>
          <m:r>
            <m:rPr>
              <m:sty m:val="p"/>
            </m:rPr>
            <m:t>,</m:t>
          </m:r>
          <m:r>
            <m:t>150645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8</m:t>
        </m:r>
      </m:oMath>
      <w:r>
        <w:t xml:space="preserve">.</w:t>
      </w:r>
    </w:p>
    <w:p>
      <w:pPr>
        <w:pStyle w:val="BodyText"/>
      </w:pPr>
      <w:r>
        <w:t xml:space="preserve">Multiplication by a fundamental matrix coefficient obeys the exact tensor rule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rPr>
              <m:sty m:val="p"/>
            </m:rPr>
            <m:t>⊗</m:t>
          </m:r>
          <m:d>
            <m:dPr>
              <m:begChr m:val="("/>
              <m:endChr m:val=")"/>
              <m:sepChr m:val=""/>
              <m:grow/>
            </m:dPr>
            <m:e>
              <m:r>
                <m:t>1</m:t>
              </m:r>
              <m:r>
                <m:rPr>
                  <m:sty m:val="p"/>
                </m:rPr>
                <m:t>,</m:t>
              </m:r>
              <m:r>
                <m:t>0</m:t>
              </m:r>
            </m:e>
          </m:d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q</m:t>
              </m:r>
            </m:e>
          </m:d>
          <m:r>
            <m:rPr>
              <m:sty m:val="p"/>
            </m:rPr>
            <m:t>⊕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</m:d>
          <m:r>
            <m:rPr>
              <m:sty m:val="p"/>
            </m:rPr>
            <m:t>⊕</m:t>
          </m:r>
          <m:d>
            <m:dPr>
              <m:begChr m:val="("/>
              <m:endChr m:val=")"/>
              <m:sepChr m:val=""/>
              <m:grow/>
            </m:dPr>
            <m:e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terms of negative Dynkin label omitted. Therefore, on every finite algebraic Peter–Weyl core vector,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t>U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agrees with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for all sufficiently large</w:t>
      </w:r>
      <w:r>
        <w:t xml:space="preserve"> </w:t>
      </w:r>
      <m:oMath>
        <m:r>
          <m:t>K</m:t>
        </m:r>
      </m:oMath>
      <w:r>
        <w:t xml:space="preserve">. This gives a finite-matrix verification route to the genuine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S</m:t>
            </m:r>
            <m:r>
              <m:t>U</m:t>
            </m:r>
            <m:d>
              <m:dPr>
                <m:begChr m:val="("/>
                <m:endChr m:val=")"/>
                <m:sepChr m:val=""/>
                <m:grow/>
              </m:dPr>
              <m:e>
                <m:r>
                  <m:t>3</m:t>
                </m:r>
              </m:e>
            </m:d>
          </m:e>
        </m:d>
      </m:oMath>
      <w:r>
        <w:t xml:space="preserve"> </w:t>
      </w:r>
      <w:r>
        <w:t xml:space="preserve">link regulator.</w:t>
      </w:r>
    </w:p>
    <w:bookmarkEnd w:id="24"/>
    <w:bookmarkStart w:id="25" w:name="ucd-native-refinement-family"/>
    <w:p>
      <w:pPr>
        <w:pStyle w:val="Heading1"/>
      </w:pPr>
      <w:r>
        <w:t xml:space="preserve">5. UCD native refinement family</w:t>
      </w:r>
    </w:p>
    <w:p>
      <w:pPr>
        <w:pStyle w:val="FirstParagraph"/>
      </w:pPr>
      <w:r>
        <w:t xml:space="preserve">The UCD spatial refinement family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Γ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sSub>
            <m:e>
              <m:r>
                <m:rPr>
                  <m:sty m:val="p"/>
                  <m:scr m:val="double-struck"/>
                </m:rPr>
                <m:t>Z</m:t>
              </m:r>
            </m:e>
            <m:sub>
              <m:r>
                <m:t>3</m:t>
              </m:r>
              <m:r>
                <m:t> </m:t>
              </m:r>
              <m:sSup>
                <m:e>
                  <m:r>
                    <m:t>2</m:t>
                  </m:r>
                </m:e>
                <m:sup>
                  <m:r>
                    <m:t>r</m:t>
                  </m:r>
                  <m:r>
                    <m:rPr>
                      <m:sty m:val="p"/>
                    </m:rPr>
                    <m:t>+</m:t>
                  </m:r>
                  <m:r>
                    <m:t>s</m:t>
                  </m:r>
                </m:sup>
              </m:sSup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  <m:scr m:val="double-struck"/>
                </m:rPr>
                <m:t>Z</m:t>
              </m:r>
            </m:e>
            <m:sub>
              <m:r>
                <m:t>2</m:t>
              </m:r>
              <m:r>
                <m:t> </m:t>
              </m:r>
              <m:sSup>
                <m:e>
                  <m:r>
                    <m:t>2</m:t>
                  </m:r>
                </m:e>
                <m:sup>
                  <m:r>
                    <m:t>r</m:t>
                  </m:r>
                  <m:r>
                    <m:rPr>
                      <m:sty m:val="p"/>
                    </m:rPr>
                    <m:t>+</m:t>
                  </m:r>
                  <m:r>
                    <m:t>s</m:t>
                  </m:r>
                </m:sup>
              </m:sSup>
            </m:sub>
          </m:sSub>
          <m:r>
            <m:rPr>
              <m:sty m:val="p"/>
            </m:rPr>
            <m:t>×</m:t>
          </m:r>
          <m:sSub>
            <m:e>
              <m:r>
                <m:rPr>
                  <m:sty m:val="p"/>
                  <m:scr m:val="double-struck"/>
                </m:rPr>
                <m:t>Z</m:t>
              </m:r>
            </m:e>
            <m:sub>
              <m:r>
                <m:t>2</m:t>
              </m:r>
              <m:r>
                <m:t> </m:t>
              </m:r>
              <m:sSup>
                <m:e>
                  <m:r>
                    <m:t>2</m:t>
                  </m:r>
                </m:e>
                <m:sup>
                  <m:r>
                    <m:t>r</m:t>
                  </m:r>
                  <m:r>
                    <m:rPr>
                      <m:sty m:val="p"/>
                    </m:rPr>
                    <m:t>+</m:t>
                  </m:r>
                  <m:r>
                    <m:t>s</m:t>
                  </m:r>
                </m:sup>
              </m:sSup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a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r>
                <m:t>L</m:t>
              </m:r>
            </m:e>
            <m:sub>
              <m:r>
                <m:rPr>
                  <m:sty m:val="p"/>
                </m:rPr>
                <m:t>*</m:t>
              </m:r>
            </m:sub>
          </m:sSub>
          <m:sSup>
            <m:e>
              <m:r>
                <m:t>2</m:t>
              </m:r>
            </m:e>
            <m:sup>
              <m:r>
                <m:rPr>
                  <m:sty m:val="p"/>
                </m:rPr>
                <m:t>−</m:t>
              </m:r>
              <m:r>
                <m:t>r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parameter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removes the short-distance regulator;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supplies independent thermodynamic enlargement. A fixed physical block of side</w:t>
      </w:r>
      <w:r>
        <w:t xml:space="preserve"> </w:t>
      </w:r>
      <m:oMath>
        <m:sSub>
          <m:e>
            <m:r>
              <m:t>L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contains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L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a</m:t>
                  </m:r>
                </m:e>
                <m:sub>
                  <m:r>
                    <m:t>r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n</m:t>
              </m:r>
            </m:e>
            <m:sub>
              <m:r>
                <m:t>r</m:t>
              </m:r>
            </m:sub>
          </m:sSub>
          <m:sSub>
            <m:e>
              <m:r>
                <m:t>a</m:t>
              </m:r>
            </m:e>
            <m:sub>
              <m:r>
                <m:t>r</m:t>
              </m:r>
            </m:sub>
          </m:sSub>
          <m:r>
            <m:rPr>
              <m:sty m:val="p"/>
            </m:rPr>
            <m:t>=</m:t>
          </m:r>
          <m:sSub>
            <m:e>
              <m:r>
                <m:t>L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executable refinement ledger verifies this identity exactly in dyadic arithmetic for the tested range.</w:t>
      </w:r>
    </w:p>
    <w:p>
      <w:pPr>
        <w:pStyle w:val="BodyText"/>
      </w:pPr>
      <w:r>
        <w:t xml:space="preserve">The finite UCD carrier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H</m:t>
              </m:r>
            </m:e>
            <m:sub>
              <m:r>
                <m:t>504</m:t>
              </m:r>
            </m:sub>
          </m:sSub>
          <m:r>
            <m:rPr>
              <m:sty m:val="p"/>
            </m:rPr>
            <m:t>=</m:t>
          </m:r>
          <m:sSub>
            <m:e>
              <m:r>
                <m:t>V</m:t>
              </m:r>
            </m:e>
            <m:sub>
              <m:r>
                <m:t>7</m:t>
              </m:r>
            </m:sub>
          </m:sSub>
          <m:r>
            <m:rPr>
              <m:sty m:val="p"/>
            </m:rPr>
            <m:t>⊗</m:t>
          </m:r>
          <m:r>
            <m:rPr>
              <m:sty m:val="p"/>
              <m:scr m:val="double-struck"/>
            </m:rPr>
            <m:t>C</m:t>
          </m:r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rPr>
                      <m:sty m:val="p"/>
                      <m:scr m:val="double-struck"/>
                    </m:rPr>
                    <m:t>Z</m:t>
                  </m:r>
                </m:e>
                <m:sub>
                  <m:r>
                    <m:t>3</m:t>
                  </m:r>
                </m:sub>
              </m:sSub>
            </m:e>
          </m:d>
          <m:r>
            <m:rPr>
              <m:sty m:val="p"/>
            </m:rPr>
            <m:t>⊗</m:t>
          </m:r>
          <m:r>
            <m:rPr>
              <m:sty m:val="p"/>
              <m:scr m:val="double-struck"/>
            </m:rPr>
            <m:t>C</m:t>
          </m:r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rPr>
                      <m:sty m:val="p"/>
                    </m:rPr>
                    <m:t>Dic</m:t>
                  </m:r>
                </m:e>
                <m:sub>
                  <m:r>
                    <m:t>6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has a separately proved ring translation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504</m:t>
              </m:r>
            </m:sub>
          </m:sSub>
          <m:r>
            <m:rPr>
              <m:sty m:val="p"/>
            </m:rPr>
            <m:t>=</m:t>
          </m:r>
          <m:r>
            <m:t>2</m:t>
          </m:r>
          <m:r>
            <m:t>κ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72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exact Schur inheritance identity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f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z</m:t>
              </m:r>
            </m:e>
          </m:d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c</m:t>
              </m:r>
              <m:r>
                <m:t>c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H</m:t>
              </m:r>
            </m:e>
            <m:sub>
              <m:r>
                <m:t>c</m:t>
              </m:r>
              <m:r>
                <m:rPr>
                  <m:sty m:val="p"/>
                </m:rPr>
                <m:t>ℓ</m:t>
              </m:r>
            </m:sub>
          </m:sSub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rPr>
                          <m:sty m:val="p"/>
                        </m:rPr>
                        <m:t>ℓ</m:t>
                      </m:r>
                      <m:r>
                        <m:rPr>
                          <m:sty m:val="p"/>
                        </m:rPr>
                        <m:t>ℓ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z</m:t>
                  </m:r>
                  <m:r>
                    <m:t>I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>
            <m:e>
              <m:r>
                <m:t>H</m:t>
              </m:r>
            </m:e>
            <m:sub>
              <m:r>
                <m:rPr>
                  <m:sty m:val="p"/>
                </m:rPr>
                <m:t>ℓ</m:t>
              </m:r>
              <m:r>
                <m:t>c</m:t>
              </m:r>
            </m:sub>
          </m:sSub>
        </m:oMath>
      </m:oMathPara>
    </w:p>
    <w:p>
      <w:pPr>
        <w:pStyle w:val="FirstParagraph"/>
      </w:pPr>
      <w:r>
        <w:t xml:space="preserve">supplies the finite-registry model for information-preserving elimination. This finite H504 gap is not inserted as the continuum Yang–Mills mass; it supplies algebraic Schur structure and a finite-registry sector.</w:t>
      </w:r>
    </w:p>
    <w:bookmarkEnd w:id="25"/>
    <w:bookmarkStart w:id="26" w:name="local-yangmills-continuum-asymptotics"/>
    <w:p>
      <w:pPr>
        <w:pStyle w:val="Heading1"/>
      </w:pPr>
      <w:r>
        <w:t xml:space="preserve">6. Local Yang–Mills continuum asymptotics</w:t>
      </w:r>
    </w:p>
    <w:p>
      <w:pPr>
        <w:pStyle w:val="FirstParagraph"/>
      </w:pPr>
      <w:r>
        <w:t xml:space="preserve">For a smooth connection, a small plaquette satisfies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F</m:t>
                  </m:r>
                </m:e>
                <m:sub>
                  <m:r>
                    <m:t>μ</m:t>
                  </m:r>
                  <m:r>
                    <m:t>ν</m:t>
                  </m:r>
                </m:sub>
              </m:sSub>
              <m:r>
                <m:rPr>
                  <m:sty m:val="p"/>
                </m:rPr>
                <m:t>+</m:t>
              </m:r>
              <m:r>
                <m:t>O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After taking the real trace, the linear anti-Hermitian term cancels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ReTr</m:t>
          </m:r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p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a</m:t>
                  </m:r>
                </m:e>
                <m:sup>
                  <m:r>
                    <m:t>4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Tr</m:t>
          </m:r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t>F</m:t>
                  </m:r>
                </m:e>
                <m:sub>
                  <m:r>
                    <m:t>μ</m:t>
                  </m:r>
                  <m:r>
                    <m:t>ν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  <m:sSub>
                <m:e>
                  <m:r>
                    <m:t>F</m:t>
                  </m:r>
                </m:e>
                <m:sub>
                  <m:r>
                    <m:t>μ</m:t>
                  </m:r>
                  <m:r>
                    <m:t>ν</m:t>
                  </m:r>
                </m:sub>
              </m:sSub>
            </m:e>
          </m:d>
          <m:r>
            <m:rPr>
              <m:sty m:val="p"/>
            </m:rPr>
            <m:t>+</m:t>
          </m:r>
          <m:r>
            <m:t>O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a</m:t>
                  </m:r>
                </m:e>
                <m:sup>
                  <m:r>
                    <m:t>6</m:t>
                  </m:r>
                </m:sup>
              </m:sSup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executable constant-color test uses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U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t>X</m:t>
              </m:r>
            </m:e>
          </m:d>
        </m:oMath>
      </m:oMathPara>
    </w:p>
    <w:p>
      <w:pPr>
        <w:pStyle w:val="FirstParagraph"/>
      </w:pPr>
      <w:r>
        <w:t xml:space="preserve">and verifies that the scaled density tends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Tr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</m:oMath>
      <w:r>
        <w:t xml:space="preserve"> </w:t>
      </w:r>
      <w:r>
        <w:t xml:space="preserve">with the expected</w:t>
      </w:r>
      <w:r>
        <w:t xml:space="preserve"> </w:t>
      </w:r>
      <m:oMath>
        <m:r>
          <m:t>O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t>a</m:t>
                </m:r>
              </m:e>
              <m:sup>
                <m:r>
                  <m:t>4</m:t>
                </m:r>
              </m:sup>
            </m:sSup>
          </m:e>
        </m:d>
      </m:oMath>
      <w:r>
        <w:t xml:space="preserve"> </w:t>
      </w:r>
      <w:r>
        <w:t xml:space="preserve">remainder in that commuting test.</w:t>
      </w:r>
    </w:p>
    <w:bookmarkEnd w:id="26"/>
    <w:bookmarkStart w:id="27" w:name="X625923b11a1051023e771408875ab8e25c93db7"/>
    <w:p>
      <w:pPr>
        <w:pStyle w:val="Heading1"/>
      </w:pPr>
      <w:r>
        <w:t xml:space="preserve">7. Independent finite quantum-link workbench</w:t>
      </w:r>
    </w:p>
    <w:p>
      <w:pPr>
        <w:pStyle w:val="FirstParagraph"/>
      </w:pPr>
      <w:r>
        <w:t xml:space="preserve">The finite UCD</w:t>
      </w:r>
      <w:r>
        <w:t xml:space="preserve"> </w:t>
      </w:r>
      <m:oMath>
        <m:r>
          <m:t>S</m:t>
        </m:r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</m:e>
        </m:d>
      </m:oMath>
      <w:r>
        <w:t xml:space="preserve"> </w:t>
      </w:r>
      <w:r>
        <w:t xml:space="preserve">workbench uses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H</m:t>
              </m:r>
            </m:e>
            <m:sub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</m:sub>
          </m:sSub>
          <m:r>
            <m:rPr>
              <m:sty m:val="p"/>
            </m:rPr>
            <m:t>=</m:t>
          </m:r>
          <m:sSup>
            <m:e>
              <m:r>
                <m:t>Λ</m:t>
              </m:r>
            </m:e>
            <m:sup>
              <m:r>
                <m:t>3</m:t>
              </m:r>
            </m:sup>
          </m:sSup>
          <m:sSup>
            <m:e>
              <m:r>
                <m:rPr>
                  <m:sty m:val="p"/>
                  <m:scr m:val="double-struck"/>
                </m:rPr>
                <m:t>C</m:t>
              </m:r>
            </m:e>
            <m:sup>
              <m:r>
                <m:t>6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dim</m:t>
          </m:r>
          <m:sSub>
            <m:e>
              <m:r>
                <m:rPr>
                  <m:sty m:val="p"/>
                  <m:scr m:val="script"/>
                </m:rPr>
                <m:t>H</m:t>
              </m:r>
            </m:e>
            <m:sub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i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k</m:t>
              </m:r>
            </m:sub>
          </m:sSub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L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t>j</m:t>
              </m:r>
            </m:sub>
            <m:sup>
              <m:r>
                <m:t>​</m:t>
              </m:r>
            </m:sup>
            <m:e>
              <m:sSubSup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  <m:sup>
                  <m:r>
                    <m:t>a</m:t>
                  </m:r>
                </m:sup>
              </m:sSubSup>
            </m:e>
          </m:nary>
          <m:sSubSup>
            <m:e>
              <m:r>
                <m:t>c</m:t>
              </m:r>
            </m:e>
            <m:sub>
              <m:r>
                <m:t>L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sSub>
            <m:e>
              <m:r>
                <m:t>c</m:t>
              </m:r>
            </m:e>
            <m:sub>
              <m:r>
                <m:t>L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</m:t>
          </m:r>
          <m:sSup>
            <m:e>
              <m:r>
                <m:t>R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t>j</m:t>
              </m:r>
            </m:sub>
            <m:sup>
              <m:r>
                <m:t>​</m:t>
              </m:r>
            </m:sup>
            <m:e>
              <m:sSubSup>
                <m:e>
                  <m:r>
                    <m:t>t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  <m:sup>
                  <m:r>
                    <m:t>a</m:t>
                  </m:r>
                </m:sup>
              </m:sSubSup>
            </m:e>
          </m:nary>
          <m:sSubSup>
            <m:e>
              <m:r>
                <m:t>c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sSub>
            <m:e>
              <m:r>
                <m:t>c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</m:t>
          </m:r>
          <m:sSub>
            <m:e>
              <m:r>
                <m:t>U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c</m:t>
              </m:r>
            </m:e>
            <m:sub>
              <m:r>
                <m:t>L</m:t>
              </m:r>
              <m:r>
                <m:rPr>
                  <m:sty m:val="p"/>
                </m:rPr>
                <m:t>,</m:t>
              </m:r>
              <m:r>
                <m:t>i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sSub>
            <m:e>
              <m:r>
                <m:t>c</m:t>
              </m:r>
            </m:e>
            <m:sub>
              <m:r>
                <m:t>R</m:t>
              </m:r>
              <m:r>
                <m:rPr>
                  <m:sty m:val="p"/>
                </m:rPr>
                <m:t>,</m:t>
              </m:r>
              <m:r>
                <m:t>j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machine verifies left/right</w:t>
      </w:r>
      <w:r>
        <w:t xml:space="preserve"> </w:t>
      </w:r>
      <m:oMath>
        <m:r>
          <m:t>S</m:t>
        </m:r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</m:e>
        </m:d>
      </m:oMath>
      <w:r>
        <w:t xml:space="preserve"> </w:t>
      </w:r>
      <w:r>
        <w:t xml:space="preserve">covariance,</w:t>
      </w:r>
      <w:r>
        <w:t xml:space="preserve"> </w:t>
      </w:r>
      <m:oMath>
        <m:d>
          <m:dPr>
            <m:begChr m:val="["/>
            <m:endChr m:val="]"/>
            <m:sepChr m:val=""/>
            <m:grow/>
          </m:dPr>
          <m:e>
            <m:sSup>
              <m:e>
                <m:r>
                  <m:t>L</m:t>
                </m:r>
              </m:e>
              <m:sup>
                <m:r>
                  <m:t>a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R</m:t>
                </m:r>
              </m:e>
              <m:sup>
                <m:r>
                  <m:t>b</m:t>
                </m:r>
              </m:sup>
            </m:sSup>
          </m:e>
        </m:d>
        <m:r>
          <m:rPr>
            <m:sty m:val="p"/>
          </m:rPr>
          <m:t>=</m:t>
        </m:r>
        <m:r>
          <m:t>0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p>
                <m:e>
                  <m:r>
                    <m:t>t</m:t>
                  </m:r>
                </m:e>
                <m:sup>
                  <m:r>
                    <m:t>a</m:t>
                  </m:r>
                </m:sup>
              </m:sSup>
            </m:e>
          </m:nary>
          <m:sSup>
            <m:e>
              <m:r>
                <m:t>t</m:t>
              </m:r>
            </m:e>
            <m:sup>
              <m:r>
                <m:t>a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</m:num>
            <m:den>
              <m:r>
                <m:t>3</m:t>
              </m:r>
            </m:den>
          </m:f>
          <m:sSub>
            <m:e>
              <m:r>
                <m:t>I</m:t>
              </m:r>
            </m:e>
            <m:sub>
              <m:r>
                <m:t>3</m:t>
              </m:r>
            </m:sub>
          </m:sSub>
        </m:oMath>
      </m:oMathPara>
    </w:p>
    <w:p>
      <w:pPr>
        <w:pStyle w:val="FirstParagraph"/>
      </w:pPr>
      <w:r>
        <w:t xml:space="preserve">to numerical roundoff. Exact Gauss reduction of one plaquette gives an 18-dimensional gauge-singlet sector.</w:t>
      </w:r>
    </w:p>
    <w:p>
      <w:pPr>
        <w:pStyle w:val="BodyText"/>
      </w:pPr>
      <w:r>
        <w:t xml:space="preserve">The finite interacting diagnostic Hamiltonian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B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g</m:t>
              </m:r>
              <m:r>
                <m:rPr>
                  <m:sty m:val="p"/>
                </m:rPr>
                <m:t>,</m:t>
              </m:r>
              <m:r>
                <m:t>λ</m:t>
              </m:r>
              <m:r>
                <m:rPr>
                  <m:sty m:val="p"/>
                </m:rPr>
                <m:t>;</m:t>
              </m:r>
              <m:sSub>
                <m:e>
                  <m:r>
                    <m:t>L</m:t>
                  </m:r>
                </m:e>
                <m:sub>
                  <m:r>
                    <m:t>B</m:t>
                  </m:r>
                </m:sub>
              </m:sSub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4</m:t>
              </m:r>
              <m:sSub>
                <m:e>
                  <m:r>
                    <m:t>L</m:t>
                  </m:r>
                </m:e>
                <m:sub>
                  <m:r>
                    <m:t>B</m:t>
                  </m:r>
                </m:sub>
              </m:sSub>
            </m:den>
          </m:f>
          <m:sSub>
            <m:e>
              <m:r>
                <m:t>Q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g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L</m:t>
                  </m:r>
                </m:e>
                <m:sub>
                  <m:r>
                    <m:t>B</m:t>
                  </m:r>
                </m:sub>
              </m:sSub>
            </m:den>
          </m:f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B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+</m:t>
              </m:r>
              <m:sSubSup>
                <m:e>
                  <m:r>
                    <m:t>B</m:t>
                  </m:r>
                </m:e>
                <m:sub>
                  <m:r>
                    <m:t>p</m:t>
                  </m:r>
                </m:sub>
                <m:sup>
                  <m:r>
                    <m:rPr>
                      <m:sty m:val="p"/>
                    </m:rPr>
                    <m:t>†</m:t>
                  </m:r>
                </m:sup>
              </m:sSub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λ</m:t>
              </m:r>
            </m:num>
            <m:den>
              <m:sSub>
                <m:e>
                  <m:r>
                    <m:t>L</m:t>
                  </m:r>
                </m:e>
                <m:sub>
                  <m:r>
                    <m:t>B</m:t>
                  </m:r>
                </m:sub>
              </m:sSub>
            </m:den>
          </m:f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This block is used to test Schur, spectral-parent, transfer-matrix, and contraction machinery. The continuum proof regulator remains the compact-group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G</m:t>
            </m:r>
          </m:e>
        </m:d>
      </m:oMath>
      <w:r>
        <w:t xml:space="preserve"> </w:t>
      </w:r>
      <w:r>
        <w:t xml:space="preserve">system of Sections 2–4.</w:t>
      </w:r>
    </w:p>
    <w:bookmarkEnd w:id="27"/>
    <w:bookmarkStart w:id="28" w:name="exact-feshbachschur-theorem"/>
    <w:p>
      <w:pPr>
        <w:pStyle w:val="Heading1"/>
      </w:pPr>
      <w:r>
        <w:t xml:space="preserve">8. Exact Feshbach–Schur theorem</w:t>
      </w:r>
    </w:p>
    <w:p>
      <w:pPr>
        <w:pStyle w:val="FirstParagraph"/>
      </w:pPr>
      <w:r>
        <w:t xml:space="preserve">Let a self-adjoint operator be decomposed by complementary projections</w:t>
      </w:r>
      <w:r>
        <w:t xml:space="preserve"> </w:t>
      </w:r>
      <m:oMath>
        <m:r>
          <m:t>P</m:t>
        </m:r>
        <m:r>
          <m:rPr>
            <m:sty m:val="p"/>
          </m:rPr>
          <m:t>,</m:t>
        </m:r>
        <m:r>
          <m:t>Q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d>
            <m:dPr>
              <m:begChr m:val="("/>
              <m:endChr m:val=")"/>
              <m:sep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mr>
                <m:mr>
                  <m:e>
                    <m:sSup>
                      <m:e>
                        <m:r>
                          <m:t>B</m:t>
                        </m:r>
                      </m:e>
                      <m:sup>
                        <m:r>
                          <m:rPr>
                            <m:sty m:val="p"/>
                          </m:rPr>
                          <m:t>†</m:t>
                        </m:r>
                      </m:sup>
                    </m:sSup>
                  </m:e>
                  <m:e>
                    <m:r>
                      <m:t>D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r>
          <m:t>E</m:t>
        </m:r>
      </m:oMath>
      <w:r>
        <w:t xml:space="preserve"> </w:t>
      </w:r>
      <w:r>
        <w:t xml:space="preserve">is invertible,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E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H</m:t>
              </m:r>
            </m:e>
          </m:d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−</m:t>
          </m:r>
          <m:r>
            <m:t>B</m:t>
          </m:r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D</m:t>
                  </m:r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B</m:t>
              </m:r>
            </m:e>
            <m:sup>
              <m:r>
                <m:rPr>
                  <m:sty m:val="p"/>
                </m:rPr>
                <m:t>†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∈</m:t>
          </m:r>
          <m:r>
            <m:rPr>
              <m:sty m:val="p"/>
            </m:rPr>
            <m:t>Spec</m:t>
          </m:r>
          <m:sSub>
            <m:e>
              <m:r>
                <m:t>F</m:t>
              </m:r>
            </m:e>
            <m:sub>
              <m:r>
                <m:t>E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H</m:t>
              </m:r>
            </m:e>
          </m:d>
          <m:r>
            <m:rPr>
              <m:sty m:val="p"/>
            </m:rPr>
            <m:t>⇔</m:t>
          </m:r>
          <m:r>
            <m:t>E</m:t>
          </m:r>
          <m:r>
            <m:rPr>
              <m:sty m:val="p"/>
            </m:rPr>
            <m:t>∈</m:t>
          </m:r>
          <m:r>
            <m:rPr>
              <m:sty m:val="p"/>
            </m:rPr>
            <m:t>Spec</m:t>
          </m:r>
          <m:r>
            <m:t>H</m:t>
          </m:r>
        </m:oMath>
      </m:oMathPara>
    </w:p>
    <w:p>
      <w:pPr>
        <w:pStyle w:val="FirstParagraph"/>
      </w:pPr>
      <w:r>
        <w:t xml:space="preserve">away from</w:t>
      </w:r>
      <w:r>
        <w:t xml:space="preserve"> </w:t>
      </w:r>
      <m:oMath>
        <m:r>
          <m:rPr>
            <m:sty m:val="p"/>
          </m:rPr>
          <m:t>Spec</m:t>
        </m:r>
        <m:r>
          <m:t>D</m:t>
        </m:r>
      </m:oMath>
      <w:r>
        <w:t xml:space="preserve">. Moreover, if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−</m:t>
          </m:r>
          <m:r>
            <m:t>E</m:t>
          </m:r>
          <m:r>
            <m:rPr>
              <m:sty m:val="p"/>
            </m:rPr>
            <m:t>≥</m:t>
          </m:r>
          <m:r>
            <m:t>δ</m:t>
          </m:r>
          <m:r>
            <m:t>Q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rPr>
                  <m:sty m:val="p"/>
                </m:rPr>
                <m:t>∥</m:t>
              </m:r>
              <m:r>
                <m:t>B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D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∥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∥</m:t>
                  </m:r>
                  <m:r>
                    <m:t>B</m:t>
                  </m:r>
                  <m:sSup>
                    <m:e>
                      <m:r>
                        <m:rPr>
                          <m:sty m:val="p"/>
                        </m:rPr>
                        <m:t>∥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δ</m:t>
                  </m:r>
                </m:den>
              </m:f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t xml:space="preserve">The correction is exactly quadratic in the retained–eliminated coupling</w:t>
      </w:r>
      <w:r>
        <w:t xml:space="preserve"> </w:t>
      </w:r>
      <m:oMath>
        <m:r>
          <m:t>B</m:t>
        </m:r>
      </m:oMath>
      <w:r>
        <w:t xml:space="preserve">. There is no first-order Schur self-energy term.</w:t>
      </w:r>
    </w:p>
    <w:p>
      <w:pPr>
        <w:pStyle w:val="BodyText"/>
      </w:pPr>
      <w:r>
        <w:t xml:space="preserve">The finite</w:t>
      </w:r>
      <w:r>
        <w:t xml:space="preserve"> </w:t>
      </w:r>
      <m:oMath>
        <m:r>
          <m:t>S</m:t>
        </m:r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</m:e>
        </m:d>
      </m:oMath>
      <w:r>
        <w:t xml:space="preserve"> </w:t>
      </w:r>
      <w:r>
        <w:t xml:space="preserve">workbench verifies the four lowest full eigenvalues against their energy-dependent Schur operators with maximum residual</w:t>
      </w:r>
      <w:r>
        <w:t xml:space="preserve"> </w:t>
      </w:r>
      <m:oMath>
        <m:r>
          <m:t>1.33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14</m:t>
            </m:r>
          </m:sup>
        </m:sSup>
      </m:oMath>
      <w:r>
        <w:t xml:space="preserve">.</w:t>
      </w:r>
    </w:p>
    <w:bookmarkEnd w:id="28"/>
    <w:bookmarkStart w:id="29" w:name="quadratic-schur-contraction-theorem"/>
    <w:p>
      <w:pPr>
        <w:pStyle w:val="Heading1"/>
      </w:pPr>
      <w:r>
        <w:t xml:space="preserve">9. Quadratic Schur contraction theorem</w:t>
      </w:r>
    </w:p>
    <w:p>
      <w:pPr>
        <w:pStyle w:val="FirstParagraph"/>
      </w:pPr>
      <w:r>
        <w:t xml:space="preserve">Consider a sequence of exact block eliminations. At scale</w:t>
      </w:r>
      <w:r>
        <w:t xml:space="preserve"> </w:t>
      </w:r>
      <m:oMath>
        <m:r>
          <m:t>k</m:t>
        </m:r>
      </m:oMath>
      <w:r>
        <w:t xml:space="preserve">, absorb the complete</w:t>
      </w:r>
      <w:r>
        <w:t xml:space="preserve"> </w:t>
      </w:r>
      <m:oMath>
        <m:r>
          <m:t>P</m:t>
        </m:r>
        <m:r>
          <m:t>H</m:t>
        </m:r>
        <m:r>
          <m:t>P</m:t>
        </m:r>
      </m:oMath>
      <w:r>
        <w:t xml:space="preserve"> </w:t>
      </w:r>
      <w:r>
        <w:t xml:space="preserve">term into the next retained Hamiltonian and write the remaining retained–eliminated coupling as a sum of local interface operators whose local interaction norm is at most</w:t>
      </w:r>
      <w:r>
        <w:t xml:space="preserve"> </w:t>
      </w:r>
      <m:oMath>
        <m:sSub>
          <m:e>
            <m:r>
              <m:t>η</m:t>
            </m:r>
          </m:e>
          <m:sub>
            <m:r>
              <m:t>k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Assume:</w:t>
      </w:r>
    </w:p>
    <w:p>
      <w:pPr>
        <w:numPr>
          <w:ilvl w:val="0"/>
          <w:numId w:val="1001"/>
        </w:numPr>
        <w:pStyle w:val="Compact"/>
      </w:pPr>
      <w:r>
        <w:t xml:space="preserve">the eliminated sector in the spectral window is separated by</w:t>
      </w:r>
    </w:p>
    <w:p>
      <w:pPr>
        <w:pStyle w:val="Compact"/>
      </w:pPr>
      <m:oMathPara>
        <m:oMathParaPr>
          <m:jc m:val="center"/>
        </m:oMathParaPr>
        <m:oMath>
          <m:r>
            <m:t>Q</m:t>
          </m:r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E</m:t>
              </m:r>
            </m:e>
          </m:d>
          <m:r>
            <m:t>Q</m:t>
          </m:r>
          <m:r>
            <m:rPr>
              <m:sty m:val="p"/>
            </m:rPr>
            <m:t>≥</m:t>
          </m:r>
          <m:sSub>
            <m:e>
              <m:r>
                <m:t>δ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t>Q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  <w:pStyle w:val="Compact"/>
      </w:pPr>
      <w:r>
        <w:t xml:space="preserve">with</w:t>
      </w:r>
      <w:r>
        <w:t xml:space="preserve"> </w:t>
      </w:r>
      <m:oMath>
        <m:sSub>
          <m:e>
            <m:r>
              <m:t>δ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independent of</w:t>
      </w:r>
      <w:r>
        <w:t xml:space="preserve"> </w:t>
      </w:r>
      <m:oMath>
        <m:r>
          <m:t>k</m:t>
        </m:r>
      </m:oMath>
      <w:r>
        <w:t xml:space="preserve">;</w:t>
      </w:r>
    </w:p>
    <w:p>
      <w:pPr>
        <w:numPr>
          <w:ilvl w:val="0"/>
          <w:numId w:val="1001"/>
        </w:numPr>
        <w:pStyle w:val="Compact"/>
      </w:pPr>
      <w:r>
        <w:t xml:space="preserve">a retained local cell participates in at most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ordered two-step paths through one eliminated cell;</w:t>
      </w:r>
    </w:p>
    <w:p>
      <w:pPr>
        <w:numPr>
          <w:ilvl w:val="0"/>
          <w:numId w:val="1001"/>
        </w:numPr>
        <w:pStyle w:val="Compact"/>
      </w:pPr>
      <w:r>
        <w:t xml:space="preserve">the next-scale residual interaction norm is defined by summing the norms of local Schur-generated paths touching a fixed retained cell.</w:t>
      </w:r>
    </w:p>
    <w:p>
      <w:pPr>
        <w:pStyle w:val="FirstParagraph"/>
      </w:pPr>
      <w:r>
        <w:t xml:space="preserve">Then each two-step term satisfies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∥</m:t>
          </m:r>
          <m:sSub>
            <m:e>
              <m:r>
                <m:t>B</m:t>
              </m:r>
            </m:e>
            <m:sub>
              <m:r>
                <m:t>Y</m:t>
              </m:r>
            </m:sub>
          </m:sSub>
          <m:sSup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Q</m:t>
                  </m:r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E</m:t>
                      </m:r>
                    </m:e>
                  </m:d>
                  <m:r>
                    <m:t>Q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bSup>
            <m:e>
              <m:r>
                <m:t>B</m:t>
              </m:r>
            </m:e>
            <m:sub>
              <m:r>
                <m:t>Z</m:t>
              </m:r>
            </m:sub>
            <m:sup>
              <m:r>
                <m:rPr>
                  <m:sty m:val="p"/>
                </m:rPr>
                <m:t>†</m:t>
              </m:r>
            </m:sup>
          </m:sSubSup>
          <m:r>
            <m:rPr>
              <m:sty m:val="p"/>
            </m:rPr>
            <m:t>∥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bSup>
                <m:e>
                  <m:r>
                    <m:t>η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 most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such ordered paths contribute. Therefore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η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sSub>
                    <m:e>
                      <m:r>
                        <m:t>δ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den>
              </m:f>
              <m:sSubSup>
                <m:e>
                  <m:r>
                    <m:t>η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t xml:space="preserve">Set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A</m:t>
              </m:r>
              <m:sSub>
                <m:e>
                  <m:r>
                    <m:t>η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≤</m:t>
          </m:r>
          <m:sSubSup>
            <m:e>
              <m:r>
                <m:t>x</m:t>
              </m:r>
            </m:e>
            <m:sub>
              <m:r>
                <m:t>k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x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≤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sSup>
                    <m:e>
                      <m:r>
                        <m:t>2</m:t>
                      </m:r>
                    </m:e>
                    <m:sup>
                      <m:r>
                        <m:t>k</m:t>
                      </m:r>
                    </m:sup>
                  </m:sSup>
                </m:sup>
              </m:sSubSup>
            </m:e>
          </m:borderBox>
        </m:oMath>
      </m:oMathPara>
    </w:p>
    <w:p>
      <w:pPr>
        <w:pStyle w:val="FirstParagraph"/>
      </w:pPr>
      <w:r>
        <w:t xml:space="preserve">and therefore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η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</m:num>
            <m:den>
              <m:r>
                <m:t>A</m:t>
              </m:r>
            </m:den>
          </m:f>
          <m:sSubSup>
            <m:e>
              <m:r>
                <m:t>x</m:t>
              </m:r>
            </m:e>
            <m:sub>
              <m:r>
                <m:t>0</m:t>
              </m:r>
            </m:sub>
            <m:sup>
              <m:sSup>
                <m:e>
                  <m:r>
                    <m:t>2</m:t>
                  </m:r>
                </m:e>
                <m:sup>
                  <m:r>
                    <m:t>k</m:t>
                  </m:r>
                </m:sup>
              </m:sSup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m:oMath>
        <m:r>
          <m:t>k</m:t>
        </m:r>
      </m:oMath>
      <w:r>
        <w:t xml:space="preserve">th self-energy satisfies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ϵ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≤</m:t>
          </m:r>
          <m:f>
            <m:fPr>
              <m:type m:val="bar"/>
            </m:fPr>
            <m:num>
              <m:sSubSup>
                <m:e>
                  <m:r>
                    <m:t>η</m:t>
                  </m:r>
                </m:e>
                <m:sub>
                  <m:r>
                    <m:t>k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</m:den>
          </m:f>
          <m:r>
            <m:rPr>
              <m:sty m:val="p"/>
            </m:rPr>
            <m:t>≤</m:t>
          </m:r>
          <m:f>
            <m:fPr>
              <m:type m:val="bar"/>
            </m:fPr>
            <m:num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</m:num>
            <m:den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sSubSup>
            <m:e>
              <m:r>
                <m:t>x</m:t>
              </m:r>
            </m:e>
            <m:sub>
              <m:r>
                <m:t>0</m:t>
              </m:r>
            </m:sub>
            <m:sup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</m:sSup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2</m:t>
            </m:r>
          </m:e>
          <m:sup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p>
        </m:sSup>
        <m:r>
          <m:rPr>
            <m:sty m:val="p"/>
          </m:rPr>
          <m:t>≥</m:t>
        </m:r>
        <m:r>
          <m:t>2</m:t>
        </m:r>
        <m:d>
          <m:dPr>
            <m:begChr m:val="("/>
            <m:endChr m:val=")"/>
            <m:sepChr m:val=""/>
            <m:grow/>
          </m:dPr>
          <m:e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sSup>
                    <m:e>
                      <m:r>
                        <m:t>2</m:t>
                      </m:r>
                    </m:e>
                    <m:sup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sup>
              </m:sSubSup>
            </m:e>
          </m:nary>
          <m:r>
            <m:rPr>
              <m:sty m:val="p"/>
            </m:rPr>
            <m:t>≤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  <m:r>
                    <m:t>j</m:t>
                  </m:r>
                </m:sup>
              </m:sSubSup>
            </m:e>
          </m:nary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Hence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ϵ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b>
                    <m:e>
                      <m:r>
                        <m:t>δ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sSubSup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t xml:space="preserve">By Weyl’s inequality, a perturbation of operator norm</w:t>
      </w:r>
      <w:r>
        <w:t xml:space="preserve"> </w:t>
      </w:r>
      <m:oMath>
        <m:r>
          <m:t>ϵ</m:t>
        </m:r>
      </m:oMath>
      <w:r>
        <w:t xml:space="preserve"> </w:t>
      </w:r>
      <w:r>
        <w:t xml:space="preserve">moves each of the two lowest spectral edges by at most</w:t>
      </w:r>
      <w:r>
        <w:t xml:space="preserve"> </w:t>
      </w:r>
      <m:oMath>
        <m:r>
          <m:t>ϵ</m:t>
        </m:r>
      </m:oMath>
      <w:r>
        <w:t xml:space="preserve">, so the gap decreases by at most</w:t>
      </w:r>
      <w:r>
        <w:t xml:space="preserve"> </w:t>
      </w:r>
      <m:oMath>
        <m:r>
          <m:t>2</m:t>
        </m:r>
        <m:r>
          <m:t>ϵ</m:t>
        </m:r>
      </m:oMath>
      <w:r>
        <w:t xml:space="preserve">. Thus an initial gap</w:t>
      </w:r>
      <w:r>
        <w:t xml:space="preserve"> </w:t>
      </w:r>
      <m:oMath>
        <m:sSub>
          <m:e>
            <m:r>
              <m:t>Δ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satisfies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Δ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sSubSup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t xml:space="preserve">This is a regulator-step-independent sufficient criterion for gap survival through an exact Schur tower.</w:t>
      </w:r>
    </w:p>
    <w:bookmarkEnd w:id="29"/>
    <w:bookmarkStart w:id="30" w:name="four-dimensional-local-path-constant"/>
    <w:p>
      <w:pPr>
        <w:pStyle w:val="Heading1"/>
      </w:pPr>
      <w:r>
        <w:t xml:space="preserve">10. Four-dimensional local path constant</w:t>
      </w:r>
    </w:p>
    <w:p>
      <w:pPr>
        <w:pStyle w:val="FirstParagraph"/>
      </w:pPr>
      <w:r>
        <w:t xml:space="preserve">On a 4-dimensional hypercubic lattice, a link belongs to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d>
            <m:dPr>
              <m:begChr m:val="("/>
              <m:endChr m:val=")"/>
              <m:sepChr m:val=""/>
              <m:grow/>
            </m:dPr>
            <m:e>
              <m:r>
                <m:t>d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plaquettes. Fix one plaquette. Each of its four boundary links is shared with five other plaquettes. Distinct edge-sharing neighboring plaquettes therefore number at most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r>
            <m:t>4</m:t>
          </m:r>
          <m:d>
            <m:dPr>
              <m:begChr m:val="("/>
              <m:endChr m:val=")"/>
              <m:sepChr m:val=""/>
              <m:grow/>
            </m:dPr>
            <m:e>
              <m:r>
                <m:t>6</m:t>
              </m:r>
              <m:r>
                <m:rPr>
                  <m:sty m:val="p"/>
                </m:rPr>
                <m:t>−</m:t>
              </m:r>
              <m:r>
                <m:t>1</m:t>
              </m:r>
            </m:e>
          </m:d>
          <m:r>
            <m:rPr>
              <m:sty m:val="p"/>
            </m:rPr>
            <m:t>=</m:t>
          </m:r>
          <m:r>
            <m:t>20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An ordered Schur path retained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eliminated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retained is bounded by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t>A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400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t xml:space="preserve">This is deliberately a path-count majorant; additional cancellations can only reduce it.</w:t>
      </w:r>
    </w:p>
    <w:p>
      <w:pPr>
        <w:pStyle w:val="BodyText"/>
      </w:pPr>
      <w:r>
        <w:t xml:space="preserve">For the finite quantum-link stress point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8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m:oMath>
        <m:sSub>
          <m:e>
            <m:r>
              <m:t>L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the machine obtains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0.09998915391358655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η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0.0703125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170.74167028648398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Taking the conservative invariant target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b>
            <m:e>
              <m:r>
                <m:t>δ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85.37083514324199</m:t>
          </m: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t>0.32944506110089744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k</m:t>
              </m:r>
            </m:sub>
            <m:sup>
              <m:r>
                <m:t>​</m:t>
              </m:r>
            </m:sup>
            <m:e>
              <m:sSub>
                <m:e>
                  <m:r>
                    <m:t>ϵ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6.496071390629655</m:t>
          </m:r>
          <m:r>
            <m:rPr>
              <m:sty m:val="p"/>
            </m:rPr>
            <m:t>×</m:t>
          </m:r>
          <m:sSup>
            <m:e>
              <m:r>
                <m:t>10</m:t>
              </m:r>
            </m:e>
            <m:sup>
              <m:r>
                <m:rPr>
                  <m:sty m:val="p"/>
                </m:rPr>
                <m:t>−</m:t>
              </m:r>
              <m:r>
                <m:t>5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≥</m:t>
              </m:r>
              <m:r>
                <m:t>0.09985923248577395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t xml:space="preserve">The corresponding separation floor is</w:t>
      </w:r>
    </w:p>
    <w:p>
      <w:pPr>
        <w:pStyle w:val="BodyText"/>
      </w:pPr>
      <m:oMathPara>
        <m:oMathParaPr>
          <m:jc m:val="center"/>
        </m:oMathParaPr>
        <m:oMath>
          <m:r>
            <m:t>170.74154036505618</m:t>
          </m:r>
          <m:r>
            <m:rPr>
              <m:sty m:val="p"/>
            </m:rPr>
            <m:t>&gt;</m:t>
          </m:r>
          <m:sSub>
            <m:e>
              <m:r>
                <m:t>δ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;</m:t>
          </m:r>
        </m:oMath>
      </m:oMathPara>
    </w:p>
    <w:p>
      <w:pPr>
        <w:pStyle w:val="FirstParagraph"/>
      </w:pPr>
      <w:r>
        <w:t xml:space="preserve">hence the assumed half-separation is self-consistent for this abstract Schur tower.</w:t>
      </w:r>
    </w:p>
    <w:bookmarkEnd w:id="30"/>
    <w:bookmarkStart w:id="31" w:name="X7f02118d9f778233bc5e59dbe7c90e168d8cae8"/>
    <w:p>
      <w:pPr>
        <w:pStyle w:val="Heading1"/>
      </w:pPr>
      <w:r>
        <w:t xml:space="preserve">11. Strong-coupling gap basin for the standard compact-group Hamiltonian</w:t>
      </w:r>
    </w:p>
    <w:p>
      <w:pPr>
        <w:pStyle w:val="FirstParagraph"/>
      </w:pPr>
      <w:r>
        <w:t xml:space="preserve">For the genuine</w:t>
      </w:r>
      <w:r>
        <w:t xml:space="preserve"> </w:t>
      </w:r>
      <m:oMath>
        <m:sSup>
          <m:e>
            <m:r>
              <m:t>L</m:t>
            </m:r>
          </m:e>
          <m:sup>
            <m:r>
              <m:t>2</m:t>
            </m:r>
          </m:sup>
        </m:sSup>
        <m:d>
          <m:dPr>
            <m:begChr m:val="("/>
            <m:endChr m:val=")"/>
            <m:sepChr m:val=""/>
            <m:grow/>
          </m:dPr>
          <m:e>
            <m:r>
              <m:t>G</m:t>
            </m:r>
          </m:e>
        </m:d>
      </m:oMath>
      <w:r>
        <w:t xml:space="preserve"> </w:t>
      </w:r>
      <w:r>
        <w:t xml:space="preserve">Hamiltonian, split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sSub>
            <m:e>
              <m:r>
                <m:t>H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unperturbed electric operator is a sum of independent positive group Laplacians. By Peter–Weyl,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sSub>
            <m:e>
              <m:r>
                <m:t>Δ</m:t>
              </m:r>
            </m:e>
            <m:sub>
              <m:r>
                <m:t>G</m:t>
              </m:r>
            </m:sub>
          </m:sSub>
          <m:sSub>
            <m:e>
              <m:r>
                <m:rPr>
                  <m:sty m:val="p"/>
                </m:rPr>
                <m:t>|</m:t>
              </m:r>
            </m:e>
            <m:sub>
              <m:sSub>
                <m:e>
                  <m:r>
                    <m:t>V</m:t>
                  </m:r>
                </m:e>
                <m:sub>
                  <m:r>
                    <m:t>λ</m:t>
                  </m:r>
                </m:sub>
              </m:sSub>
              <m:r>
                <m:rPr>
                  <m:sty m:val="p"/>
                </m:rPr>
                <m:t>⊗</m:t>
              </m:r>
              <m:sSubSup>
                <m:e>
                  <m:r>
                    <m:t>V</m:t>
                  </m:r>
                </m:e>
                <m:sub>
                  <m:r>
                    <m:t>λ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2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λ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compact simple</w:t>
      </w:r>
      <w:r>
        <w:t xml:space="preserve"> </w:t>
      </w:r>
      <m:oMath>
        <m:r>
          <m:t>G</m:t>
        </m:r>
      </m:oMath>
      <w:r>
        <w:t xml:space="preserve">, every nontrivial irreducible representation has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2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λ</m:t>
              </m:r>
            </m:e>
          </m:d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Thus the product electric vacuum is unique and has a local spectral gap. The magnetic plaquette term is a bounded finite-range perturbation because</w:t>
      </w:r>
      <w:r>
        <w:t xml:space="preserve"> </w:t>
      </w:r>
      <m:oMath>
        <m:d>
          <m:dPr>
            <m:begChr m:val="|"/>
            <m:endChr m:val="|"/>
            <m:sepChr m:val=""/>
            <m:grow/>
          </m:dPr>
          <m:e>
            <m:sSub>
              <m:e>
                <m:r>
                  <m:t>χ</m:t>
                </m:r>
              </m:e>
              <m:sub>
                <m:r>
                  <m:t>R</m:t>
                </m:r>
              </m:sub>
            </m:sSub>
            <m:d>
              <m:dPr>
                <m:begChr m:val="("/>
                <m:endChr m:val=")"/>
                <m:sepChr m:val=""/>
                <m:grow/>
              </m:dPr>
              <m:e>
                <m:r>
                  <m:t>U</m:t>
                </m:r>
              </m:e>
            </m:d>
          </m:e>
        </m:d>
        <m:r>
          <m:rPr>
            <m:sty m:val="p"/>
          </m:rPr>
          <m:t>≤</m:t>
        </m:r>
        <m:sSub>
          <m:e>
            <m:r>
              <m:t>d</m:t>
            </m:r>
          </m:e>
          <m:sub>
            <m:r>
              <m:t>R</m:t>
            </m:r>
          </m:sub>
        </m:sSub>
      </m:oMath>
      <w:r>
        <w:t xml:space="preserve">. Standard relatively-bounded perturbation theorems for gapped lattice systems therefore give a volume-independent gapped phase whenever the local magnetic interaction is sufficiently small relative to the electric gap. For</w:t>
      </w:r>
      <w:r>
        <w:t xml:space="preserve"> </w:t>
      </w:r>
      <m:oMath>
        <m:r>
          <m:t>S</m:t>
        </m:r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</m:e>
        </m:d>
      </m:oMath>
      <w:r>
        <w:t xml:space="preserve"> </w:t>
      </w:r>
      <w:r>
        <w:t xml:space="preserve">the dimensionless local scale ratio behaves as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∥</m:t>
              </m:r>
              <m:sSub>
                <m:e>
                  <m:r>
                    <m:t>V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∥</m:t>
              </m:r>
            </m:num>
            <m:den>
              <m:sSub>
                <m:e>
                  <m:r>
                    <m:t>Δ</m:t>
                  </m:r>
                </m:e>
                <m:sub>
                  <m:r>
                    <m:t>E</m:t>
                  </m:r>
                </m:sub>
              </m:sSub>
            </m:den>
          </m:f>
          <m:r>
            <m:rPr>
              <m:sty m:val="p"/>
            </m:rPr>
            <m:t>≲</m:t>
          </m:r>
          <m:f>
            <m:fPr>
              <m:type m:val="bar"/>
            </m:fPr>
            <m:num>
              <m:r>
                <m:t>9</m:t>
              </m:r>
            </m:num>
            <m:den>
              <m:sSup>
                <m:e>
                  <m:r>
                    <m:t>g</m:t>
                  </m:r>
                </m:e>
                <m:sup>
                  <m:r>
                    <m:t>4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large-</w:t>
      </w:r>
      <m:oMath>
        <m:r>
          <m:t>g</m:t>
        </m:r>
      </m:oMath>
      <w:r>
        <w:t xml:space="preserve"> </w:t>
      </w:r>
      <w:r>
        <w:t xml:space="preserve">region lies in a rigorous gapped strong-coupling basin.</w:t>
      </w:r>
    </w:p>
    <w:p>
      <w:pPr>
        <w:pStyle w:val="BodyText"/>
      </w:pPr>
      <w:r>
        <w:t xml:space="preserve">The purpose of Sections 8–10 is to give a UCD-native exact Schur mechanism for maintaining such a basin under subsequent coarse elimination, with explicit summable error control.</w:t>
      </w:r>
    </w:p>
    <w:bookmarkEnd w:id="31"/>
    <w:bookmarkStart w:id="32" w:name="Xecf360c2dc5d407c02cdc46f17d77fb15a0993b"/>
    <w:p>
      <w:pPr>
        <w:pStyle w:val="Heading1"/>
      </w:pPr>
      <w:r>
        <w:t xml:space="preserve">12. Ultraviolet asymptotic freedom and renormalized trajectory</w:t>
      </w:r>
    </w:p>
    <w:p>
      <w:pPr>
        <w:pStyle w:val="FirstParagraph"/>
      </w:pPr>
      <w:r>
        <w:t xml:space="preserve">For pure</w:t>
      </w:r>
      <w:r>
        <w:t xml:space="preserve"> </w:t>
      </w:r>
      <m:oMath>
        <m:r>
          <m:t>S</m:t>
        </m:r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μ</m:t>
          </m:r>
          <m:f>
            <m:fPr>
              <m:type m:val="bar"/>
            </m:fPr>
            <m:num>
              <m:r>
                <m:t>d</m:t>
              </m:r>
              <m:r>
                <m:t>g</m:t>
              </m:r>
            </m:num>
            <m:den>
              <m:r>
                <m:t>d</m:t>
              </m:r>
              <m:r>
                <m:t>μ</m:t>
              </m:r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b</m:t>
              </m:r>
            </m:e>
            <m:sub>
              <m:r>
                <m:t>0</m:t>
              </m:r>
            </m:sub>
          </m:sSub>
          <m:sSup>
            <m:e>
              <m:r>
                <m:t>g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O</m:t>
          </m:r>
          <m:d>
            <m:dPr>
              <m:begChr m:val="("/>
              <m:endChr m:val=")"/>
              <m:sepChr m:val="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t>5</m:t>
                  </m:r>
                </m:sup>
              </m:sSup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b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</m:t>
              </m:r>
              <m:r>
                <m:t>N</m:t>
              </m:r>
            </m:num>
            <m:den>
              <m:r>
                <m:t>48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S</m:t>
        </m:r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</m:e>
        </m:d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b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11</m:t>
              </m:r>
            </m:num>
            <m:den>
              <m:r>
                <m:t>16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r>
            <m:t>0.0696583137541</m:t>
          </m:r>
          <m:r>
            <m:rPr>
              <m:sty m:val="p"/>
            </m:rPr>
            <m:t>…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At one loop, fixing a block coupling</w:t>
      </w:r>
      <w:r>
        <w:t xml:space="preserve"> </w:t>
      </w:r>
      <m:oMath>
        <m:sSub>
          <m:e>
            <m:r>
              <m:t>g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at physical scale</w:t>
      </w:r>
      <w:r>
        <w:t xml:space="preserve"> </w:t>
      </w:r>
      <m:oMath>
        <m:sSub>
          <m:e>
            <m:r>
              <m:t>L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bSup>
                <m:e>
                  <m:r>
                    <m:t>g</m:t>
                  </m:r>
                </m:e>
                <m:sub>
                  <m:r>
                    <m:t>B</m:t>
                  </m:r>
                </m:sub>
                <m:sup>
                  <m:r>
                    <m:t>2</m:t>
                  </m:r>
                </m:sup>
              </m:sSubSup>
            </m:den>
          </m:f>
          <m:r>
            <m:rPr>
              <m:sty m:val="p"/>
            </m:rPr>
            <m:t>+</m:t>
          </m:r>
          <m:r>
            <m:t>2</m:t>
          </m:r>
          <m:sSub>
            <m:e>
              <m:r>
                <m:t>b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L</m:t>
                  </m:r>
                </m:e>
                <m:sub>
                  <m:r>
                    <m:t>B</m:t>
                  </m:r>
                </m:sub>
              </m:sSub>
            </m:num>
            <m:den>
              <m:r>
                <m:t>a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Thus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g</m:t>
              </m:r>
            </m:e>
            <m:sub>
              <m:r>
                <m:t>0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→</m:t>
          </m:r>
          <m:r>
            <m:t>0</m:t>
          </m:r>
          <m:r>
            <m:t>  </m:t>
          </m:r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rPr>
                  <m:sty m:val="p"/>
                </m:rPr>
                <m:t>→</m:t>
              </m:r>
              <m:r>
                <m:t>0</m:t>
              </m:r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executable trajectory verifies the algebraic round-trip relation to machine precision. Balaban’s four-dimensional small-field renormalization construction provides rigorous localized effective actions and coupling-constant renormalization in the weak-coupling ultraviolet regime. The complete Jaffe–Witten bridge is the all-field continuation from that ultraviolet regime into a fixed-physical-scale gapped basin with constants uniform in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BodyText"/>
      </w:pPr>
      <w:r>
        <w:t xml:space="preserve">We isolate that step as the following lemma.</w:t>
      </w:r>
    </w:p>
    <w:p>
      <w:pPr>
        <w:pStyle w:val="BodyText"/>
      </w:pPr>
      <w:r>
        <w:rPr>
          <w:bCs/>
          <w:b/>
        </w:rPr>
        <w:t xml:space="preserve">Bridge Lemma A (UV-to-gap-basin).</w:t>
      </w:r>
      <w:r>
        <w:t xml:space="preserve"> </w:t>
      </w:r>
      <w:r>
        <w:t xml:space="preserve">There exist</w:t>
      </w:r>
      <w:r>
        <w:t xml:space="preserve"> </w:t>
      </w:r>
      <m:oMath>
        <m:sSub>
          <m:e>
            <m:r>
              <m:t>L</m:t>
            </m:r>
          </m:e>
          <m:sub>
            <m:r>
              <m:t>B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and regulator couplings</w:t>
      </w:r>
      <w:r>
        <w:t xml:space="preserve"> </w:t>
      </w:r>
      <m:oMath>
        <m:sSub>
          <m:e>
            <m:r>
              <m:t>g</m:t>
            </m:r>
          </m:e>
          <m:sub>
            <m:r>
              <m:t>0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a</m:t>
        </m:r>
        <m:r>
          <m:rPr>
            <m:sty m:val="p"/>
          </m:rPr>
          <m:t>&lt;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such that the exact gauge-invariant Wilson/heat-kernel RG map to scale</w:t>
      </w:r>
      <w:r>
        <w:t xml:space="preserve"> </w:t>
      </w:r>
      <m:oMath>
        <m:sSub>
          <m:e>
            <m:r>
              <m:t>L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produces an effective Hamiltonian satisfying the hypotheses of Theorem 9 with constants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η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Δ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independent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thermodynamic volume, with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A</m:t>
              </m:r>
              <m:sSub>
                <m:e>
                  <m:r>
                    <m:t>η</m:t>
                  </m:r>
                </m:e>
                <m:sub>
                  <m:r>
                    <m:t>0</m:t>
                  </m:r>
                </m:sub>
              </m:sSub>
            </m:num>
            <m:den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</m:den>
          </m:f>
          <m:r>
            <m:rPr>
              <m:sty m:val="p"/>
            </m:rPr>
            <m:t>&lt;</m:t>
          </m:r>
          <m:r>
            <m:t>1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Δ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&gt;</m:t>
          </m:r>
          <m:f>
            <m:fPr>
              <m:type m:val="bar"/>
            </m:fPr>
            <m:num>
              <m:r>
                <m:t>2</m:t>
              </m:r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</m:num>
            <m:den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</m:den>
          </m:f>
          <m:f>
            <m:fPr>
              <m:type m:val="bar"/>
            </m:fPr>
            <m:num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sSub>
                        <m:e>
                          <m:r>
                            <m:t>η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sSub>
                        <m:e>
                          <m:r>
                            <m:t>δ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Once Bridge Lemma A is established, Theorem 9 produces a regulator- and volume-uniform positive spectral threshold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32"/>
    <w:bookmarkStart w:id="33" w:name="a-regulator-uniform-mass-gap"/>
    <w:p>
      <w:pPr>
        <w:pStyle w:val="Heading1"/>
      </w:pPr>
      <w:r>
        <w:t xml:space="preserve">13. A: regulator-uniform mass gap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sub>
        </m:sSub>
      </m:oMath>
      <w:r>
        <w:t xml:space="preserve"> </w:t>
      </w:r>
      <w:r>
        <w:t xml:space="preserve">be the finite-volume vacuum projection. Under Bridge Lemma A and the exact Schur contraction theorem,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E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≥</m:t>
          </m:r>
          <m:sSub>
            <m:e>
              <m:r>
                <m:t>m</m:t>
              </m:r>
            </m:e>
            <m:sub>
              <m:r>
                <m:rPr>
                  <m:sty m:val="p"/>
                </m:rPr>
                <m:t>*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with one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independent of sufficiently small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sufficiently large</w:t>
      </w:r>
      <w:r>
        <w:t xml:space="preserve"> </w:t>
      </w:r>
      <m:oMath>
        <m:r>
          <m:t>L</m:t>
        </m:r>
      </m:oMath>
      <w:r>
        <w:t xml:space="preserve">. Therefore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limLow>
                <m:e>
                  <m:r>
                    <m:rPr>
                      <m:sty m:val="p"/>
                    </m:rPr>
                    <m:t>inf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&lt;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&gt;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0</m:t>
                      </m:r>
                    </m:sub>
                  </m:sSub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e>
              </m:d>
              <m:r>
                <m:rPr>
                  <m:sty m:val="p"/>
                </m:rPr>
                <m:t>≥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t xml:space="preserve">This is precisely the form of uniform finite-volume gap singled out in the Jaffe–Witten discussion as the spectral input needed for the thermodynamic construction.</w:t>
      </w:r>
    </w:p>
    <w:bookmarkEnd w:id="33"/>
    <w:bookmarkStart w:id="34" w:name="b-infinite-volume-local-state"/>
    <w:p>
      <w:pPr>
        <w:pStyle w:val="Heading1"/>
      </w:pPr>
      <w:r>
        <w:t xml:space="preserve">14. B: infinite-volume local state</w:t>
      </w:r>
    </w:p>
    <w:p>
      <w:pPr>
        <w:pStyle w:val="FirstParagraph"/>
      </w:pPr>
      <w:r>
        <w:t xml:space="preserve">For a bounded gauge-invariant observable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supported in a fixed compact physical region</w:t>
      </w:r>
      <w:r>
        <w:t xml:space="preserve"> </w:t>
      </w:r>
      <m:oMath>
        <m:r>
          <m:t>K</m:t>
        </m:r>
      </m:oMath>
      <w:r>
        <w:t xml:space="preserve">, define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ω</m:t>
              </m:r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sSub>
            <m:e>
              <m:r>
                <m:t>Ω</m:t>
              </m:r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,</m:t>
          </m:r>
          <m:r>
            <m:t>A</m:t>
          </m:r>
          <m:sSub>
            <m:e>
              <m:r>
                <m:t>Ω</m:t>
              </m:r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⟩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volume-uniform gap and finite-range locality give exponential decay of connected correlations in the Hamiltonian lattice theory. The required thermodynamic theorem is:</w:t>
      </w:r>
    </w:p>
    <w:p>
      <w:pPr>
        <w:pStyle w:val="BodyText"/>
      </w:pPr>
      <w:r>
        <w:rPr>
          <w:bCs/>
          <w:b/>
        </w:rPr>
        <w:t xml:space="preserve">Bridge Lemma B1 (thermodynamic uniqueness and convergence).</w:t>
      </w:r>
      <w:r>
        <w:t xml:space="preserve"> </w:t>
      </w:r>
      <w:r>
        <w:t xml:space="preserve">For each sufficiently small</w:t>
      </w:r>
      <w:r>
        <w:t xml:space="preserve"> </w:t>
      </w:r>
      <m:oMath>
        <m:r>
          <m:t>a</m:t>
        </m:r>
      </m:oMath>
      <w:r>
        <w:t xml:space="preserve">, the local expectations</w:t>
      </w:r>
      <w:r>
        <w:t xml:space="preserve"> </w:t>
      </w:r>
      <m:oMath>
        <m:sSub>
          <m:e>
            <m:r>
              <m:t>ω</m:t>
            </m:r>
          </m:e>
          <m:sub>
            <m:r>
              <m:t>a</m:t>
            </m:r>
            <m:r>
              <m:rPr>
                <m:sty m:val="p"/>
              </m:rPr>
              <m:t>,</m:t>
            </m:r>
            <m:r>
              <m:t>L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converge as</w:t>
      </w:r>
      <w:r>
        <w:t xml:space="preserve"> </w:t>
      </w:r>
      <m:oMath>
        <m:r>
          <m:t>L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 independently of boundary conditions compatible with the vacuum phase, and the limit obeys a uniform exponential clustering estimate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endChr m:val="|"/>
              <m:sepChr m:val=""/>
              <m:grow/>
            </m:dPr>
            <m:e>
              <m:sSub>
                <m:e>
                  <m:r>
                    <m:t>ω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t>B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ω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  <m:sSub>
                <m:e>
                  <m:r>
                    <m:t>ω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B</m:t>
                  </m:r>
                </m:e>
              </m:d>
            </m:e>
          </m:d>
          <m:r>
            <m:rPr>
              <m:sty m:val="p"/>
            </m:rPr>
            <m:t>≤</m:t>
          </m:r>
          <m:sSub>
            <m:e>
              <m:r>
                <m:t>C</m:t>
              </m:r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</m:sub>
          </m:sSub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d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</m:e>
              </m:d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quasi-local algebra is the norm closure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A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bar>
            <m:barPr>
              <m:pos m:val="top"/>
            </m:barPr>
            <m:e>
              <m:limLow>
                <m:e>
                  <m:r>
                    <m:rPr>
                      <m:sty m:val="p"/>
                    </m:rPr>
                    <m:t>⋃</m:t>
                  </m:r>
                </m:e>
                <m:lim>
                  <m:r>
                    <m:t>K</m:t>
                  </m:r>
                  <m:r>
                    <m:rPr>
                      <m:sty m:val="p"/>
                    </m:rPr>
                    <m:t>⋐</m:t>
                  </m:r>
                  <m:sSup>
                    <m:e>
                      <m:r>
                        <m:rPr>
                          <m:sty m:val="p"/>
                          <m:scr m:val="double-struck"/>
                        </m:rPr>
                        <m:t>R</m:t>
                      </m:r>
                    </m:e>
                    <m:sup>
                      <m:r>
                        <m:t>3</m:t>
                      </m:r>
                    </m:sup>
                  </m:sSup>
                </m:lim>
              </m:limLow>
              <m:sSub>
                <m:e>
                  <m:r>
                    <m:rPr>
                      <m:sty m:val="p"/>
                      <m:scr m:val="script"/>
                    </m:rPr>
                    <m:t>A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K</m:t>
                  </m:r>
                </m:e>
              </m:d>
            </m:e>
          </m:ba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thermodynamic state</w:t>
      </w:r>
      <w:r>
        <w:t xml:space="preserve"> </w:t>
      </w:r>
      <m:oMath>
        <m:sSub>
          <m:e>
            <m:r>
              <m:t>ω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positive and normalized by construction.</w:t>
      </w:r>
    </w:p>
    <w:bookmarkEnd w:id="34"/>
    <w:bookmarkStart w:id="35" w:name="b-continuum-schwinger-family"/>
    <w:p>
      <w:pPr>
        <w:pStyle w:val="Heading1"/>
      </w:pPr>
      <w:r>
        <w:t xml:space="preserve">15. B: continuum Schwinger family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rPr>
                <m:sty m:val="p"/>
                <m:scr m:val="script"/>
              </m:rPr>
              <m:t>O</m:t>
            </m:r>
          </m:e>
          <m:sub>
            <m:r>
              <m:t>i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a</m:t>
                </m:r>
              </m:e>
            </m:d>
          </m:sup>
        </m:sSubSup>
        <m:d>
          <m:dPr>
            <m:begChr m:val="("/>
            <m:endChr m:val=")"/>
            <m:sepChr m:val=""/>
            <m:grow/>
          </m:dPr>
          <m:e>
            <m:sSub>
              <m:e>
                <m:r>
                  <m:t>f</m:t>
                </m:r>
              </m:e>
              <m:sub>
                <m:r>
                  <m:t>i</m:t>
                </m:r>
              </m:sub>
            </m:sSub>
          </m:e>
        </m:d>
      </m:oMath>
      <w:r>
        <w:t xml:space="preserve"> </w:t>
      </w:r>
      <w:r>
        <w:t xml:space="preserve">be renormalized gauge-invariant local composite observables smeared with test functions. Define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n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sup>
          </m:sSubSup>
          <m:d>
            <m:dPr>
              <m:begChr m:val="("/>
              <m:endChr m:val=")"/>
              <m:sepChr m:val=""/>
              <m:grow/>
            </m:dPr>
            <m:e>
              <m:sSub>
                <m:e>
                  <m:r>
                    <m:t>f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f</m:t>
                  </m:r>
                </m:e>
                <m:sub>
                  <m:r>
                    <m:t>n</m:t>
                  </m:r>
                </m:sub>
              </m:sSub>
            </m:e>
          </m:d>
          <m:r>
            <m:rPr>
              <m:sty m:val="p"/>
            </m:rPr>
            <m:t>=</m:t>
          </m:r>
          <m:sSub>
            <m:e>
              <m:r>
                <m:t>ω</m:t>
              </m:r>
            </m:e>
            <m:sub>
              <m:r>
                <m:t>a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sSubSup>
                <m:e>
                  <m:r>
                    <m:rPr>
                      <m:sty m:val="p"/>
                      <m:scr m:val="script"/>
                    </m:rPr>
                    <m:t>O</m:t>
                  </m:r>
                </m:e>
                <m:sub>
                  <m:r>
                    <m:t>1</m:t>
                  </m:r>
                </m:sub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sup>
              </m:sSub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rPr>
                  <m:sty m:val="p"/>
                </m:rPr>
                <m:t>⋯</m:t>
              </m:r>
              <m:sSubSup>
                <m:e>
                  <m:r>
                    <m:rPr>
                      <m:sty m:val="p"/>
                      <m:scr m:val="script"/>
                    </m:rPr>
                    <m:t>O</m:t>
                  </m:r>
                </m:e>
                <m:sub>
                  <m:r>
                    <m:t>n</m:t>
                  </m:r>
                </m:sub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</m:e>
                  </m:d>
                </m:sup>
              </m:sSubSup>
              <m:d>
                <m:dPr>
                  <m:begChr m:val="("/>
                  <m:endChr m:val=")"/>
                  <m:sepChr m:val=""/>
                  <m:grow/>
                </m:dPr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continuum construction requires scale-dependent field/operator renormalizations</w:t>
      </w:r>
      <w:r>
        <w:t xml:space="preserve"> </w:t>
      </w:r>
      <m:oMath>
        <m:sSub>
          <m:e>
            <m:r>
              <m:t>Z</m:t>
            </m:r>
          </m:e>
          <m:sub>
            <m:r>
              <m:rPr>
                <m:sty m:val="p"/>
                <m:scr m:val="script"/>
              </m:rPr>
              <m:t>O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a</m:t>
            </m:r>
          </m:e>
        </m:d>
      </m:oMath>
      <w:r>
        <w:t xml:space="preserve"> </w:t>
      </w:r>
      <w:r>
        <w:t xml:space="preserve">and counterterms fixed by gauge-invariant renormalization conditions.</w:t>
      </w:r>
    </w:p>
    <w:p>
      <w:pPr>
        <w:pStyle w:val="BodyText"/>
      </w:pPr>
      <w:r>
        <w:rPr>
          <w:bCs/>
          <w:b/>
        </w:rPr>
        <w:t xml:space="preserve">Bridge Lemma B2 (continuum convergence).</w:t>
      </w:r>
      <w:r>
        <w:t xml:space="preserve"> </w:t>
      </w:r>
      <w:r>
        <w:t xml:space="preserve">For every finite collection of gauge-invariant local test observables, the renormalized distributions converge in</w:t>
      </w:r>
      <w:r>
        <w:t xml:space="preserve"> </w:t>
      </w:r>
      <m:oMath>
        <m:r>
          <m:rPr>
            <m:sty m:val="p"/>
            <m:scr m:val="script"/>
          </m:rPr>
          <m:t>S</m:t>
        </m:r>
        <m:r>
          <m:rPr>
            <m:sty m:val="p"/>
          </m:rPr>
          <m:t>′</m:t>
        </m:r>
        <m:d>
          <m:dPr>
            <m:begChr m:val="("/>
            <m:endChr m:val=")"/>
            <m:sepChr m:val=""/>
            <m:grow/>
          </m:dPr>
          <m:e>
            <m:sSup>
              <m:e>
                <m:r>
                  <m:rPr>
                    <m:sty m:val="p"/>
                    <m:scr m:val="double-struck"/>
                  </m:rPr>
                  <m:t>R</m:t>
                </m:r>
              </m:e>
              <m:sup>
                <m:r>
                  <m:t>4</m:t>
                </m:r>
                <m:r>
                  <m:t>n</m:t>
                </m:r>
              </m:sup>
            </m:sSup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a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sSubSup>
            <m:e>
              <m:r>
                <m:t>S</m:t>
              </m:r>
            </m:e>
            <m:sub>
              <m:r>
                <m:t>n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bounds are uniform on bounded sets of Schwartz test functions and compatible with the exponential clustering constant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p>
      <w:pPr>
        <w:pStyle w:val="BodyText"/>
      </w:pPr>
      <w:r>
        <w:rPr>
          <w:bCs/>
          <w:b/>
        </w:rPr>
        <w:t xml:space="preserve">Bridge Lemma B3 (nontriviality).</w:t>
      </w:r>
      <w:r>
        <w:t xml:space="preserve"> </w:t>
      </w:r>
      <w:r>
        <w:t xml:space="preserve">At least one connected gauge-invariant continuum distribution is nonzero, equivalently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n</m:t>
              </m:r>
            </m:sub>
            <m:sup>
              <m:r>
                <m:t>T</m:t>
              </m:r>
            </m:sup>
          </m:sSubSup>
          <m:r>
            <m:rPr>
              <m:sty m:val="p"/>
            </m:rPr>
            <m:t>≢</m:t>
          </m:r>
          <m:r>
            <m:t>0</m:t>
          </m:r>
        </m:oMath>
      </m:oMathPara>
    </w:p>
    <w:p>
      <w:pPr>
        <w:pStyle w:val="FirstParagraph"/>
      </w:pPr>
      <w:r>
        <w:t xml:space="preserve">for some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4</m:t>
        </m:r>
      </m:oMath>
      <w:r>
        <w:t xml:space="preserve">, or another equivalent non-Gaussian observable criterion holds.</w:t>
      </w:r>
    </w:p>
    <w:p>
      <w:pPr>
        <w:pStyle w:val="BodyText"/>
      </w:pPr>
      <w:r>
        <w:t xml:space="preserve">The finite workbench already contains nonzero connected Wilson spectral weight; B3 is its continuum persistence statement.</w:t>
      </w:r>
    </w:p>
    <w:bookmarkEnd w:id="35"/>
    <w:bookmarkStart w:id="36" w:name="X23e6b541995d7225aea9c2ef0ba492b723b4a52"/>
    <w:p>
      <w:pPr>
        <w:pStyle w:val="Heading1"/>
      </w:pPr>
      <w:r>
        <w:t xml:space="preserve">15.1 Local curvature fields, stress tensor, and short-distance operator structure</w:t>
      </w:r>
    </w:p>
    <w:p>
      <w:pPr>
        <w:pStyle w:val="FirstParagraph"/>
      </w:pPr>
      <w:r>
        <w:t xml:space="preserve">The Jaffe–Witten specification requires the continuum theory to contain local gauge-invariant quantum fields corresponding to classical gauge-invariant differential polynomials in the curvature and its covariant derivatives. Let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d>
            <m:dPr>
              <m:begChr m:val="("/>
              <m:endChr m:val=")"/>
              <m:sepChr m:val=""/>
              <m:grow/>
            </m:dPr>
            <m:e>
              <m:r>
                <m:t>F</m:t>
              </m:r>
              <m:r>
                <m:rPr>
                  <m:sty m:val="p"/>
                </m:rPr>
                <m:t>,</m:t>
              </m:r>
              <m:r>
                <m:t>D</m:t>
              </m:r>
              <m:r>
                <m:t>F</m:t>
              </m:r>
              <m:r>
                <m:rPr>
                  <m:sty m:val="p"/>
                </m:rPr>
                <m:t>,</m:t>
              </m:r>
              <m:sSup>
                <m:e>
                  <m:r>
                    <m:t>D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</m:oMath>
      </m:oMathPara>
    </w:p>
    <w:p>
      <w:pPr>
        <w:pStyle w:val="FirstParagraph"/>
      </w:pPr>
      <w:r>
        <w:t xml:space="preserve">be such a polynomial of engineering dimension</w:t>
      </w:r>
      <w:r>
        <w:t xml:space="preserve"> </w:t>
      </w:r>
      <m:oMath>
        <m:sSub>
          <m:e>
            <m:r>
              <m:t>d</m:t>
            </m:r>
          </m:e>
          <m:sub>
            <m:r>
              <m:t>P</m:t>
            </m:r>
          </m:sub>
        </m:sSub>
      </m:oMath>
      <w:r>
        <w:t xml:space="preserve">. On a lattice, curvature is represented by oriented plaquette combinations. For</w:t>
      </w:r>
      <w:r>
        <w:t xml:space="preserve"> </w:t>
      </w:r>
      <m:oMath>
        <m:r>
          <m:t>S</m:t>
        </m:r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N</m:t>
            </m:r>
          </m:e>
        </m:d>
      </m:oMath>
      <w:r>
        <w:t xml:space="preserve"> </w:t>
      </w:r>
      <w:r>
        <w:t xml:space="preserve">one convenient Lie-algebra-valued representative 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F</m:t>
              </m:r>
            </m:e>
            <m:sub>
              <m:r>
                <m:t>μ</m:t>
              </m:r>
              <m:r>
                <m:t>ν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sup>
          </m:sSubSup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i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sSub>
                <m:e>
                  <m:r>
                    <m:t>g</m:t>
                  </m:r>
                </m:e>
                <m:sub>
                  <m:r>
                    <m:t>0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den>
          </m:f>
          <m:d>
            <m:dPr>
              <m:begChr m:val="["/>
              <m:endChr m:val="]"/>
              <m:sepChr m:val=""/>
              <m:grow/>
            </m:dPr>
            <m:e>
              <m:sSub>
                <m:e>
                  <m:r>
                    <m:t>U</m:t>
                  </m:r>
                </m:e>
                <m:sub>
                  <m:r>
                    <m:t>μ</m:t>
                  </m:r>
                  <m:r>
                    <m:t>ν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μ</m:t>
                  </m:r>
                  <m:r>
                    <m:t>ν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Tr</m:t>
              </m:r>
              <m:r>
                <m:rPr>
                  <m:sty m:val="p"/>
                </m:rPr>
                <m:t>(</m:t>
              </m:r>
              <m:sSub>
                <m:e>
                  <m:r>
                    <m:t>U</m:t>
                  </m:r>
                </m:e>
                <m:sub>
                  <m:r>
                    <m:t>μ</m:t>
                  </m:r>
                  <m:r>
                    <m:t>ν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x</m:t>
                  </m:r>
                </m:e>
              </m:d>
              <m:r>
                <m:rPr>
                  <m:sty m:val="p"/>
                </m:rPr>
                <m:t>−</m:t>
              </m:r>
              <m:sSub>
                <m:e>
                  <m:r>
                    <m:t>U</m:t>
                  </m:r>
                </m:e>
                <m:sub>
                  <m:r>
                    <m:t>μ</m:t>
                  </m:r>
                  <m:r>
                    <m:t>ν</m:t>
                  </m:r>
                </m:sub>
              </m:sSub>
              <m:sSup>
                <m:e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x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†</m:t>
                  </m:r>
                </m:sup>
              </m:sSup>
              <m:r>
                <m:rPr>
                  <m:sty m:val="p"/>
                </m:rPr>
                <m:t>)</m:t>
              </m:r>
              <m:r>
                <m:t>I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covariant finite differences give approximants to</w:t>
      </w:r>
      <w:r>
        <w:t xml:space="preserve"> </w:t>
      </w:r>
      <m:oMath>
        <m:sSub>
          <m:e>
            <m:r>
              <m:t>D</m:t>
            </m:r>
          </m:e>
          <m:sub>
            <m:r>
              <m:t>ρ</m:t>
            </m:r>
          </m:sub>
        </m:sSub>
        <m:sSub>
          <m:e>
            <m:r>
              <m:t>F</m:t>
            </m:r>
          </m:e>
          <m:sub>
            <m:r>
              <m:t>μ</m:t>
            </m:r>
            <m:r>
              <m:t>ν</m:t>
            </m:r>
          </m:sub>
        </m:sSub>
      </m:oMath>
      <w:r>
        <w:t xml:space="preserve">. Gauge-invariant lattice composites</w:t>
      </w:r>
      <w:r>
        <w:t xml:space="preserve"> </w:t>
      </w:r>
      <m:oMath>
        <m:sSubSup>
          <m:e>
            <m:r>
              <m:t>P</m:t>
            </m:r>
          </m:e>
          <m:sub>
            <m:r>
              <m:t>j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a</m:t>
                </m:r>
              </m:e>
            </m:d>
          </m:sup>
        </m:sSubSup>
      </m:oMath>
      <w:r>
        <w:t xml:space="preserve"> </w:t>
      </w:r>
      <w:r>
        <w:t xml:space="preserve">are then mixed and renormalized by a finite matrix at each engineering dimension,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rPr>
                  <m:sty m:val="p"/>
                  <m:scr m:val="script"/>
                </m:rPr>
                <m:t>O</m:t>
              </m:r>
            </m:e>
            <m:sub>
              <m:r>
                <m:t>P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sup>
          </m:sSubSup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j</m:t>
              </m:r>
              <m:r>
                <m:rPr>
                  <m:sty m:val="p"/>
                </m:rPr>
                <m:t>:</m:t>
              </m:r>
              <m:r>
                <m:t> </m:t>
              </m:r>
              <m:sSub>
                <m:e>
                  <m:r>
                    <m:t>d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≤</m:t>
              </m:r>
              <m:sSub>
                <m:e>
                  <m:r>
                    <m:t>d</m:t>
                  </m:r>
                </m:e>
                <m:sub>
                  <m:r>
                    <m:t>P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Z</m:t>
                  </m:r>
                </m:e>
                <m:sub>
                  <m:r>
                    <m:t>P</m:t>
                  </m:r>
                  <m:r>
                    <m:t>j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a</m:t>
              </m:r>
              <m:r>
                <m:rPr>
                  <m:sty m:val="p"/>
                </m:rPr>
                <m:t>,</m:t>
              </m:r>
              <m:r>
                <m:t>μ</m:t>
              </m:r>
            </m:e>
          </m:d>
          <m:sSubSup>
            <m:e>
              <m:r>
                <m:t>P</m:t>
              </m:r>
            </m:e>
            <m:sub>
              <m:r>
                <m:t>j</m:t>
              </m:r>
            </m:sub>
            <m: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a</m:t>
                  </m:r>
                </m:e>
              </m:d>
            </m:sup>
          </m:sSub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required continuum statement is:</w:t>
      </w:r>
    </w:p>
    <w:p>
      <w:pPr>
        <w:pStyle w:val="BodyText"/>
      </w:pPr>
      <w:r>
        <w:rPr>
          <w:bCs/>
          <w:b/>
        </w:rPr>
        <w:t xml:space="preserve">Bridge Lemma B4 (composite-field convergence).</w:t>
      </w:r>
      <w:r>
        <w:t xml:space="preserve"> </w:t>
      </w:r>
      <w:r>
        <w:t xml:space="preserve">For every gauge-invariant differential polynomial</w:t>
      </w:r>
      <w:r>
        <w:t xml:space="preserve"> </w:t>
      </w:r>
      <m:oMath>
        <m:r>
          <m:t>P</m:t>
        </m:r>
        <m:d>
          <m:dPr>
            <m:begChr m:val="("/>
            <m:endChr m:val=")"/>
            <m:sepChr m:val=""/>
            <m:grow/>
          </m:dPr>
          <m:e>
            <m:r>
              <m:t>F</m:t>
            </m:r>
            <m:r>
              <m:rPr>
                <m:sty m:val="p"/>
              </m:rPr>
              <m:t>,</m:t>
            </m:r>
            <m:r>
              <m:t>D</m:t>
            </m:r>
            <m:r>
              <m:t>F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</m:oMath>
      <w:r>
        <w:t xml:space="preserve"> </w:t>
      </w:r>
      <w:r>
        <w:t xml:space="preserve">there is a renormalized lattice approximant</w:t>
      </w:r>
      <w:r>
        <w:t xml:space="preserve"> </w:t>
      </w:r>
      <m:oMath>
        <m:sSubSup>
          <m:e>
            <m:r>
              <m:rPr>
                <m:sty m:val="p"/>
                <m:scr m:val="script"/>
              </m:rPr>
              <m:t>O</m:t>
            </m:r>
          </m:e>
          <m:sub>
            <m:r>
              <m:t>P</m:t>
            </m:r>
          </m:sub>
          <m:sup>
            <m:d>
              <m:dPr>
                <m:begChr m:val="("/>
                <m:endChr m:val=")"/>
                <m:sepChr m:val=""/>
                <m:grow/>
              </m:dPr>
              <m:e>
                <m:r>
                  <m:t>a</m:t>
                </m:r>
              </m:e>
            </m:d>
          </m:sup>
        </m:sSubSup>
      </m:oMath>
      <w:r>
        <w:t xml:space="preserve"> </w:t>
      </w:r>
      <w:r>
        <w:t xml:space="preserve">such that all mixed Schwinger distributions containing finitely many such insertions converge in</w:t>
      </w:r>
      <w:r>
        <w:t xml:space="preserve"> </w:t>
      </w:r>
      <m:oMath>
        <m:r>
          <m:rPr>
            <m:sty m:val="p"/>
            <m:scr m:val="script"/>
          </m:rPr>
          <m:t>S</m:t>
        </m:r>
        <m:r>
          <m:rPr>
            <m:sty m:val="p"/>
          </m:rPr>
          <m:t>′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t>0</m:t>
        </m:r>
      </m:oMath>
      <w:r>
        <w:t xml:space="preserve">, and the limiting operators transform covariantly under the restored Euclidean group.</w:t>
      </w:r>
    </w:p>
    <w:p>
      <w:pPr>
        <w:pStyle w:val="BodyText"/>
      </w:pPr>
      <w:r>
        <w:t xml:space="preserve">The stress tensor is obtained by differentiating an anisotropic/background-metric lattice action with respect to the metric and then renormalizing the finite set of operators allowed by symmetry. Its continuum Ward identity is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∂</m:t>
              </m:r>
            </m:e>
            <m:sup>
              <m:r>
                <m:t>μ</m:t>
              </m:r>
            </m:sup>
          </m:sSup>
          <m:sSub>
            <m:e>
              <m:r>
                <m:t>T</m:t>
              </m:r>
            </m:e>
            <m:sub>
              <m:r>
                <m:t>μ</m:t>
              </m:r>
              <m:r>
                <m:t>ν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after OS reconstruction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sSup>
                <m:e>
                  <m:r>
                    <m:rPr>
                      <m:sty m:val="p"/>
                      <m:scr m:val="double-struck"/>
                    </m:rPr>
                    <m:t>R</m:t>
                  </m:r>
                </m:e>
                <m:sup>
                  <m:r>
                    <m:t>3</m:t>
                  </m:r>
                </m:sup>
              </m:sSup>
            </m:sub>
            <m:sup>
              <m:r>
                <m:t>​</m:t>
              </m:r>
            </m:sup>
            <m:e>
              <m:sSub>
                <m:e>
                  <m:r>
                    <m:t>T</m:t>
                  </m:r>
                </m:e>
                <m:sub>
                  <m:r>
                    <m:t>00</m:t>
                  </m:r>
                </m:sub>
              </m:sSub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b"/>
                </m:rPr>
                <m:t>x</m:t>
              </m:r>
            </m:e>
          </m:d>
          <m:r>
            <m:t> </m:t>
          </m:r>
          <m:sSup>
            <m:e>
              <m:r>
                <m:t>d</m:t>
              </m:r>
            </m:e>
            <m:sup>
              <m:r>
                <m:t>3</m:t>
              </m:r>
            </m:sup>
          </m:sSup>
          <m:r>
            <m:t>x</m:t>
          </m:r>
        </m:oMath>
      </m:oMathPara>
    </w:p>
    <w:p>
      <w:pPr>
        <w:pStyle w:val="FirstParagraph"/>
      </w:pPr>
      <w:r>
        <w:t xml:space="preserve">in the standard quadratic-form sense on the energy domain.</w:t>
      </w:r>
    </w:p>
    <w:p>
      <w:pPr>
        <w:pStyle w:val="BodyText"/>
      </w:pPr>
      <w:r>
        <w:t xml:space="preserve">At short distance, asymptotic freedom fixes the ultraviolet coefficients in products of local fields. The required operator-product statement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  <m:scr m:val="script"/>
                </m:rPr>
                <m:t>O</m:t>
              </m:r>
            </m:e>
            <m:sub>
              <m:r>
                <m:t>P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</m:e>
          </m:d>
          <m:sSub>
            <m:e>
              <m:r>
                <m:rPr>
                  <m:sty m:val="p"/>
                  <m:scr m:val="script"/>
                </m:rPr>
                <m:t>O</m:t>
              </m:r>
            </m:e>
            <m:sub>
              <m:r>
                <m:t>Q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</m:e>
          </m:d>
          <m:r>
            <m:rPr>
              <m:sty m:val="p"/>
            </m:rPr>
            <m:t>∼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R</m:t>
              </m:r>
            </m:sub>
            <m:sup>
              <m:r>
                <m:t>​</m:t>
              </m:r>
            </m:sup>
            <m:e>
              <m:sSubSup>
                <m:e>
                  <m:r>
                    <m:t>C</m:t>
                  </m:r>
                </m:e>
                <m:sub>
                  <m:r>
                    <m:t>P</m:t>
                  </m:r>
                  <m:r>
                    <m:t>Q</m:t>
                  </m:r>
                </m:sub>
                <m:sup>
                  <m:r>
                    <m:t> </m:t>
                  </m:r>
                  <m:r>
                    <m:t>R</m:t>
                  </m:r>
                </m:sup>
              </m:sSubSup>
            </m:e>
          </m:nary>
          <m:d>
            <m:dPr>
              <m:begChr m:val="("/>
              <m:endChr m:val=")"/>
              <m:sepChr m:val="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g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μ</m:t>
                  </m:r>
                </m:e>
              </m:d>
            </m:e>
          </m:d>
          <m:sSub>
            <m:e>
              <m:r>
                <m:rPr>
                  <m:sty m:val="p"/>
                  <m:scr m:val="script"/>
                </m:rPr>
                <m:t>O</m:t>
              </m:r>
            </m:e>
            <m:sub>
              <m:r>
                <m:t>R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0</m:t>
              </m:r>
            </m:e>
          </m:d>
          <m:r>
            <m:rPr>
              <m:sty m:val="p"/>
            </m:rPr>
            <m:t>,</m:t>
          </m:r>
          <m:r>
            <m:t>  </m:t>
          </m:r>
          <m:d>
            <m:dPr>
              <m:begChr m:val="|"/>
              <m:endChr m:val="|"/>
              <m:sepChr m:val=""/>
              <m:grow/>
            </m:dPr>
            <m:e>
              <m:r>
                <m:t>x</m:t>
              </m:r>
            </m:e>
          </m:d>
          <m:r>
            <m:rPr>
              <m:sty m:val="p"/>
            </m:rPr>
            <m:t>↓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g</m:t>
        </m:r>
        <m:d>
          <m:dPr>
            <m:begChr m:val="("/>
            <m:endChr m:val=")"/>
            <m:sepChr m:val=""/>
            <m:grow/>
          </m:dPr>
          <m:e>
            <m:r>
              <m:t>μ</m:t>
            </m:r>
          </m:e>
        </m:d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μ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 </w:t>
      </w:r>
      <w:r>
        <w:t xml:space="preserve">and Wilson coefficients having the perturbative asymptotic expansion determined by Yang–Mills renormalization.</w:t>
      </w:r>
    </w:p>
    <w:p>
      <w:pPr>
        <w:pStyle w:val="BodyText"/>
      </w:pPr>
      <w:r>
        <w:rPr>
          <w:bCs/>
          <w:b/>
        </w:rPr>
        <w:t xml:space="preserve">Bridge Lemma B5 (short-distance matching).</w:t>
      </w:r>
      <w:r>
        <w:t xml:space="preserve"> </w:t>
      </w:r>
      <w:r>
        <w:t xml:space="preserve">The renormalized continuum composite fields of B4 obey the Yang–Mills Ward identities and their short-distance Schwinger distributions have the asymptotic-freedom/OPE singular structure fixed by perturbative renormalization. In particular a conserved renormalized stress tensor exists.</w:t>
      </w:r>
    </w:p>
    <w:p>
      <w:pPr>
        <w:pStyle w:val="BodyText"/>
      </w:pPr>
      <w:r>
        <w:t xml:space="preserve">B4 and B5 are the exact operator-theoretic form of the local-field and ultraviolet requirements in the Jaffe–Witten problem statement; they prevent a merely gapped lattice theory from being substituted for four-dimensional quantum Yang–Mills.</w:t>
      </w:r>
    </w:p>
    <w:bookmarkEnd w:id="36"/>
    <w:bookmarkStart w:id="37" w:name="X04db9635e6b096c532c66877395a0d22a1208ce"/>
    <w:p>
      <w:pPr>
        <w:pStyle w:val="Heading1"/>
      </w:pPr>
      <w:r>
        <w:t xml:space="preserve">16. Reflection positivity and passage to the limit</w:t>
      </w:r>
    </w:p>
    <w:p>
      <w:pPr>
        <w:pStyle w:val="FirstParagraph"/>
      </w:pPr>
      <w:r>
        <w:t xml:space="preserve">At finite regulator the Wilson approximation is reflection positive; the heat-kernel formulation exhibits positivity directly through nonnegative character coefficients.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polynomial in positive-time gauge-invariant smeared observables.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Θ</m:t>
          </m:r>
          <m:r>
            <m:t>F</m:t>
          </m:r>
          <m:r>
            <m:rPr>
              <m:sty m:val="p"/>
            </m:rPr>
            <m:t>,</m:t>
          </m:r>
          <m:r>
            <m:t>F</m:t>
          </m:r>
          <m:sSub>
            <m:e>
              <m:r>
                <m:rPr>
                  <m:sty m:val="p"/>
                </m:rPr>
                <m:t>⟩</m:t>
              </m:r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Bridge Lemma B2 gives convergence of every correlator entering this finite quadratic form, 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⟨</m:t>
          </m:r>
          <m:r>
            <m:t>Θ</m:t>
          </m:r>
          <m:r>
            <m:t>F</m:t>
          </m:r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a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limLow>
            <m:e>
              <m:r>
                <m:rPr>
                  <m:sty m:val="p"/>
                </m:rPr>
                <m:t>lim</m:t>
              </m:r>
            </m:e>
            <m:lim>
              <m:r>
                <m:t>L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⟨</m:t>
          </m:r>
          <m:r>
            <m:t>Θ</m:t>
          </m:r>
          <m:r>
            <m:t>F</m:t>
          </m:r>
          <m:r>
            <m:rPr>
              <m:sty m:val="p"/>
            </m:rPr>
            <m:t>,</m:t>
          </m:r>
          <m:r>
            <m:t>F</m:t>
          </m:r>
          <m:sSub>
            <m:e>
              <m:r>
                <m:rPr>
                  <m:sty m:val="p"/>
                </m:rPr>
                <m:t>⟩</m:t>
              </m:r>
            </m:e>
            <m:sub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</m:sub>
          </m:sSub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Therefore reflection positivity is closed under the continuum limit once the Schwinger distributions converge.</w:t>
      </w:r>
    </w:p>
    <w:p>
      <w:pPr>
        <w:pStyle w:val="BodyText"/>
      </w:pPr>
      <w:r>
        <w:t xml:space="preserve">The same argument passes permutation symmetry. Translation invariance passes from the translation-invariant regulators. Full Euclidean rotation invariance requires restoration from the hypercubic subgroup:</w:t>
      </w:r>
    </w:p>
    <w:p>
      <w:pPr>
        <w:pStyle w:val="BodyText"/>
      </w:pPr>
      <w:r>
        <w:rPr>
          <w:bCs/>
          <w:b/>
        </w:rPr>
        <w:t xml:space="preserve">Bridge Lemma C1 (Euclidean restoration).</w:t>
      </w:r>
      <w:r>
        <w:t xml:space="preserve"> </w:t>
      </w:r>
      <w:r>
        <w:t xml:space="preserve">The limiting Schwinger distributions are invariant under</w:t>
      </w:r>
      <w:r>
        <w:t xml:space="preserve"> </w:t>
      </w:r>
      <m:oMath>
        <m:r>
          <m:t>E</m:t>
        </m:r>
        <m:d>
          <m:dPr>
            <m:begChr m:val="("/>
            <m:endChr m:val=")"/>
            <m:sepChr m:val=""/>
            <m:grow/>
          </m:dPr>
          <m:e>
            <m:r>
              <m:t>4</m:t>
            </m:r>
          </m:e>
        </m:d>
      </m:oMath>
      <w:r>
        <w:t xml:space="preserve"> </w:t>
      </w:r>
      <w:r>
        <w:t xml:space="preserve">rather than only the hypercubic subgroup, with all Lorentz-breaking irrelevant operators vanishing under the renormalized trajectory.</w:t>
      </w:r>
    </w:p>
    <w:bookmarkEnd w:id="37"/>
    <w:bookmarkStart w:id="38" w:name="c-osterwalderschrader-reconstruction"/>
    <w:p>
      <w:pPr>
        <w:pStyle w:val="Heading1"/>
      </w:pPr>
      <w:r>
        <w:t xml:space="preserve">17. C: Osterwalder–Schrader reconstruction</w:t>
      </w:r>
    </w:p>
    <w:p>
      <w:pPr>
        <w:pStyle w:val="FirstParagraph"/>
      </w:pPr>
      <w:r>
        <w:t xml:space="preserve">Assume B1–B5 and C1 together with the standard OS regularity bounds. Then the limiting Schwinger family satisfies the reconstruction hypotheses. The OS quotient is formed from positive-time test polynomials by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,</m:t>
                  </m:r>
                  <m:r>
                    <m:t>G</m:t>
                  </m:r>
                </m:e>
              </m:d>
            </m:e>
            <m:sub>
              <m:r>
                <m:t>O</m:t>
              </m:r>
              <m:r>
                <m:t>S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r>
            <m:t>Θ</m:t>
          </m:r>
          <m:r>
            <m:t>F</m:t>
          </m:r>
          <m:r>
            <m:rPr>
              <m:sty m:val="p"/>
            </m:rPr>
            <m:t>,</m:t>
          </m:r>
          <m:r>
            <m:t>G</m:t>
          </m:r>
          <m:r>
            <m:rPr>
              <m:sty m:val="p"/>
            </m:rPr>
            <m:t>⟩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modulo null vectors and completed to a Hilbert space</w:t>
      </w:r>
      <w:r>
        <w:t xml:space="preserve"> </w:t>
      </w:r>
      <m:oMath>
        <m:r>
          <m:rPr>
            <m:sty m:val="p"/>
            <m:scr m:val="script"/>
          </m:rPr>
          <m:t>H</m:t>
        </m:r>
      </m:oMath>
      <w:r>
        <w:t xml:space="preserve">. Euclidean time translations generate a positive contraction semigroup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t</m:t>
              </m:r>
              <m:r>
                <m:t>H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H</m:t>
          </m:r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Spatial translations and rotations continue to unitary operators, analytic continuation produces the Poincaré representation, and the reconstructed local observable fields satisfy the corresponding Wightman-strength axioms.</w:t>
      </w:r>
    </w:p>
    <w:p>
      <w:pPr>
        <w:pStyle w:val="BodyText"/>
      </w:pPr>
      <w:r>
        <w:t xml:space="preserve">Thus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rPr>
                  <m:sty m:val="p"/>
                </m:rPr>
                <m:t>{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sSub>
                <m:e>
                  <m:r>
                    <m:rPr>
                      <m:sty m:val="p"/>
                    </m:rPr>
                    <m:t>}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≥</m:t>
                  </m:r>
                  <m:r>
                    <m:t>0</m:t>
                  </m:r>
                </m:sub>
              </m:sSub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O</m:t>
                  </m:r>
                  <m:r>
                    <m:t>S</m:t>
                  </m:r>
                </m:lim>
              </m:limUp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rPr>
                      <m:sty m:val="p"/>
                      <m:scr m:val="script"/>
                    </m:rP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Ω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μ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  <m:scr m:val="script"/>
                    </m:rPr>
                    <m:t>A</m:t>
                  </m:r>
                </m:e>
              </m:d>
              <m:r>
                <m:rPr>
                  <m:sty m:val="p"/>
                </m:rPr>
                <m:t>.</m:t>
              </m:r>
            </m:e>
          </m:borderBox>
        </m:oMath>
      </m:oMathPara>
    </w:p>
    <w:bookmarkEnd w:id="38"/>
    <w:bookmarkStart w:id="39" w:name="d-spectral-gap-transfer"/>
    <w:p>
      <w:pPr>
        <w:pStyle w:val="Heading1"/>
      </w:pPr>
      <w:r>
        <w:t xml:space="preserve">18. D: spectral-gap transfer</w:t>
      </w:r>
    </w:p>
    <w:p>
      <w:pPr>
        <w:pStyle w:val="FirstParagraph"/>
      </w:pPr>
      <w:r>
        <w:t xml:space="preserve">For a local gauge-invariant observable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⟨</m:t>
        </m:r>
        <m:r>
          <m:t>Ω</m:t>
        </m:r>
        <m:r>
          <m:rPr>
            <m:sty m:val="p"/>
          </m:rPr>
          <m:t>,</m:t>
        </m:r>
        <m:r>
          <m:t>A</m:t>
        </m:r>
        <m:r>
          <m:t>Ω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A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=</m:t>
          </m:r>
          <m:r>
            <m:rPr>
              <m:sty m:val="p"/>
            </m:rPr>
            <m:t>⟨</m:t>
          </m:r>
          <m:r>
            <m:t>Ω</m:t>
          </m:r>
          <m:r>
            <m:rPr>
              <m:sty m:val="p"/>
            </m:rPr>
            <m:t>,</m:t>
          </m:r>
          <m:r>
            <m:t>A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t</m:t>
              </m:r>
              <m:r>
                <m:t>H</m:t>
              </m:r>
            </m:sup>
          </m:sSup>
          <m:r>
            <m:t>A</m:t>
          </m:r>
          <m:r>
            <m:t>Ω</m:t>
          </m:r>
          <m:r>
            <m:rPr>
              <m:sty m:val="p"/>
            </m:rPr>
            <m:t>⟩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E</m:t>
                  </m:r>
                  <m:r>
                    <m:t>t</m:t>
                  </m:r>
                </m:sup>
              </m:sSup>
            </m:e>
          </m:nary>
          <m:r>
            <m:t> </m:t>
          </m:r>
          <m:r>
            <m:t>d</m:t>
          </m:r>
          <m:sSub>
            <m:e>
              <m:r>
                <m:t>ρ</m:t>
              </m:r>
            </m:e>
            <m:sub>
              <m:r>
                <m:t>A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E</m:t>
              </m:r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ρ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 a positive spectral measure.</w:t>
      </w:r>
    </w:p>
    <w:p>
      <w:pPr>
        <w:pStyle w:val="BodyText"/>
      </w:pPr>
      <w:r>
        <w:t xml:space="preserve">If the uniform regulator gap gives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endChr m:val="|"/>
              <m:sepChr m:val=""/>
              <m:grow/>
            </m:dPr>
            <m:e>
              <m:sSubSup>
                <m:e>
                  <m:r>
                    <m:t>C</m:t>
                  </m:r>
                </m:e>
                <m:sub>
                  <m:r>
                    <m:t>A</m:t>
                  </m:r>
                </m:sub>
                <m:sup>
                  <m:d>
                    <m:dPr>
                      <m:begChr m:val="("/>
                      <m:endChr m:val=")"/>
                      <m:sepChr m:val="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sup>
              </m:sSubSup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e>
          </m:d>
          <m:r>
            <m:rPr>
              <m:sty m:val="p"/>
            </m:rPr>
            <m:t>≤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t</m:t>
              </m:r>
            </m:sup>
          </m:sSup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stable under the limits, then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|"/>
              <m:endChr m:val="|"/>
              <m:sepChr m:val=""/>
              <m:grow/>
            </m:dPr>
            <m:e>
              <m:sSub>
                <m:e>
                  <m:r>
                    <m:t>C</m:t>
                  </m:r>
                </m:e>
                <m:sub>
                  <m:r>
                    <m:t>A</m:t>
                  </m:r>
                </m:sub>
              </m:sSub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t</m:t>
                  </m:r>
                </m:e>
              </m:d>
            </m:e>
          </m:d>
          <m:r>
            <m:rPr>
              <m:sty m:val="p"/>
            </m:rPr>
            <m:t>≤</m:t>
          </m:r>
          <m:sSub>
            <m:e>
              <m:r>
                <m:t>C</m:t>
              </m:r>
            </m:e>
            <m:sub>
              <m:r>
                <m:t>A</m:t>
              </m:r>
            </m:sub>
          </m:sSub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t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ρ</m:t>
            </m:r>
          </m:e>
          <m:sub>
            <m:r>
              <m:t>A</m:t>
            </m:r>
          </m:sub>
        </m:sSub>
        <m:d>
          <m:dPr>
            <m:begChr m:val="("/>
            <m:endChr m:val=")"/>
            <m:sepChr m:val=""/>
            <m:grow/>
          </m:dPr>
          <m:e>
            <m:d>
              <m:dPr>
                <m:begChr m:val="["/>
                <m:endChr m:val="]"/>
                <m:sepChr m:val=""/>
                <m:grow/>
              </m:dPr>
              <m:e>
                <m:sSub>
                  <m:e>
                    <m:r>
                      <m:t>E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E</m:t>
                    </m:r>
                  </m:e>
                  <m:sub>
                    <m:r>
                      <m:t>2</m:t>
                    </m:r>
                  </m:sub>
                </m:sSub>
              </m:e>
            </m:d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some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&lt;</m:t>
          </m:r>
          <m:sSub>
            <m:e>
              <m:r>
                <m:t>E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E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&lt;</m:t>
          </m:r>
          <m:sSub>
            <m:e>
              <m:r>
                <m:t>m</m:t>
              </m:r>
            </m:e>
            <m:sub>
              <m:r>
                <m:rPr>
                  <m:sty m:val="p"/>
                </m:rPr>
                <m:t>*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Then positivity implies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A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r>
                <m:t>t</m:t>
              </m:r>
            </m:e>
          </m:d>
          <m:r>
            <m:rPr>
              <m:sty m:val="p"/>
            </m:rPr>
            <m:t>≥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sSub>
                <m:e>
                  <m:r>
                    <m:t>E</m:t>
                  </m:r>
                </m:e>
                <m:sub>
                  <m:r>
                    <m:t>2</m:t>
                  </m:r>
                </m:sub>
              </m:sSub>
              <m:r>
                <m:t>t</m:t>
              </m:r>
            </m:sup>
          </m:sSup>
          <m:sSub>
            <m:e>
              <m:r>
                <m:t>ρ</m:t>
              </m:r>
            </m:e>
            <m:sub>
              <m:r>
                <m:t>A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d>
                <m:dPr>
                  <m:begChr m:val="["/>
                  <m:endChr m:val="]"/>
                  <m:sepChr m:val="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cannot be bounded by</w:t>
      </w:r>
      <w:r>
        <w:t xml:space="preserve"> </w:t>
      </w:r>
      <m:oMath>
        <m:sSub>
          <m:e>
            <m:r>
              <m:t>C</m:t>
            </m:r>
          </m:e>
          <m:sub>
            <m:r>
              <m:t>A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t>t</m:t>
            </m:r>
          </m:sup>
        </m:sSup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 Hence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ρ</m:t>
              </m:r>
            </m:e>
            <m:sub>
              <m:r>
                <m:t>A</m:t>
              </m:r>
            </m:sub>
          </m:sSub>
          <m:d>
            <m:dPr>
              <m:begChr m:val="("/>
              <m:endChr m:val=")"/>
              <m:sepChr m:val=""/>
              <m:grow/>
            </m:dPr>
            <m:e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</m:e>
          </m:d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If local gauge-invariant vectors</w:t>
      </w:r>
      <w:r>
        <w:t xml:space="preserve"> </w:t>
      </w:r>
      <m:oMath>
        <m:r>
          <m:t>A</m:t>
        </m:r>
        <m:r>
          <m:t>Ω</m:t>
        </m:r>
      </m:oMath>
      <w:r>
        <w:t xml:space="preserve"> </w:t>
      </w:r>
      <w:r>
        <w:t xml:space="preserve">are dense in</w:t>
      </w:r>
      <w:r>
        <w:t xml:space="preserve"> </w:t>
      </w:r>
      <m:oMath>
        <m:sSup>
          <m:e>
            <m:r>
              <m:t>Ω</m:t>
            </m:r>
          </m:e>
          <m:sup>
            <m:r>
              <m:rPr>
                <m:sty m:val="p"/>
              </m:rPr>
              <m:t>⊥</m:t>
            </m:r>
          </m:sup>
        </m:sSup>
      </m:oMath>
      <w:r>
        <w:t xml:space="preserve">, then the bounded spectral projection</w:t>
      </w:r>
      <w:r>
        <w:t xml:space="preserve"> </w:t>
      </w:r>
      <m:oMath>
        <m:sSub>
          <m:e>
            <m:r>
              <m:t>1</m:t>
            </m:r>
          </m:e>
          <m:sub>
            <m:d>
              <m:dPr>
                <m:begChr m:val="("/>
                <m:endChr m:val=")"/>
                <m:sepChr m:val=""/>
                <m:grow/>
              </m:dPr>
              <m:e>
                <m:r>
                  <m:t>0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m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</m:sub>
        </m:sSub>
        <m:d>
          <m:dPr>
            <m:begChr m:val="("/>
            <m:endChr m:val=")"/>
            <m:sepChr m:val=""/>
            <m:grow/>
          </m:dPr>
          <m:e>
            <m:r>
              <m:t>H</m:t>
            </m:r>
          </m:e>
        </m:d>
      </m:oMath>
      <w:r>
        <w:t xml:space="preserve"> </w:t>
      </w:r>
      <w:r>
        <w:t xml:space="preserve">vanishes on a dense set and therefore vanishes identically. Thus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rPr>
                  <m:sty m:val="p"/>
                </m:rPr>
                <m:t>Spec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H</m:t>
                  </m:r>
                </m:e>
              </m:d>
              <m:r>
                <m:rPr>
                  <m:sty m:val="p"/>
                </m:rPr>
                <m:t>⊂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∪</m:t>
              </m:r>
              <m:r>
                <m:rPr>
                  <m:sty m:val="p"/>
                </m:rPr>
                <m:t>[</m:t>
              </m:r>
              <m:sSub>
                <m:e>
                  <m:r>
                    <m:t>m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bookmarkEnd w:id="39"/>
    <w:bookmarkStart w:id="40" w:name="X40c668e57f25c0c511dc0a65236c403abcc1ca5"/>
    <w:p>
      <w:pPr>
        <w:pStyle w:val="Heading1"/>
      </w:pPr>
      <w:r>
        <w:t xml:space="preserve">19. Finite upper edge and nontrivial spectral support</w:t>
      </w:r>
    </w:p>
    <w:p>
      <w:pPr>
        <w:pStyle w:val="FirstParagraph"/>
      </w:pPr>
      <w:r>
        <w:t xml:space="preserve">The Jaffe–Witten definition also requires the supremal gap parameter to be finite. It is enough to construct one non-vacuum local state of finite energy. For a compactly supported gauge-invariant local operator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the Hamiltonian form domain,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&lt;</m:t>
          </m:r>
          <m:r>
            <m:rPr>
              <m:sty m:val="p"/>
            </m:rPr>
            <m:t>∥</m:t>
          </m:r>
          <m:d>
            <m:dPr>
              <m:begChr m:val="("/>
              <m:endChr m:val=")"/>
              <m:sepChr m:val=""/>
              <m:grow/>
            </m:dPr>
            <m:e>
              <m:r>
                <m:t>I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0</m:t>
                  </m:r>
                </m:sub>
              </m:sSub>
            </m:e>
          </m:d>
          <m:r>
            <m:t>A</m:t>
          </m:r>
          <m:r>
            <m:t>Ω</m:t>
          </m:r>
          <m:r>
            <m:rPr>
              <m:sty m:val="p"/>
            </m:rPr>
            <m:t>∥</m:t>
          </m:r>
          <m:r>
            <m:rPr>
              <m:sty m:val="p"/>
            </m:rPr>
            <m:t>&lt;</m:t>
          </m:r>
          <m:r>
            <m:rPr>
              <m:sty m:val="p"/>
            </m:rPr>
            <m:t>∞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⟨</m:t>
              </m:r>
              <m:r>
                <m:t>A</m:t>
              </m:r>
              <m:r>
                <m:t>Ω</m:t>
              </m:r>
              <m:r>
                <m:rPr>
                  <m:sty m:val="p"/>
                </m:rPr>
                <m:t>,</m:t>
              </m:r>
              <m:r>
                <m:t>H</m:t>
              </m:r>
              <m:r>
                <m:t>A</m:t>
              </m:r>
              <m:r>
                <m:t>Ω</m:t>
              </m:r>
              <m:r>
                <m:rPr>
                  <m:sty m:val="p"/>
                </m:rPr>
                <m:t>⟩</m:t>
              </m:r>
            </m:num>
            <m:den>
              <m:r>
                <m:rPr>
                  <m:sty m:val="p"/>
                </m:rPr>
                <m:t>∥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P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A</m:t>
              </m:r>
              <m:r>
                <m:t>Ω</m:t>
              </m:r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&lt;</m:t>
          </m:r>
          <m:r>
            <m:rPr>
              <m:sty m:val="p"/>
            </m:rPr>
            <m:t>∞</m:t>
          </m:r>
        </m:oMath>
      </m:oMathPara>
    </w:p>
    <w:p>
      <w:pPr>
        <w:pStyle w:val="FirstParagraph"/>
      </w:pPr>
      <w:r>
        <w:t xml:space="preserve">places spectrum at finite positive energy. The continuum nontriviality lemma B3 supplies the required non-vacuum local sector.</w:t>
      </w:r>
    </w:p>
    <w:bookmarkEnd w:id="40"/>
    <w:bookmarkStart w:id="41" w:name="arbitrary-compact-simple-gauge-group"/>
    <w:p>
      <w:pPr>
        <w:pStyle w:val="Heading1"/>
      </w:pPr>
      <w:r>
        <w:t xml:space="preserve">20. Arbitrary compact simple gauge group</w:t>
      </w:r>
    </w:p>
    <w:p>
      <w:pPr>
        <w:pStyle w:val="FirstParagraph"/>
      </w:pPr>
      <w:r>
        <w:t xml:space="preserve">The argument above is not special to</w:t>
      </w:r>
      <w:r>
        <w:t xml:space="preserve"> </w:t>
      </w:r>
      <m:oMath>
        <m:r>
          <m:t>S</m:t>
        </m:r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</m:e>
        </m:d>
      </m:oMath>
      <w:r>
        <w:t xml:space="preserve"> </w:t>
      </w:r>
      <w:r>
        <w:t xml:space="preserve">at the structural level. For compact simple</w:t>
      </w:r>
      <w:r>
        <w:t xml:space="preserve"> </w:t>
      </w:r>
      <m:oMath>
        <m:r>
          <m:t>G</m:t>
        </m:r>
      </m:oMath>
      <w:r>
        <w:t xml:space="preserve">:</w:t>
      </w:r>
    </w:p>
    <w:p>
      <w:pPr>
        <w:numPr>
          <w:ilvl w:val="0"/>
          <w:numId w:val="1002"/>
        </w:numPr>
        <w:pStyle w:val="Compact"/>
      </w:pPr>
      <w:r>
        <w:t xml:space="preserve">Haar measure exists and is finite.</w:t>
      </w:r>
    </w:p>
    <w:p>
      <w:pPr>
        <w:numPr>
          <w:ilvl w:val="0"/>
          <w:numId w:val="1002"/>
        </w:numPr>
        <w:pStyle w:val="Compact"/>
      </w:pPr>
      <w:r>
        <w:t xml:space="preserve">Peter–Weyl gives</w:t>
      </w:r>
    </w:p>
    <w:p>
      <w:pPr>
        <w:pStyle w:val="Compact"/>
      </w:pPr>
      <m:oMathPara>
        <m:oMathParaPr>
          <m:jc m:val="center"/>
        </m:oMathParaPr>
        <m:oMath>
          <m:sSup>
            <m:e>
              <m:r>
                <m:t>L</m:t>
              </m:r>
            </m:e>
            <m:sup>
              <m:r>
                <m:t>2</m:t>
              </m:r>
            </m:sup>
          </m:sSup>
          <m:d>
            <m:dPr>
              <m:begChr m:val="("/>
              <m:endChr m:val=")"/>
              <m:sepChr m:val=""/>
              <m:grow/>
            </m:dPr>
            <m:e>
              <m:r>
                <m:t>G</m:t>
              </m:r>
            </m:e>
          </m:d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⨁</m:t>
                  </m:r>
                </m:e>
              </m:acc>
            </m:e>
            <m:sub>
              <m:r>
                <m:t>λ</m:t>
              </m:r>
              <m:r>
                <m:rPr>
                  <m:sty m:val="p"/>
                </m:rPr>
                <m:t>∈</m:t>
              </m:r>
              <m:acc>
                <m:accPr>
                  <m:chr m:val="̂"/>
                </m:accPr>
                <m:e>
                  <m:r>
                    <m:t>G</m:t>
                  </m:r>
                </m:e>
              </m:acc>
            </m:sub>
          </m:sSub>
          <m:sSub>
            <m:e>
              <m:r>
                <m:t>V</m:t>
              </m:r>
            </m:e>
            <m:sub>
              <m:r>
                <m:t>λ</m:t>
              </m:r>
            </m:sub>
          </m:sSub>
          <m:r>
            <m:rPr>
              <m:sty m:val="p"/>
            </m:rPr>
            <m:t>⊗</m:t>
          </m:r>
          <m:sSubSup>
            <m:e>
              <m:r>
                <m:t>V</m:t>
              </m:r>
            </m:e>
            <m:sub>
              <m:r>
                <m:t>λ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2"/>
        </w:numPr>
        <w:pStyle w:val="Compact"/>
      </w:pPr>
      <w:r>
        <w:t xml:space="preserve">The Laplace–Casimir eigenvalue obeys</w:t>
      </w:r>
      <w:r>
        <w:t xml:space="preserve"> </w:t>
      </w:r>
      <m:oMath>
        <m:sSub>
          <m:e>
            <m:r>
              <m:t>C</m:t>
            </m:r>
          </m:e>
          <m:sub>
            <m:r>
              <m:t>2</m:t>
            </m:r>
          </m:sub>
        </m:sSub>
        <m:d>
          <m:dPr>
            <m:begChr m:val="("/>
            <m:endChr m:val=")"/>
            <m:sepChr m:val=""/>
            <m:grow/>
          </m:dPr>
          <m:e>
            <m:r>
              <m:t>λ</m:t>
            </m:r>
          </m:e>
        </m:d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 nontrivial irreducible representation.</w:t>
      </w:r>
    </w:p>
    <w:p>
      <w:pPr>
        <w:numPr>
          <w:ilvl w:val="0"/>
          <w:numId w:val="1002"/>
        </w:numPr>
        <w:pStyle w:val="Compact"/>
      </w:pPr>
      <w:r>
        <w:t xml:space="preserve">Heat-kernel character coefficients are positive.</w:t>
      </w:r>
    </w:p>
    <w:p>
      <w:pPr>
        <w:numPr>
          <w:ilvl w:val="0"/>
          <w:numId w:val="1002"/>
        </w:numPr>
        <w:pStyle w:val="Compact"/>
      </w:pPr>
      <w:r>
        <w:t xml:space="preserve">Wilson/character plaquette observables are local and gauge invariant.</w:t>
      </w:r>
    </w:p>
    <w:p>
      <w:pPr>
        <w:numPr>
          <w:ilvl w:val="0"/>
          <w:numId w:val="1002"/>
        </w:numPr>
        <w:pStyle w:val="Compact"/>
      </w:pPr>
      <w:r>
        <w:t xml:space="preserve">The Schur theorem is representation independent.</w:t>
      </w:r>
    </w:p>
    <w:p>
      <w:pPr>
        <w:numPr>
          <w:ilvl w:val="0"/>
          <w:numId w:val="1002"/>
        </w:numPr>
        <w:pStyle w:val="Compact"/>
      </w:pPr>
      <w:r>
        <w:t xml:space="preserve">The OS reconstruction and spectral-transfer arguments are group independent.</w:t>
      </w:r>
    </w:p>
    <w:p>
      <w:pPr>
        <w:pStyle w:val="FirstParagraph"/>
      </w:pPr>
      <w:r>
        <w:t xml:space="preserve">The group-dependent part is therefore concentrated in the uniform RG estimates of Bridge Lemmas A and B2. A complete</w:t>
      </w:r>
      <w:r>
        <w:t xml:space="preserve"> </w:t>
      </w:r>
      <w:r>
        <w:t xml:space="preserve">“</w:t>
      </w:r>
      <w:r>
        <w:t xml:space="preserve">for any compact simple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 </w:t>
      </w:r>
      <w:r>
        <w:t xml:space="preserve">proof supplies those estimates for each compact simple group, with no requirement that the numerical constant</w:t>
      </w:r>
      <w:r>
        <w:t xml:space="preserve"> </w:t>
      </w:r>
      <m:oMath>
        <m:sSub>
          <m:e>
            <m:r>
              <m:t>m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be universal across different groups.</w:t>
      </w:r>
    </w:p>
    <w:bookmarkEnd w:id="41"/>
    <w:bookmarkStart w:id="42" w:name="positivity-bootstrap-cross-check-lane"/>
    <w:p>
      <w:pPr>
        <w:pStyle w:val="Heading1"/>
      </w:pPr>
      <w:r>
        <w:t xml:space="preserve">21. Positivity-bootstrap cross-check lane</w:t>
      </w:r>
    </w:p>
    <w:p>
      <w:pPr>
        <w:pStyle w:val="FirstParagraph"/>
      </w:pPr>
      <w:r>
        <w:t xml:space="preserve">Hermitian positivity, reflection positivity, and Schwinger–Dyson loop equations can be imposed simultaneously on finite sets of Wilson loops. The 2025</w:t>
      </w:r>
      <w:r>
        <w:t xml:space="preserve"> </w:t>
      </w:r>
      <m:oMath>
        <m:r>
          <m:t>S</m:t>
        </m:r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</m:e>
        </m:d>
      </m:oMath>
      <w:r>
        <w:t xml:space="preserve"> </w:t>
      </w:r>
      <w:r>
        <w:t xml:space="preserve">lattice bootstrap literature demonstrates rigorous expectation-value bounds from these constraints in 2D, 3D, and 4D. In this package that machinery is assigned as an independent finite-regulator cross-check lane: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Wilson loop algebra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reflection positivity</m:t>
          </m:r>
          <m:r>
            <m:rPr>
              <m:sty m:val="p"/>
            </m:rPr>
            <m:t>+</m:t>
          </m:r>
          <m:r>
            <m:rPr>
              <m:nor/>
              <m:sty m:val="p"/>
            </m:rPr>
            <m:t>SD equations</m:t>
          </m:r>
          <m:r>
            <m:rPr>
              <m:sty m:val="p"/>
            </m:rPr>
            <m:t>⇒</m:t>
          </m:r>
          <m:r>
            <m:rPr>
              <m:nor/>
              <m:sty m:val="p"/>
            </m:rPr>
            <m:t>certified convex feasible region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natural next use is to bound the renormalized block parameters</w:t>
      </w:r>
      <w:r>
        <w:t xml:space="preserve"> </w:t>
      </w:r>
      <m:oMath>
        <m:d>
          <m:dPr>
            <m:begChr m:val="("/>
            <m:endChr m:val=")"/>
            <m:sepChr m:val=""/>
            <m:grow/>
          </m:dPr>
          <m:e>
            <m:sSub>
              <m:e>
                <m:r>
                  <m:t>η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Δ</m:t>
                </m:r>
              </m:e>
              <m:sub>
                <m:r>
                  <m:t>k</m:t>
                </m:r>
              </m:sub>
            </m:sSub>
          </m:e>
        </m:d>
      </m:oMath>
      <w:r>
        <w:t xml:space="preserve"> </w:t>
      </w:r>
      <w:r>
        <w:t xml:space="preserve">entering Bridge Lemma A rather than merely bound the plaquette expectation.</w:t>
      </w:r>
    </w:p>
    <w:bookmarkEnd w:id="42"/>
    <w:bookmarkStart w:id="43" w:name="machine-verifiable-results"/>
    <w:p>
      <w:pPr>
        <w:pStyle w:val="Heading1"/>
      </w:pPr>
      <w:r>
        <w:t xml:space="preserve">22. Machine-verifiable results</w:t>
      </w:r>
    </w:p>
    <w:p>
      <w:pPr>
        <w:pStyle w:val="FirstParagraph"/>
      </w:pPr>
      <w:r>
        <w:t xml:space="preserve">The package runs the following independent checks:</w:t>
      </w:r>
    </w:p>
    <w:p>
      <w:pPr>
        <w:numPr>
          <w:ilvl w:val="0"/>
          <w:numId w:val="1003"/>
        </w:numPr>
        <w:pStyle w:val="Compact"/>
      </w:pPr>
      <m:oMath>
        <m:r>
          <m:t>S</m:t>
        </m:r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</m:e>
        </m:d>
      </m:oMath>
      <w:r>
        <w:t xml:space="preserve"> </w:t>
      </w:r>
      <w:r>
        <w:t xml:space="preserve">left/right covariance and fundamental Casimir;</w:t>
      </w:r>
    </w:p>
    <w:p>
      <w:pPr>
        <w:numPr>
          <w:ilvl w:val="0"/>
          <w:numId w:val="1003"/>
        </w:numPr>
        <w:pStyle w:val="Compact"/>
      </w:pPr>
      <w:r>
        <w:t xml:space="preserve">exact 18-dimensional finite Gauss-sector construction;</w:t>
      </w:r>
    </w:p>
    <w:p>
      <w:pPr>
        <w:numPr>
          <w:ilvl w:val="0"/>
          <w:numId w:val="1003"/>
        </w:numPr>
        <w:pStyle w:val="Compact"/>
      </w:pPr>
      <w:r>
        <w:t xml:space="preserve">positive interacting finite-workbench block gap;</w:t>
      </w:r>
    </w:p>
    <w:p>
      <w:pPr>
        <w:numPr>
          <w:ilvl w:val="0"/>
          <w:numId w:val="1003"/>
        </w:numPr>
        <w:pStyle w:val="Compact"/>
      </w:pPr>
      <w:r>
        <w:t xml:space="preserve">low-spectrum Feshbach–Schur isospectrality;</w:t>
      </w:r>
    </w:p>
    <w:p>
      <w:pPr>
        <w:numPr>
          <w:ilvl w:val="0"/>
          <w:numId w:val="1003"/>
        </w:numPr>
        <w:pStyle w:val="Compact"/>
      </w:pPr>
      <w:r>
        <w:t xml:space="preserve">exact spectral-parent inequality;</w:t>
      </w:r>
    </w:p>
    <w:p>
      <w:pPr>
        <w:numPr>
          <w:ilvl w:val="0"/>
          <w:numId w:val="1003"/>
        </w:numPr>
        <w:pStyle w:val="Compact"/>
      </w:pPr>
      <w:r>
        <w:t xml:space="preserve">positive self-adjoint transfer matrix and transfer-gap identity;</w:t>
      </w:r>
    </w:p>
    <w:p>
      <w:pPr>
        <w:numPr>
          <w:ilvl w:val="0"/>
          <w:numId w:val="1003"/>
        </w:numPr>
        <w:pStyle w:val="Compact"/>
      </w:pPr>
      <w:r>
        <w:t xml:space="preserve">positive-kernel preservation under coarse pullback;</w:t>
      </w:r>
    </w:p>
    <w:p>
      <w:pPr>
        <w:numPr>
          <w:ilvl w:val="0"/>
          <w:numId w:val="1003"/>
        </w:numPr>
        <w:pStyle w:val="Compact"/>
      </w:pPr>
      <w:r>
        <w:t xml:space="preserve">nonzero gauge-invariant finite spectral weight and exponential spectral bound;</w:t>
      </w:r>
    </w:p>
    <w:p>
      <w:pPr>
        <w:numPr>
          <w:ilvl w:val="0"/>
          <w:numId w:val="1003"/>
        </w:numPr>
        <w:pStyle w:val="Compact"/>
      </w:pPr>
      <w:r>
        <w:t xml:space="preserve">Wilson small-plaquette continuum scaling;</w:t>
      </w:r>
    </w:p>
    <w:p>
      <w:pPr>
        <w:numPr>
          <w:ilvl w:val="0"/>
          <w:numId w:val="1003"/>
        </w:numPr>
        <w:pStyle w:val="Compact"/>
      </w:pPr>
      <w:r>
        <w:t xml:space="preserve">one-loop asymptotically-free trajectory arithmetic;</w:t>
      </w:r>
    </w:p>
    <w:p>
      <w:pPr>
        <w:numPr>
          <w:ilvl w:val="0"/>
          <w:numId w:val="1003"/>
        </w:numPr>
        <w:pStyle w:val="Compact"/>
      </w:pPr>
      <w:r>
        <w:t xml:space="preserve">exact</w:t>
      </w:r>
      <w:r>
        <w:t xml:space="preserve"> </w:t>
      </w:r>
      <m:oMath>
        <m:r>
          <m:t>S</m:t>
        </m:r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</m:e>
        </m:d>
      </m:oMath>
      <w:r>
        <w:t xml:space="preserve"> </w:t>
      </w:r>
      <w:r>
        <w:t xml:space="preserve">Peter–Weyl dimensions and Casimir values;</w:t>
      </w:r>
    </w:p>
    <w:p>
      <w:pPr>
        <w:numPr>
          <w:ilvl w:val="0"/>
          <w:numId w:val="1003"/>
        </w:numPr>
        <w:pStyle w:val="Compact"/>
      </w:pPr>
      <w:r>
        <w:t xml:space="preserve">fundamental tensor-product adjacency graph;</w:t>
      </w:r>
    </w:p>
    <w:p>
      <w:pPr>
        <w:numPr>
          <w:ilvl w:val="0"/>
          <w:numId w:val="1003"/>
        </w:numPr>
        <w:pStyle w:val="Compact"/>
      </w:pPr>
      <w:r>
        <w:t xml:space="preserve">heat-kernel positive coefficients and convolution semigroup coefficients;</w:t>
      </w:r>
    </w:p>
    <w:p>
      <w:pPr>
        <w:numPr>
          <w:ilvl w:val="0"/>
          <w:numId w:val="1003"/>
        </w:numPr>
        <w:pStyle w:val="Compact"/>
      </w:pPr>
      <w:r>
        <w:t xml:space="preserve">4D hypercubic overlap/path-count constants;</w:t>
      </w:r>
    </w:p>
    <w:p>
      <w:pPr>
        <w:numPr>
          <w:ilvl w:val="0"/>
          <w:numId w:val="1003"/>
        </w:numPr>
        <w:pStyle w:val="Compact"/>
      </w:pPr>
      <w:r>
        <w:t xml:space="preserve">quadratic Schur contraction and infinite-step gap-floor certificate.</w:t>
      </w:r>
    </w:p>
    <w:p>
      <w:pPr>
        <w:pStyle w:val="FirstParagraph"/>
      </w:pPr>
      <w:r>
        <w:t xml:space="preserve">The current automated test suite returns</w:t>
      </w:r>
      <w:r>
        <w:t xml:space="preserve"> </w:t>
      </w:r>
      <w:r>
        <w:rPr>
          <w:bCs/>
          <w:b/>
        </w:rPr>
        <w:t xml:space="preserve">10/10 tests passed</w:t>
      </w:r>
      <w:r>
        <w:t xml:space="preserve">. The prior independent finite-block verifier returns</w:t>
      </w:r>
      <w:r>
        <w:t xml:space="preserve"> </w:t>
      </w:r>
      <w:r>
        <w:rPr>
          <w:bCs/>
          <w:b/>
        </w:rPr>
        <w:t xml:space="preserve">11/11 checks passed</w:t>
      </w:r>
      <w:r>
        <w:t xml:space="preserve">.</w:t>
      </w:r>
    </w:p>
    <w:bookmarkEnd w:id="43"/>
    <w:bookmarkStart w:id="44" w:name="jaffewitten-proof-ledger"/>
    <w:p>
      <w:pPr>
        <w:pStyle w:val="Heading1"/>
      </w:pPr>
      <w:r>
        <w:t xml:space="preserve">23. Jaffe–Witten proof ledger</w:t>
      </w:r>
    </w:p>
    <w:p>
      <w:pPr>
        <w:pStyle w:val="FirstParagraph"/>
      </w:pPr>
      <w:r>
        <w:t xml:space="preserve">The machine-readable file</w:t>
      </w:r>
      <w:r>
        <w:t xml:space="preserve"> </w:t>
      </w:r>
      <w:r>
        <w:rPr>
          <w:rStyle w:val="VerbatimChar"/>
        </w:rPr>
        <w:t xml:space="preserve">results/jaffe_witten_obligation_ledger_v4.csv</w:t>
      </w:r>
      <w:r>
        <w:t xml:space="preserve"> </w:t>
      </w:r>
      <w:r>
        <w:t xml:space="preserve">maps every theorem to its dependencies. The shortest remaining</w:t>
      </w:r>
      <w:r>
        <w:t xml:space="preserve"> </w:t>
      </w:r>
      <m:oMath>
        <m:r>
          <m:t>S</m:t>
        </m:r>
        <m:r>
          <m:t>U</m:t>
        </m:r>
        <m:d>
          <m:dPr>
            <m:begChr m:val="("/>
            <m:endChr m:val=")"/>
            <m:sepChr m:val=""/>
            <m:grow/>
          </m:dPr>
          <m:e>
            <m:r>
              <m:t>3</m:t>
            </m:r>
          </m:e>
        </m:d>
      </m:oMath>
      <w:r>
        <w:t xml:space="preserve"> </w:t>
      </w:r>
      <w:r>
        <w:t xml:space="preserve">proof chain is: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m>
                <m:mPr>
                  <m:baseJc m:val="center"/>
                  <m:plcHide m:val="on"/>
                  <m:mcs>
                    <m:mc>
                      <m:mcPr>
                        <m:mcJc m:val="righ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/>
                  <m:e>
                    <m:r>
                      <m:rPr>
                        <m:nor/>
                        <m:sty m:val="p"/>
                      </m:rPr>
                      <m:t>all-field UV RG control</m:t>
                    </m:r>
                  </m:e>
                </m:mr>
                <m:mr>
                  <m:e/>
                  <m:e>
                    <m:r>
                      <m:rPr>
                        <m:sty m:val="p"/>
                      </m:rPr>
                      <m:t>⇓</m:t>
                    </m:r>
                  </m:e>
                </m:mr>
                <m:mr>
                  <m:e/>
                  <m:e>
                    <m:r>
                      <m:rPr>
                        <m:nor/>
                        <m:sty m:val="p"/>
                      </m:rPr>
                      <m:t>entry into the exact Schur gap basin</m:t>
                    </m:r>
                  </m:e>
                </m:mr>
                <m:mr>
                  <m:e/>
                  <m:e>
                    <m:r>
                      <m:rPr>
                        <m:sty m:val="p"/>
                      </m:rPr>
                      <m:t>⇓</m:t>
                    </m:r>
                  </m:e>
                </m:mr>
                <m:mr>
                  <m:e/>
                  <m:e>
                    <m:limLow>
                      <m:e>
                        <m:r>
                          <m:rPr>
                            <m:sty m:val="p"/>
                          </m:rPr>
                          <m:t>inf</m:t>
                        </m:r>
                      </m:e>
                      <m:lim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lim>
                    </m:limLow>
                    <m:r>
                      <m:t>Δ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a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L</m:t>
                        </m:r>
                      </m:e>
                    </m:d>
                    <m:r>
                      <m:rPr>
                        <m:sty m:val="p"/>
                      </m:rPr>
                      <m:t>=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</m:sub>
                    </m:sSub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e>
                </m:mr>
                <m:mr>
                  <m:e/>
                  <m:e>
                    <m:r>
                      <m:rPr>
                        <m:sty m:val="p"/>
                      </m:rPr>
                      <m:t>⇓</m:t>
                    </m:r>
                  </m:e>
                </m:mr>
                <m:mr>
                  <m:e/>
                  <m:e>
                    <m:r>
                      <m:rPr>
                        <m:nor/>
                        <m:sty m:val="p"/>
                      </m:rPr>
                      <m:t>thermodynamic + continuum Schwinger convergence</m:t>
                    </m:r>
                  </m:e>
                </m:mr>
                <m:mr>
                  <m:e/>
                  <m:e>
                    <m:r>
                      <m:rPr>
                        <m:sty m:val="p"/>
                      </m:rPr>
                      <m:t>⇓</m:t>
                    </m:r>
                  </m:e>
                </m:mr>
                <m:mr>
                  <m:e/>
                  <m:e>
                    <m:r>
                      <m:rPr>
                        <m:nor/>
                        <m:sty m:val="p"/>
                      </m:rPr>
                      <m:t>Euclidean symmetry + OS axioms</m:t>
                    </m:r>
                  </m:e>
                </m:mr>
                <m:mr>
                  <m:e/>
                  <m:e>
                    <m:r>
                      <m:rPr>
                        <m:sty m:val="p"/>
                      </m:rPr>
                      <m:t>⇓</m:t>
                    </m:r>
                  </m:e>
                </m:mr>
                <m:mr>
                  <m:e/>
                  <m:e>
                    <m:r>
                      <m:rPr>
                        <m:nor/>
                        <m:sty m:val="p"/>
                      </m:rPr>
                      <m:t>OS reconstruction</m:t>
                    </m:r>
                  </m:e>
                </m:mr>
                <m:mr>
                  <m:e/>
                  <m:e>
                    <m:r>
                      <m:rPr>
                        <m:sty m:val="p"/>
                      </m:rPr>
                      <m:t>⇓</m:t>
                    </m:r>
                  </m:e>
                </m:mr>
                <m:mr>
                  <m:e/>
                  <m:e>
                    <m:r>
                      <m:rPr>
                        <m:sty m:val="p"/>
                      </m:rPr>
                      <m:t>Spec</m:t>
                    </m:r>
                    <m:d>
                      <m:dPr>
                        <m:begChr m:val="("/>
                        <m:endChr m:val=")"/>
                        <m:sepChr m:val=""/>
                        <m:grow/>
                      </m:dPr>
                      <m:e>
                        <m:r>
                          <m:t>H</m:t>
                        </m:r>
                      </m:e>
                    </m:d>
                    <m:r>
                      <m:rPr>
                        <m:sty m:val="p"/>
                      </m:rPr>
                      <m:t>⊂</m:t>
                    </m:r>
                    <m:r>
                      <m:rPr>
                        <m:sty m:val="p"/>
                      </m:rPr>
                      <m:t>{</m:t>
                    </m:r>
                    <m:r>
                      <m:t>0</m:t>
                    </m:r>
                    <m:r>
                      <m:rPr>
                        <m:sty m:val="p"/>
                      </m:rPr>
                      <m:t>}</m:t>
                    </m:r>
                    <m:r>
                      <m:rPr>
                        <m:sty m:val="p"/>
                      </m:rPr>
                      <m:t>∪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m</m:t>
                        </m:r>
                      </m:e>
                      <m:sub>
                        <m:r>
                          <m:rPr>
                            <m:sty m:val="p"/>
                          </m:rPr>
                          <m:t>*</m:t>
                        </m:r>
                      </m:sub>
                    </m:sSub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∞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.</m:t>
                    </m:r>
                  </m:e>
                </m:mr>
              </m:m>
            </m:e>
          </m:borderBox>
        </m:oMath>
      </m:oMathPara>
    </w:p>
    <w:p>
      <w:pPr>
        <w:pStyle w:val="FirstParagraph"/>
      </w:pPr>
      <w:r>
        <w:t xml:space="preserve">The ledger deliberately separates a theorem already proved in the package, a standard theorem invoked from the literature, and a bridge lemma that must be discharged by the UCD/Wilson construction. That separation is part of the proof object: no finite-matrix eigenvalue is silently relabeled as a continuum mass.</w:t>
      </w:r>
    </w:p>
    <w:bookmarkEnd w:id="44"/>
    <w:bookmarkStart w:id="45" w:name="reproducibility"/>
    <w:p>
      <w:pPr>
        <w:pStyle w:val="Heading1"/>
      </w:pPr>
      <w:r>
        <w:t xml:space="preserve">24. Reproducibility</w:t>
      </w:r>
    </w:p>
    <w:p>
      <w:pPr>
        <w:pStyle w:val="FirstParagraph"/>
      </w:pPr>
      <w:r>
        <w:t xml:space="preserve">Install and run:</w:t>
      </w:r>
    </w:p>
    <w:p>
      <w:pPr>
        <w:pStyle w:val="SourceCode"/>
      </w:pP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pip install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requirements.txt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run_all.py</w:t>
      </w:r>
      <w:r>
        <w:br/>
      </w:r>
      <w:r>
        <w:rPr>
          <w:rStyle w:val="ExtensionTok"/>
        </w:rPr>
        <w:t xml:space="preserve">python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pytest </w:t>
      </w:r>
      <w:r>
        <w:rPr>
          <w:rStyle w:val="AttributeTok"/>
        </w:rPr>
        <w:t xml:space="preserve">-q</w:t>
      </w:r>
    </w:p>
    <w:p>
      <w:pPr>
        <w:pStyle w:val="FirstParagraph"/>
      </w:pPr>
      <w:r>
        <w:t xml:space="preserve">The GitHub Actions workflow runs the same verification on each push and pull request. Every release file is hashed in</w:t>
      </w:r>
      <w:r>
        <w:t xml:space="preserve"> </w:t>
      </w:r>
      <w:r>
        <w:rPr>
          <w:rStyle w:val="VerbatimChar"/>
        </w:rPr>
        <w:t xml:space="preserve">MANIFEST.sha256</w:t>
      </w:r>
      <w:r>
        <w:t xml:space="preserve">.</w:t>
      </w:r>
    </w:p>
    <w:bookmarkEnd w:id="45"/>
    <w:bookmarkStart w:id="46" w:name="conclusion"/>
    <w:p>
      <w:pPr>
        <w:pStyle w:val="Heading1"/>
      </w:pPr>
      <w:r>
        <w:t xml:space="preserve">25. Conclusion</w:t>
      </w:r>
    </w:p>
    <w:p>
      <w:pPr>
        <w:pStyle w:val="FirstParagraph"/>
      </w:pPr>
      <w:r>
        <w:t xml:space="preserve">The Jaffe–Witten problem has been converted into an explicit finite dependency graph. The compact-group proof regulator, gauge symmetry, Gauss sector, local Yang–Mills continuum asymptotics, Peter–Weyl finite verification hierarchy, positive Euclidean transfer structure, exact Feshbach–Schur identity, and a quantitative quadratic Schur gap-stability theorem are all written in one common normalization.</w:t>
      </w:r>
    </w:p>
    <w:p>
      <w:pPr>
        <w:pStyle w:val="BodyText"/>
      </w:pPr>
      <w:r>
        <w:t xml:space="preserve">The new quantitative result is the exact summable Schur criterion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sSub>
                <m:e>
                  <m:r>
                    <m:t>Δ</m:t>
                  </m:r>
                </m:e>
                <m:sub>
                  <m:r>
                    <m:rPr>
                      <m:sty m:val="p"/>
                    </m:rPr>
                    <m:t>∞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Δ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sSub>
                    <m:e>
                      <m:r>
                        <m:t>δ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num>
                <m:den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sSub>
                            <m:e>
                              <m:r>
                                <m:t>η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d>
                        <m:dPr>
                          <m:begChr m:val="("/>
                          <m:endChr m:val=")"/>
                          <m:sepChr m:val=""/>
                          <m:grow/>
                        </m:dPr>
                        <m:e>
                          <m:r>
                            <m:t>A</m:t>
                          </m:r>
                          <m:sSub>
                            <m:e>
                              <m:r>
                                <m:t>η</m:t>
                              </m:r>
                            </m:e>
                            <m:sub>
                              <m:r>
                                <m:t>0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sSub>
                            <m:e>
                              <m:r>
                                <m:t>δ</m:t>
                              </m:r>
                            </m:e>
                            <m:sub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b>
                          </m:sSub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</m:e>
          </m:borderBox>
        </m:oMath>
      </m:oMathPara>
    </w:p>
    <w:p>
      <w:pPr>
        <w:pStyle w:val="FirstParagraph"/>
      </w:pPr>
      <w:r>
        <w:t xml:space="preserve">This converts the infrared part of the mass-gap problem into measured/derived block constants. The continuum proof then rests on an equally explicit ultraviolet-to-block bridge and continuum Schwinger convergence estimates. Once those bridge lemmas are discharged, the OS and spectral-transfer sections give the required theory on</w:t>
      </w:r>
      <w:r>
        <w:t xml:space="preserve"> </w:t>
      </w:r>
      <m:oMath>
        <m:sSup>
          <m:e>
            <m:r>
              <m:rPr>
                <m:sty m:val="p"/>
                <m:scr m:val="double-struck"/>
              </m:rPr>
              <m:t>R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borderBox>
            <m:e>
              <m:r>
                <m:rPr>
                  <m:sty m:val="p"/>
                </m:rPr>
                <m:t>Spec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H</m:t>
                  </m:r>
                </m:e>
              </m:d>
              <m:r>
                <m:rPr>
                  <m:sty m:val="p"/>
                </m:rPr>
                <m:t>∩</m:t>
              </m:r>
              <m:d>
                <m:dPr>
                  <m:begChr m:val="("/>
                  <m:endChr m:val=")"/>
                  <m:sepChr m:val="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Δ</m:t>
                  </m:r>
                </m:e>
              </m:d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⌀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Δ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borderBox>
        </m:oMath>
      </m:oMathPara>
    </w:p>
    <w:bookmarkEnd w:id="46"/>
    <w:bookmarkStart w:id="47" w:name="references"/>
    <w:p>
      <w:pPr>
        <w:pStyle w:val="Heading1"/>
      </w:pPr>
      <w:r>
        <w:t xml:space="preserve">References</w:t>
      </w:r>
    </w:p>
    <w:p>
      <w:pPr>
        <w:numPr>
          <w:ilvl w:val="0"/>
          <w:numId w:val="1004"/>
        </w:numPr>
        <w:pStyle w:val="Compact"/>
      </w:pPr>
      <w:r>
        <w:t xml:space="preserve">A. Jaffe and E. Witten,</w:t>
      </w:r>
      <w:r>
        <w:t xml:space="preserve"> </w:t>
      </w:r>
      <w:r>
        <w:rPr>
          <w:iCs/>
          <w:i/>
        </w:rPr>
        <w:t xml:space="preserve">Quantum Yang–Mills Theory</w:t>
      </w:r>
      <w:r>
        <w:t xml:space="preserve">, in</w:t>
      </w:r>
      <w:r>
        <w:t xml:space="preserve"> </w:t>
      </w:r>
      <w:r>
        <w:rPr>
          <w:iCs/>
          <w:i/>
        </w:rPr>
        <w:t xml:space="preserve">The Millennium Prize Problems</w:t>
      </w:r>
      <w:r>
        <w:t xml:space="preserve">, Clay Mathematics Institute / American Mathematical Society.</w:t>
      </w:r>
    </w:p>
    <w:p>
      <w:pPr>
        <w:numPr>
          <w:ilvl w:val="0"/>
          <w:numId w:val="1004"/>
        </w:numPr>
        <w:pStyle w:val="Compact"/>
      </w:pPr>
      <w:r>
        <w:t xml:space="preserve">K. Osterwalder and R. Schrader,</w:t>
      </w:r>
      <w:r>
        <w:t xml:space="preserve"> </w:t>
      </w:r>
      <w:r>
        <w:rPr>
          <w:iCs/>
          <w:i/>
        </w:rPr>
        <w:t xml:space="preserve">Axioms for Euclidean Green’s Functions I</w:t>
      </w:r>
      <w:r>
        <w:t xml:space="preserve">, Communications in Mathematical Physics 31 (1973).</w:t>
      </w:r>
    </w:p>
    <w:p>
      <w:pPr>
        <w:numPr>
          <w:ilvl w:val="0"/>
          <w:numId w:val="1004"/>
        </w:numPr>
        <w:pStyle w:val="Compact"/>
      </w:pPr>
      <w:r>
        <w:t xml:space="preserve">K. Osterwalder and R. Schrader,</w:t>
      </w:r>
      <w:r>
        <w:t xml:space="preserve"> </w:t>
      </w:r>
      <w:r>
        <w:rPr>
          <w:iCs/>
          <w:i/>
        </w:rPr>
        <w:t xml:space="preserve">Axioms for Euclidean Green’s Functions II</w:t>
      </w:r>
      <w:r>
        <w:t xml:space="preserve">, Communications in Mathematical Physics 42 (1975).</w:t>
      </w:r>
    </w:p>
    <w:p>
      <w:pPr>
        <w:numPr>
          <w:ilvl w:val="0"/>
          <w:numId w:val="1004"/>
        </w:numPr>
        <w:pStyle w:val="Compact"/>
      </w:pPr>
      <w:r>
        <w:t xml:space="preserve">K. Osterwalder and E. Seiler,</w:t>
      </w:r>
      <w:r>
        <w:t xml:space="preserve"> </w:t>
      </w:r>
      <w:r>
        <w:rPr>
          <w:iCs/>
          <w:i/>
        </w:rPr>
        <w:t xml:space="preserve">Gauge Field Theories on a Lattice</w:t>
      </w:r>
      <w:r>
        <w:t xml:space="preserve">, Annals of Physics 110 (1978), 440–471.</w:t>
      </w:r>
    </w:p>
    <w:p>
      <w:pPr>
        <w:numPr>
          <w:ilvl w:val="0"/>
          <w:numId w:val="1004"/>
        </w:numPr>
        <w:pStyle w:val="Compact"/>
      </w:pPr>
      <w:r>
        <w:t xml:space="preserve">T. Balaban,</w:t>
      </w:r>
      <w:r>
        <w:t xml:space="preserve"> </w:t>
      </w:r>
      <w:r>
        <w:rPr>
          <w:iCs/>
          <w:i/>
        </w:rPr>
        <w:t xml:space="preserve">Renormalization Group Approach to Lattice Gauge Field Theories I: Generation of Effective Actions in a Small Field Approximation and a Coupling Constant Renormalization in Four Dimensions</w:t>
      </w:r>
      <w:r>
        <w:t xml:space="preserve">, Communications in Mathematical Physics 109 (1987), 249–301.</w:t>
      </w:r>
    </w:p>
    <w:p>
      <w:pPr>
        <w:numPr>
          <w:ilvl w:val="0"/>
          <w:numId w:val="1004"/>
        </w:numPr>
        <w:pStyle w:val="Compact"/>
      </w:pPr>
      <w:r>
        <w:t xml:space="preserve">T. Balaban,</w:t>
      </w:r>
      <w:r>
        <w:t xml:space="preserve"> </w:t>
      </w:r>
      <w:r>
        <w:rPr>
          <w:iCs/>
          <w:i/>
        </w:rPr>
        <w:t xml:space="preserve">Renormalization Group Approach to Lattice Gauge Field Theories II: Cluster Expansions</w:t>
      </w:r>
      <w:r>
        <w:t xml:space="preserve">, Communications in Mathematical Physics 116 (1988), 1–22.</w:t>
      </w:r>
    </w:p>
    <w:p>
      <w:pPr>
        <w:numPr>
          <w:ilvl w:val="0"/>
          <w:numId w:val="1004"/>
        </w:numPr>
        <w:pStyle w:val="Compact"/>
      </w:pPr>
      <w:r>
        <w:t xml:space="preserve">T. Balaban,</w:t>
      </w:r>
      <w:r>
        <w:t xml:space="preserve"> </w:t>
      </w:r>
      <w:r>
        <w:rPr>
          <w:iCs/>
          <w:i/>
        </w:rPr>
        <w:t xml:space="preserve">Convergent Renormalization Expansions for Lattice Gauge Theories</w:t>
      </w:r>
      <w:r>
        <w:t xml:space="preserve">, Communications in Mathematical Physics 119 (1988), 243–285.</w:t>
      </w:r>
    </w:p>
    <w:p>
      <w:pPr>
        <w:numPr>
          <w:ilvl w:val="0"/>
          <w:numId w:val="1004"/>
        </w:numPr>
        <w:pStyle w:val="Compact"/>
      </w:pPr>
      <w:r>
        <w:t xml:space="preserve">T. Balaban,</w:t>
      </w:r>
      <w:r>
        <w:t xml:space="preserve"> </w:t>
      </w:r>
      <w:r>
        <w:rPr>
          <w:iCs/>
          <w:i/>
        </w:rPr>
        <w:t xml:space="preserve">Large Field Renormalization I: The Basic Step of the R Operation</w:t>
      </w:r>
      <w:r>
        <w:t xml:space="preserve">, Communications in Mathematical Physics 122 (1989), 175–202.</w:t>
      </w:r>
    </w:p>
    <w:p>
      <w:pPr>
        <w:numPr>
          <w:ilvl w:val="0"/>
          <w:numId w:val="1004"/>
        </w:numPr>
        <w:pStyle w:val="Compact"/>
      </w:pPr>
      <w:r>
        <w:t xml:space="preserve">T. Balaban,</w:t>
      </w:r>
      <w:r>
        <w:t xml:space="preserve"> </w:t>
      </w:r>
      <w:r>
        <w:rPr>
          <w:iCs/>
          <w:i/>
        </w:rPr>
        <w:t xml:space="preserve">Large Field Renormalization II: Localization, Exponentiation, and Bounds for the R Operation</w:t>
      </w:r>
      <w:r>
        <w:t xml:space="preserve">, Communications in Mathematical Physics 122 (1989), 355–392.</w:t>
      </w:r>
    </w:p>
    <w:p>
      <w:pPr>
        <w:numPr>
          <w:ilvl w:val="0"/>
          <w:numId w:val="1004"/>
        </w:numPr>
        <w:pStyle w:val="Compact"/>
      </w:pPr>
      <w:r>
        <w:t xml:space="preserve">D. A. Yarotsky,</w:t>
      </w:r>
      <w:r>
        <w:t xml:space="preserve"> </w:t>
      </w:r>
      <w:r>
        <w:rPr>
          <w:iCs/>
          <w:i/>
        </w:rPr>
        <w:t xml:space="preserve">Ground States in Relatively Bounded Quantum Perturbations of Classical Lattice Systems</w:t>
      </w:r>
      <w:r>
        <w:t xml:space="preserve">, Communications in Mathematical Physics 261 (2006), 799–819.</w:t>
      </w:r>
    </w:p>
    <w:p>
      <w:pPr>
        <w:numPr>
          <w:ilvl w:val="0"/>
          <w:numId w:val="1004"/>
        </w:numPr>
        <w:pStyle w:val="Compact"/>
      </w:pPr>
      <w:r>
        <w:t xml:space="preserve">M. B. Hastings and T. Koma,</w:t>
      </w:r>
      <w:r>
        <w:t xml:space="preserve"> </w:t>
      </w:r>
      <w:r>
        <w:rPr>
          <w:iCs/>
          <w:i/>
        </w:rPr>
        <w:t xml:space="preserve">Spectral Gap and Exponential Decay of Correlations</w:t>
      </w:r>
      <w:r>
        <w:t xml:space="preserve">, Communications in Mathematical Physics 265 (2006), 781–804.</w:t>
      </w:r>
    </w:p>
    <w:p>
      <w:pPr>
        <w:numPr>
          <w:ilvl w:val="0"/>
          <w:numId w:val="1004"/>
        </w:numPr>
        <w:pStyle w:val="Compact"/>
      </w:pPr>
      <w:r>
        <w:t xml:space="preserve">Y. Guo, Z. Li, G. Yang, and G. Zhu,</w:t>
      </w:r>
      <w:r>
        <w:t xml:space="preserve"> </w:t>
      </w:r>
      <w:r>
        <w:rPr>
          <w:iCs/>
          <w:i/>
        </w:rPr>
        <w:t xml:space="preserve">Bootstrapping SU(3) Lattice Yang–Mills Theory</w:t>
      </w:r>
      <w:r>
        <w:t xml:space="preserve">, JHEP 12 (2025) 033; arXiv:2502.14421.</w:t>
      </w:r>
    </w:p>
    <w:p>
      <w:pPr>
        <w:numPr>
          <w:ilvl w:val="0"/>
          <w:numId w:val="1004"/>
        </w:numPr>
        <w:pStyle w:val="Compact"/>
      </w:pPr>
      <w:r>
        <w:t xml:space="preserve">R. F. Streater and A. S. Wightman,</w:t>
      </w:r>
      <w:r>
        <w:t xml:space="preserve"> </w:t>
      </w:r>
      <w:r>
        <w:rPr>
          <w:iCs/>
          <w:i/>
        </w:rPr>
        <w:t xml:space="preserve">PCT, Spin and Statistics, and All That</w:t>
      </w:r>
      <w:r>
        <w:t xml:space="preserve">, Princeton University Press.</w:t>
      </w:r>
    </w:p>
    <w:p>
      <w:pPr>
        <w:numPr>
          <w:ilvl w:val="0"/>
          <w:numId w:val="1004"/>
        </w:numPr>
        <w:pStyle w:val="Compact"/>
      </w:pPr>
      <w:r>
        <w:t xml:space="preserve">R. Haag,</w:t>
      </w:r>
      <w:r>
        <w:t xml:space="preserve"> </w:t>
      </w:r>
      <w:r>
        <w:rPr>
          <w:iCs/>
          <w:i/>
        </w:rPr>
        <w:t xml:space="preserve">Local Quantum Physics</w:t>
      </w:r>
      <w:r>
        <w:t xml:space="preserve">, Springer.</w:t>
      </w:r>
    </w:p>
    <w:bookmarkEnd w:id="4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UCD Yang–Mills Existence and Mass-Gap Construction</dc:title>
  <dc:creator>Richard Wise</dc:creator>
  <cp:keywords/>
  <dcterms:created xsi:type="dcterms:W3CDTF">2026-09-10T23:42:51Z</dcterms:created>
  <dcterms:modified xsi:type="dcterms:W3CDTF">2026-09-10T23:42:51Z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10 September 2026</vt:lpwstr>
  </property>
  <property fmtid="{D5CDD505-2E9C-101B-9397-08002B2CF9AE}" pid="3" name="fontsize">
    <vt:lpwstr>10pt</vt:lpwstr>
  </property>
  <property fmtid="{D5CDD505-2E9C-101B-9397-08002B2CF9AE}" pid="4" name="geometry">
    <vt:lpwstr>margin=0.9in</vt:lpwstr>
  </property>
  <property fmtid="{D5CDD505-2E9C-101B-9397-08002B2CF9AE}" pid="5" name="subtitle">
    <vt:lpwstr>Jaffe–Witten Specification: Compact-Group Regulator, Exact Schur Renormalization, Reflection Positivity, and Spectral Transfer</vt:lpwstr>
  </property>
</Properties>
</file>