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UCD</w:t>
      </w:r>
      <w:r>
        <w:t xml:space="preserve"> </w:t>
      </w:r>
      <w:r>
        <w:t xml:space="preserve">Yang–Mills</w:t>
      </w:r>
      <w:r>
        <w:t xml:space="preserve"> </w:t>
      </w:r>
      <w:r>
        <w:t xml:space="preserve">Existence</w:t>
      </w:r>
      <w:r>
        <w:t xml:space="preserve"> </w:t>
      </w:r>
      <w:r>
        <w:t xml:space="preserve">and</w:t>
      </w:r>
      <w:r>
        <w:t xml:space="preserve"> </w:t>
      </w:r>
      <w:r>
        <w:t xml:space="preserve">Mass-Gap</w:t>
      </w:r>
      <w:r>
        <w:t xml:space="preserve"> </w:t>
      </w:r>
      <w:r>
        <w:t xml:space="preserve">Construction</w:t>
      </w:r>
    </w:p>
    <w:p>
      <w:pPr>
        <w:pStyle w:val="Subtitle"/>
      </w:pPr>
      <w:r>
        <w:t xml:space="preserve">Jaffe–Witten</w:t>
      </w:r>
      <w:r>
        <w:t xml:space="preserve"> </w:t>
      </w:r>
      <w:r>
        <w:t xml:space="preserve">Specification:</w:t>
      </w:r>
      <w:r>
        <w:t xml:space="preserve"> </w:t>
      </w:r>
      <w:r>
        <w:t xml:space="preserve">Compact-Group</w:t>
      </w:r>
      <w:r>
        <w:t xml:space="preserve"> </w:t>
      </w:r>
      <w:r>
        <w:t xml:space="preserve">Regulator,</w:t>
      </w:r>
      <w:r>
        <w:t xml:space="preserve"> </w:t>
      </w:r>
      <w:r>
        <w:t xml:space="preserve">Exact</w:t>
      </w:r>
      <w:r>
        <w:t xml:space="preserve"> </w:t>
      </w:r>
      <w:r>
        <w:t xml:space="preserve">Schur</w:t>
      </w:r>
      <w:r>
        <w:t xml:space="preserve"> </w:t>
      </w:r>
      <w:r>
        <w:t xml:space="preserve">Renormalization,</w:t>
      </w:r>
      <w:r>
        <w:t xml:space="preserve"> </w:t>
      </w:r>
      <w:r>
        <w:t xml:space="preserve">Reflection</w:t>
      </w:r>
      <w:r>
        <w:t xml:space="preserve"> </w:t>
      </w:r>
      <w:r>
        <w:t xml:space="preserve">Positivity,</w:t>
      </w:r>
      <w:r>
        <w:t xml:space="preserve"> </w:t>
      </w:r>
      <w:r>
        <w:t xml:space="preserve">and</w:t>
      </w:r>
      <w:r>
        <w:t xml:space="preserve"> </w:t>
      </w:r>
      <w:r>
        <w:t xml:space="preserve">Spectral</w:t>
      </w:r>
      <w:r>
        <w:t xml:space="preserve"> </w:t>
      </w:r>
      <w:r>
        <w:t xml:space="preserve">Transfer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Wise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Yang–Mills existence and mass-gap problem requires, for a compact simple gauge group</w:t>
      </w:r>
      <w:r>
        <w:t xml:space="preserve"> </w:t>
      </w:r>
      <m:oMath>
        <m:r>
          <m:t>G</m:t>
        </m:r>
      </m:oMath>
      <w:r>
        <w:t xml:space="preserve">, a nontrivial quantum Yang–Mills theory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with a physical Hamiltonian whose spectrum has a strictly positive interval above the vacuum containing no spectrum. This manuscript places the UCD construction directly into the Jaffe–Witten proof architecture.</w:t>
      </w:r>
    </w:p>
    <w:p>
      <w:pPr>
        <w:pStyle w:val="BodyText"/>
      </w:pPr>
      <w:r>
        <w:t xml:space="preserve">The proof regulator is the standard compact-group lattice gauge system with link Hilbert space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, gauge-invariant plaquette action, positive transfer structure, and independent ultraviolet and thermodynamic limits. For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the Peter–Weyl decomposition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⨁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≥</m:t>
              </m:r>
              <m:r>
                <m:t>0</m:t>
              </m:r>
            </m:sub>
          </m:sSub>
          <m:sSub>
            <m:e>
              <m: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gives a controlled finite-matrix verification hierarchy. The previously constructed 20-dimensional UCD quantum-link block is retained as an independent finite algebraic workbench; it is not substituted for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</m:d>
      </m:oMath>
      <w:r>
        <w:t xml:space="preserve"> </w:t>
      </w:r>
      <w:r>
        <w:t xml:space="preserve">in the continuum proof.</w:t>
      </w:r>
    </w:p>
    <w:p>
      <w:pPr>
        <w:pStyle w:val="BodyText"/>
      </w:pPr>
      <w:r>
        <w:t xml:space="preserve">The manuscript proves an exact quadratic Schur-stability theorem. If the eliminated spectral sector has scale-uniform separation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the local interface norm is</w:t>
      </w:r>
      <w: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t xml:space="preserve">, then exact Feshbach reduction generates no term linear in the eliminated coupling and a local two-step path count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A</m:t>
              </m:r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sSubSup>
            <m:e>
              <m:r>
                <m:t>η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this yields double-exponential contraction and the summable self-energy bound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 an initial spectral gap</w:t>
      </w:r>
      <w: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survives all subsequent exact Schur steps whenever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4-dimensional hypercubic plaquette overlap graph has degree at most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through shared links, giving the conservative ordered two-step path majorant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400</m:t>
        </m:r>
      </m:oMath>
      <w:r>
        <w:t xml:space="preserve">. The executable UCD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block provides a numerical stress certificate for this theorem 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0.3294450611</m:t>
        </m:r>
      </m:oMath>
      <w:r>
        <w:t xml:space="preserve"> </w:t>
      </w:r>
      <w:r>
        <w:t xml:space="preserve">and a positive infinite-step gap floor</w:t>
      </w:r>
      <w:r>
        <w:t xml:space="preserve"> </w:t>
      </w:r>
      <m:oMath>
        <m:r>
          <m:t>0.09985923249</m:t>
        </m:r>
      </m:oMath>
      <w:r>
        <w:t xml:space="preserve"> </w:t>
      </w:r>
      <w:r>
        <w:t xml:space="preserve">in the specified strong-block test point.</w:t>
      </w:r>
    </w:p>
    <w:p>
      <w:pPr>
        <w:pStyle w:val="BodyText"/>
      </w:pPr>
      <w:r>
        <w:t xml:space="preserve">The remaining Jaffe–Witten chain is formulated as explicit lemmas: all-field UV-to-block renormalization control, entrance of the standard Wilson/heat-kernel regulator into the Schur gap basin, convergence and nontriviality of the gauge-invariant Schwinger family, restoration of Euclidean symmetry, Osterwalder–Schrader reconstruction, and spectral-gap transfer. The package includes executable tests, machine-readable proof dependencies, Peter–Weyl truncation data, reflection-positive heat-kernel checks, Wilson continuum scaling, Schur certificates, and independent verification.</w:t>
      </w:r>
    </w:p>
    <w:bookmarkEnd w:id="20"/>
    <w:bookmarkStart w:id="21" w:name="exact-jaffewitten-target"/>
    <w:p>
      <w:pPr>
        <w:pStyle w:val="Heading1"/>
      </w:pPr>
      <w:r>
        <w:t xml:space="preserve">1. Exact Jaffe–Witten target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compact simple Lie group. We seek a quantum gauge theory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with Hilbert space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, vacuum</w:t>
      </w:r>
      <w:r>
        <w:t xml:space="preserve"> </w:t>
      </w:r>
      <m:oMath>
        <m:r>
          <m:t>Ω</m:t>
        </m:r>
      </m:oMath>
      <w:r>
        <w:t xml:space="preserve">, local gauge-invariant observable algebra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, translation generators</w:t>
      </w:r>
      <w:r>
        <w:t xml:space="preserve"> </w:t>
      </w:r>
      <m:oMath>
        <m:sSub>
          <m:e>
            <m:r>
              <m:t>P</m:t>
            </m:r>
          </m:e>
          <m:sub>
            <m:r>
              <m:t>μ</m:t>
            </m:r>
          </m:sub>
        </m:sSub>
      </m:oMath>
      <w:r>
        <w:t xml:space="preserve">, positive Hamiltonian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Spec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∩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e>
          </m:borderBox>
        </m:oMath>
      </m:oMathPara>
    </w:p>
    <w:p>
      <w:pPr>
        <w:pStyle w:val="FirstParagraph"/>
      </w:pPr>
      <w:r>
        <w:t xml:space="preserve">for some finite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construction must satisfy axiomatic properties at least as strong as the Wightman/Osterwalder–Schrader formulations used in the Jaffe–Witten specification. In Euclidean form this means constructing gauge-invariant Schwinger distributions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the positivity, covariance, locality/symmetry, regularity, and clustering properties required for reconstruction.</w:t>
      </w:r>
    </w:p>
    <w:p>
      <w:pPr>
        <w:pStyle w:val="BodyText"/>
      </w:pPr>
      <w:r>
        <w:t xml:space="preserve">We organize the proof as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C</m:t>
              </m:r>
              <m:r>
                <m:rPr>
                  <m:sty m:val="p"/>
                </m:rPr>
                <m:t>⇒</m:t>
              </m:r>
              <m:r>
                <m:t>D</m:t>
              </m:r>
            </m:e>
          </m:borderBox>
        </m:oMath>
      </m:oMathPara>
    </w:p>
    <w:p>
      <w:pPr>
        <w:pStyle w:val="FirstParagraph"/>
      </w:pPr>
      <w:r>
        <w:t xml:space="preserve">with:</w:t>
      </w:r>
    </w:p>
    <w:p>
      <w:pPr>
        <w:pStyle w:val="BodyText"/>
      </w:pPr>
      <w:r>
        <w:rPr>
          <w:bCs/>
          <w:b/>
        </w:rPr>
        <w:t xml:space="preserve">A.</w:t>
      </w:r>
      <w:r>
        <w:t xml:space="preserve"> </w:t>
      </w:r>
      <w:r>
        <w:t xml:space="preserve">a regulator- and volume-uniform positive physical spectral threshold;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existence of a non-Gaussian Euclidean continuum Yang–Mills state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</m:sup>
        </m:sSup>
      </m:oMath>
      <w:r>
        <w:t xml:space="preserve">;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Osterwalder–Schrader reconstruction of the physical relativistic theory;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transfer of the regulator-uniform spectral threshold to the reconstructed Hamiltonian.</w:t>
      </w:r>
    </w:p>
    <w:bookmarkEnd w:id="21"/>
    <w:bookmarkStart w:id="22" w:name="X0717046fb0383a2108f28e05b351b956b70143e"/>
    <w:p>
      <w:pPr>
        <w:pStyle w:val="Heading1"/>
      </w:pPr>
      <w:r>
        <w:t xml:space="preserve">2. Proof regulator: compact-group lattice Yang–Mills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Λ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⊂</m:t>
        </m:r>
        <m:r>
          <m:t>a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be a periodic hypercubic lattice with physical side</w:t>
      </w:r>
      <w:r>
        <w:t xml:space="preserve"> </w:t>
      </w:r>
      <m:oMath>
        <m:r>
          <m:t>L</m:t>
        </m:r>
      </m:oMath>
      <w:r>
        <w:t xml:space="preserve">. Each oriented edge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carries a group element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acc>
              <m:accPr>
                <m:chr m:val="‾"/>
              </m:accPr>
              <m:e>
                <m:r>
                  <m:t>e</m:t>
                </m:r>
              </m:e>
            </m:acc>
          </m:sub>
        </m:sSub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e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The Euclidean lattice configuration space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vertex gauge transformation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↦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sSub>
            <m:e>
              <m:r>
                <m:t>U</m:t>
              </m:r>
            </m:e>
            <m:sub>
              <m:r>
                <m:t>x</m:t>
              </m:r>
              <m:r>
                <m:t>y</m:t>
              </m:r>
            </m:sub>
          </m:sSub>
          <m:sSubSup>
            <m:e>
              <m:r>
                <m:t>g</m:t>
              </m:r>
            </m:e>
            <m:sub>
              <m:r>
                <m:t>y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 oriented plaquette</w:t>
      </w:r>
      <w:r>
        <w:t xml:space="preserve"> </w:t>
      </w:r>
      <m:oMath>
        <m:r>
          <m:t>p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∂</m:t>
              </m:r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↦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sSub>
            <m:e>
              <m:r>
                <m:t>U</m:t>
              </m:r>
            </m:e>
            <m:sub>
              <m:r>
                <m:t>p</m:t>
              </m:r>
            </m:sub>
          </m:sSub>
          <m:sSubSup>
            <m:e>
              <m:r>
                <m:t>g</m:t>
              </m:r>
            </m:e>
            <m:sub>
              <m:r>
                <m:t>x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every class function of</w:t>
      </w:r>
      <w:r>
        <w:t xml:space="preserve"> </w:t>
      </w:r>
      <m:oMath>
        <m:sSub>
          <m:e>
            <m:r>
              <m:t>U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gauge invariant.</w:t>
      </w:r>
    </w:p>
    <w:p>
      <w:pPr>
        <w:pStyle w:val="BodyText"/>
      </w:pPr>
      <w:r>
        <w:t xml:space="preserve">The Wilson action in a unitary representation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β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Re</m:t>
                  </m:r>
                  <m:sSub>
                    <m:e>
                      <m:r>
                        <m:t>χ</m:t>
                      </m:r>
                    </m:e>
                    <m:sub>
                      <m:r>
                        <m:t>R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finite Euclidean measure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μ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sup>
          </m:sSup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e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sSub>
            <m:e>
              <m:r>
                <m:t>U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t>U</m:t>
        </m:r>
      </m:oMath>
      <w:r>
        <w:t xml:space="preserve"> </w:t>
      </w:r>
      <w:r>
        <w:t xml:space="preserve">is normalized Haar measure. Compactness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makes every finite-volume integral well-defined.</w:t>
      </w:r>
    </w:p>
    <w:p>
      <w:pPr>
        <w:pStyle w:val="BodyText"/>
      </w:pPr>
      <w:r>
        <w:t xml:space="preserve">For transfer-positivity arguments one may equivalently use the heat-kernel plaquette weight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λ</m:t>
              </m:r>
              <m:r>
                <m:rPr>
                  <m:sty m:val="p"/>
                </m:rPr>
                <m:t>∈</m:t>
              </m:r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λ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sup>
          </m:sSup>
          <m:sSub>
            <m:e>
              <m:r>
                <m:t>χ</m:t>
              </m:r>
            </m:e>
            <m:sub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whose character coefficients are strictly positive and obey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*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finite collection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and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K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λ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λ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sup>
          </m:sSup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π</m:t>
                      </m:r>
                    </m:e>
                    <m:sub>
                      <m:r>
                        <m:t>λ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  <m:sub>
              <m:r>
                <m:t>H</m:t>
              </m:r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of positive type for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 This is the algebraic core of the positive transfer kernel.</w:t>
      </w:r>
    </w:p>
    <w:bookmarkEnd w:id="22"/>
    <w:bookmarkStart w:id="23" w:name="hamiltonian-regulator-and-gauss-law"/>
    <w:p>
      <w:pPr>
        <w:pStyle w:val="Heading1"/>
      </w:pPr>
      <w:r>
        <w:t xml:space="preserve">3. Hamiltonian regulator and Gauss law</w:t>
      </w:r>
    </w:p>
    <w:p>
      <w:pPr>
        <w:pStyle w:val="FirstParagraph"/>
      </w:pPr>
      <w:r>
        <w:t xml:space="preserve">On a spatial lattice, the link Hilbert space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U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⨂</m:t>
              </m:r>
            </m:e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sub>
          </m:sSub>
          <m:sSup>
            <m:e>
              <m:r>
                <m:t>L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Left and right regular actions implement local color rotations. The gauge-invariant physical space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Λ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ψ</m:t>
          </m:r>
          <m:r>
            <m:rPr>
              <m:sty m:val="p"/>
            </m:rPr>
            <m:t>: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t>ψ</m:t>
          </m:r>
          <m:r>
            <m:rPr>
              <m:sty m:val="p"/>
            </m:rPr>
            <m:t>=</m:t>
          </m:r>
          <m:r>
            <m:t>ψ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Kogut–Susskind-type Hamiltonian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a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</m:sub>
            <m:sup>
              <m:r>
                <m:t>​</m:t>
              </m:r>
            </m:sup>
            <m:e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</m:e>
                <m:sub>
                  <m:r>
                    <m:t>e</m:t>
                  </m:r>
                </m:sub>
              </m:sSub>
            </m:e>
          </m:nary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χ</m:t>
                      </m:r>
                    </m:e>
                    <m:sub>
                      <m:r>
                        <m:t>R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χ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e>
                      </m:d>
                    </m:e>
                  </m:ba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terms are gauge invariant. The electric operator is positive. The magnetic bracket is nonnegative because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χ</m:t>
                </m:r>
              </m:e>
              <m:sub>
                <m:r>
                  <m:t>R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e>
        </m:d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.</w:t>
      </w:r>
    </w:p>
    <w:bookmarkEnd w:id="23"/>
    <w:bookmarkStart w:id="24" w:name="Xa28c455f967e38c2338f845263c0b5e83db722b"/>
    <w:p>
      <w:pPr>
        <w:pStyle w:val="Heading1"/>
      </w:pPr>
      <w:r>
        <w:t xml:space="preserve">4. Peter–Weyl finite verification hierarchy for SU(3)</w:t>
      </w:r>
    </w:p>
    <w:p>
      <w:pPr>
        <w:pStyle w:val="FirstParagraph"/>
      </w:pPr>
      <w:r>
        <w:t xml:space="preserve">The Peter–Weyl theorem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⨁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≥</m:t>
              </m:r>
              <m:r>
                <m:t>0</m:t>
              </m:r>
            </m:sub>
          </m:sSub>
          <m:sSub>
            <m:e>
              <m: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irreducible representation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and quadratic Casimir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q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 the finite Peter–Weyl truncation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⨁</m:t>
              </m:r>
            </m:e>
            <m:sub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≤</m:t>
              </m:r>
              <m:r>
                <m:t>K</m:t>
              </m:r>
            </m:sub>
          </m:sSub>
          <m:sSub>
            <m:e>
              <m: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V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I</m:t>
        </m:r>
      </m:oMath>
      <w:r>
        <w:t xml:space="preserve"> </w:t>
      </w:r>
      <w:r>
        <w:t xml:space="preserve">strongly because the algebraic Peter–Weyl sum is dense. The executable dimensions are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19</m:t>
          </m:r>
          <m:r>
            <m:rPr>
              <m:sty m:val="p"/>
            </m:rPr>
            <m:t>,</m:t>
          </m:r>
          <m:r>
            <m:t>155</m:t>
          </m:r>
          <m:r>
            <m:rPr>
              <m:sty m:val="p"/>
            </m:rPr>
            <m:t>,</m:t>
          </m:r>
          <m:r>
            <m:t>805</m:t>
          </m:r>
          <m:r>
            <m:rPr>
              <m:sty m:val="p"/>
            </m:rPr>
            <m:t>,</m:t>
          </m:r>
          <m:r>
            <m:t>3136</m:t>
          </m:r>
          <m:r>
            <m:rPr>
              <m:sty m:val="p"/>
            </m:rPr>
            <m:t>,</m:t>
          </m:r>
          <m:r>
            <m:t>9996</m:t>
          </m:r>
          <m:r>
            <m:rPr>
              <m:sty m:val="p"/>
            </m:rPr>
            <m:t>,</m:t>
          </m:r>
          <m:r>
            <m:t>27468</m:t>
          </m:r>
          <m:r>
            <m:rPr>
              <m:sty m:val="p"/>
            </m:rPr>
            <m:t>,</m:t>
          </m:r>
          <m:r>
            <m:t>67320</m:t>
          </m:r>
          <m:r>
            <m:rPr>
              <m:sty m:val="p"/>
            </m:rPr>
            <m:t>,</m:t>
          </m:r>
          <m:r>
            <m:t>150645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Multiplication by a fundamental matrix coefficient obeys the exact tensor rule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⊕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⊕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terms of negative Dynkin label omitted. Therefore, on every finite algebraic Peter–Weyl core vector,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t>U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agrees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for all sufficiently large</w:t>
      </w:r>
      <w:r>
        <w:t xml:space="preserve"> </w:t>
      </w:r>
      <m:oMath>
        <m:r>
          <m:t>K</m:t>
        </m:r>
      </m:oMath>
      <w:r>
        <w:t xml:space="preserve">. This gives a finite-matrix verification route to the genuine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</m:d>
      </m:oMath>
      <w:r>
        <w:t xml:space="preserve"> </w:t>
      </w:r>
      <w:r>
        <w:t xml:space="preserve">link regulator.</w:t>
      </w:r>
    </w:p>
    <w:bookmarkEnd w:id="24"/>
    <w:bookmarkStart w:id="25" w:name="ucd-native-refinement-family"/>
    <w:p>
      <w:pPr>
        <w:pStyle w:val="Heading1"/>
      </w:pPr>
      <w:r>
        <w:t xml:space="preserve">5. UCD native refinement family</w:t>
      </w:r>
    </w:p>
    <w:p>
      <w:pPr>
        <w:pStyle w:val="FirstParagraph"/>
      </w:pPr>
      <w:r>
        <w:t xml:space="preserve">The UCD spatial refinement family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Z</m:t>
              </m:r>
            </m:e>
            <m:sub>
              <m:r>
                <m:t>3</m:t>
              </m:r>
              <m:r>
                <m:t> 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</m:sup>
              </m:sSup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  <m:scr m:val="double-struck"/>
                </m:rPr>
                <m:t>Z</m:t>
              </m:r>
            </m:e>
            <m:sub>
              <m:r>
                <m:t>2</m:t>
              </m:r>
              <m:r>
                <m:t> 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</m:sup>
              </m:sSup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  <m:scr m:val="double-struck"/>
                </m:rPr>
                <m:t>Z</m:t>
              </m:r>
            </m:e>
            <m:sub>
              <m:r>
                <m:t>2</m:t>
              </m:r>
              <m:r>
                <m:t> 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</m:sup>
              </m:sSup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*</m:t>
              </m:r>
            </m:sub>
          </m:sSub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parameter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removes the short-distance regulator;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supplies independent thermodynamic enlargement. A fixed physical block of side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contains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executable refinement ledger verifies this identity exactly in dyadic arithmetic for the tested range.</w:t>
      </w:r>
    </w:p>
    <w:p>
      <w:pPr>
        <w:pStyle w:val="BodyText"/>
      </w:pPr>
      <w:r>
        <w:t xml:space="preserve">The finite UCD carrier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504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  <m:scr m:val="double-struck"/>
            </m:rPr>
            <m:t>C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⊗</m:t>
          </m:r>
          <m:r>
            <m:rPr>
              <m:sty m:val="p"/>
              <m:scr m:val="double-struck"/>
            </m:rPr>
            <m:t>C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Dic</m:t>
                  </m:r>
                </m:e>
                <m:sub>
                  <m:r>
                    <m:t>6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has a separately proved ring translation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504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κ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exact Schur inheritance identity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c</m:t>
              </m:r>
              <m:r>
                <m:rPr>
                  <m:sty m:val="p"/>
                </m:rPr>
                <m:t>ℓ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>
                    <m:t>I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H</m:t>
              </m:r>
            </m:e>
            <m:sub>
              <m:r>
                <m:rPr>
                  <m:sty m:val="p"/>
                </m:rPr>
                <m:t>ℓ</m:t>
              </m:r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supplies the finite-registry model for information-preserving elimination. This finite H504 gap is not inserted as the continuum Yang–Mills mass; it supplies algebraic Schur structure and a finite-registry sector.</w:t>
      </w:r>
    </w:p>
    <w:bookmarkEnd w:id="25"/>
    <w:bookmarkStart w:id="26" w:name="local-yangmills-continuum-asymptotics"/>
    <w:p>
      <w:pPr>
        <w:pStyle w:val="Heading1"/>
      </w:pPr>
      <w:r>
        <w:t xml:space="preserve">6. Local Yang–Mills continuum asymptotics</w:t>
      </w:r>
    </w:p>
    <w:p>
      <w:pPr>
        <w:pStyle w:val="FirstParagraph"/>
      </w:pPr>
      <w:r>
        <w:t xml:space="preserve">For a smooth connection, a small plaquette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F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taking the real trace, the linear anti-Hermitian term cancels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ReTr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Tr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F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6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executable constant-color test uses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and verifies that the scaled density tends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Tr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with the expected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remainder in that commuting test.</w:t>
      </w:r>
    </w:p>
    <w:bookmarkEnd w:id="26"/>
    <w:bookmarkStart w:id="27" w:name="X625923b11a1051023e771408875ab8e25c93db7"/>
    <w:p>
      <w:pPr>
        <w:pStyle w:val="Heading1"/>
      </w:pPr>
      <w:r>
        <w:t xml:space="preserve">7. Independent finite quantum-link workbench</w:t>
      </w:r>
    </w:p>
    <w:p>
      <w:pPr>
        <w:pStyle w:val="FirstParagraph"/>
      </w:pPr>
      <w:r>
        <w:t xml:space="preserve">The finite UCD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workbench uses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dim</m:t>
          </m:r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a</m:t>
                  </m:r>
                </m:sup>
              </m:sSubSup>
            </m:e>
          </m:nary>
          <m:sSubSup>
            <m:e>
              <m:r>
                <m:t>c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e>
              <m:r>
                <m:t>c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sSup>
            <m:e>
              <m:r>
                <m:t>R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a</m:t>
                  </m:r>
                </m:sup>
              </m:sSubSup>
            </m:e>
          </m:nary>
          <m:sSubSup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machine verifies left/right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covariance,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L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R</m:t>
                </m:r>
              </m:e>
              <m:sup>
                <m:r>
                  <m:t>b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</m:e>
          </m:nary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sSub>
            <m:e>
              <m:r>
                <m:t>I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t xml:space="preserve">to numerical roundoff. Exact Gauss reduction of one plaquette gives an 18-dimensional gauge-singlet sector.</w:t>
      </w:r>
    </w:p>
    <w:p>
      <w:pPr>
        <w:pStyle w:val="BodyText"/>
      </w:pPr>
      <w:r>
        <w:t xml:space="preserve">The finite interacting diagnostic Hamiltonian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rPr>
                  <m:sty m:val="p"/>
                </m:rPr>
                <m:t>;</m:t>
              </m:r>
              <m:sSub>
                <m:e>
                  <m:r>
                    <m:t>L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b>
                <m:e>
                  <m:r>
                    <m:t>L</m:t>
                  </m:r>
                </m:e>
                <m:sub>
                  <m:r>
                    <m:t>B</m:t>
                  </m:r>
                </m:sub>
              </m:sSub>
            </m:den>
          </m:f>
          <m:sSub>
            <m:e>
              <m:r>
                <m:t>Q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L</m:t>
                  </m:r>
                </m:e>
                <m:sub>
                  <m:r>
                    <m:t>B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λ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B</m:t>
                  </m:r>
                </m:sub>
              </m:sSub>
            </m:den>
          </m:f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block is used to test Schur, spectral-parent, transfer-matrix, and contraction machinery. The continuum proof regulator remains the compact-group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system of Sections 2–4.</w:t>
      </w:r>
    </w:p>
    <w:bookmarkEnd w:id="27"/>
    <w:bookmarkStart w:id="28" w:name="exact-feshbachschur-theorem"/>
    <w:p>
      <w:pPr>
        <w:pStyle w:val="Heading1"/>
      </w:pPr>
      <w:r>
        <w:t xml:space="preserve">8. Exact Feshbach–Schur theorem</w:t>
      </w:r>
    </w:p>
    <w:p>
      <w:pPr>
        <w:pStyle w:val="FirstParagraph"/>
      </w:pPr>
      <w:r>
        <w:t xml:space="preserve">Let a self-adjoint operator be decomposed by complementary projections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E</m:t>
        </m:r>
      </m:oMath>
      <w:r>
        <w:t xml:space="preserve"> </w:t>
      </w:r>
      <w:r>
        <w:t xml:space="preserve">is invertible,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−</m:t>
          </m:r>
          <m:r>
            <m:t>B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B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∈</m:t>
          </m:r>
          <m:r>
            <m:rPr>
              <m:sty m:val="p"/>
            </m:rPr>
            <m:t>Spec</m:t>
          </m:r>
          <m:sSub>
            <m:e>
              <m:r>
                <m:t>F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⇔</m:t>
          </m:r>
          <m:r>
            <m:t>E</m:t>
          </m:r>
          <m:r>
            <m:rPr>
              <m:sty m:val="p"/>
            </m:rPr>
            <m:t>∈</m:t>
          </m:r>
          <m:r>
            <m:rPr>
              <m:sty m:val="p"/>
            </m:rPr>
            <m:t>Spec</m:t>
          </m:r>
          <m:r>
            <m:t>H</m:t>
          </m:r>
        </m:oMath>
      </m:oMathPara>
    </w:p>
    <w:p>
      <w:pPr>
        <w:pStyle w:val="FirstParagraph"/>
      </w:pPr>
      <w:r>
        <w:t xml:space="preserve">away from</w:t>
      </w:r>
      <w:r>
        <w:t xml:space="preserve"> </w:t>
      </w:r>
      <m:oMath>
        <m:r>
          <m:rPr>
            <m:sty m:val="p"/>
          </m:rPr>
          <m:t>Spec</m:t>
        </m:r>
        <m:r>
          <m:t>D</m:t>
        </m:r>
      </m:oMath>
      <w:r>
        <w:t xml:space="preserve">. Moreover, if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≥</m:t>
          </m:r>
          <m:r>
            <m:t>δ</m:t>
          </m:r>
          <m:r>
            <m:t>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∥</m:t>
              </m:r>
              <m:r>
                <m:t>B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δ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correction is exactly quadratic in the retained–eliminated coupling</w:t>
      </w:r>
      <w:r>
        <w:t xml:space="preserve"> </w:t>
      </w:r>
      <m:oMath>
        <m:r>
          <m:t>B</m:t>
        </m:r>
      </m:oMath>
      <w:r>
        <w:t xml:space="preserve">. There is no first-order Schur self-energy term.</w:t>
      </w:r>
    </w:p>
    <w:p>
      <w:pPr>
        <w:pStyle w:val="BodyText"/>
      </w:pPr>
      <w:r>
        <w:t xml:space="preserve">The finite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workbench verifies the four lowest full eigenvalues against their energy-dependent Schur operators with maximum residual</w:t>
      </w:r>
      <w:r>
        <w:t xml:space="preserve"> </w:t>
      </w:r>
      <m:oMath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bookmarkEnd w:id="28"/>
    <w:bookmarkStart w:id="29" w:name="quadratic-schur-contraction-theorem"/>
    <w:p>
      <w:pPr>
        <w:pStyle w:val="Heading1"/>
      </w:pPr>
      <w:r>
        <w:t xml:space="preserve">9. Quadratic Schur contraction theorem</w:t>
      </w:r>
    </w:p>
    <w:p>
      <w:pPr>
        <w:pStyle w:val="FirstParagraph"/>
      </w:pPr>
      <w:r>
        <w:t xml:space="preserve">Consider a sequence of exact block eliminations. At scale</w:t>
      </w:r>
      <w:r>
        <w:t xml:space="preserve"> </w:t>
      </w:r>
      <m:oMath>
        <m:r>
          <m:t>k</m:t>
        </m:r>
      </m:oMath>
      <w:r>
        <w:t xml:space="preserve">, absorb the complete</w:t>
      </w:r>
      <w:r>
        <w:t xml:space="preserve"> </w:t>
      </w:r>
      <m:oMath>
        <m:r>
          <m:t>P</m:t>
        </m:r>
        <m:r>
          <m:t>H</m:t>
        </m:r>
        <m:r>
          <m:t>P</m:t>
        </m:r>
      </m:oMath>
      <w:r>
        <w:t xml:space="preserve"> </w:t>
      </w:r>
      <w:r>
        <w:t xml:space="preserve">term into the next retained Hamiltonian and write the remaining retained–eliminated coupling as a sum of local interface operators whose local interaction norm is at most</w:t>
      </w:r>
      <w: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Assume:</w:t>
      </w:r>
    </w:p>
    <w:p>
      <w:pPr>
        <w:numPr>
          <w:ilvl w:val="0"/>
          <w:numId w:val="1001"/>
        </w:numPr>
        <w:pStyle w:val="Compact"/>
      </w:pPr>
      <w:r>
        <w:t xml:space="preserve">the eliminated sector in the spectral window is separated by</w:t>
      </w:r>
    </w:p>
    <w:p>
      <w:pPr>
        <w:pStyle w:val="Compac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</m:e>
          </m:d>
          <m:r>
            <m:t>Q</m:t>
          </m:r>
          <m:r>
            <m:rPr>
              <m:sty m:val="p"/>
            </m:rPr>
            <m:t>≥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t>Q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r>
          <m:t>k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a retained local cell participates in at most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ordered two-step paths through one eliminated cell;</w:t>
      </w:r>
    </w:p>
    <w:p>
      <w:pPr>
        <w:numPr>
          <w:ilvl w:val="0"/>
          <w:numId w:val="1001"/>
        </w:numPr>
        <w:pStyle w:val="Compact"/>
      </w:pPr>
      <w:r>
        <w:t xml:space="preserve">the next-scale residual interaction norm is defined by summing the norms of local Schur-generated paths touching a fixed retained cell.</w:t>
      </w:r>
    </w:p>
    <w:p>
      <w:pPr>
        <w:pStyle w:val="FirstParagraph"/>
      </w:pPr>
      <w:r>
        <w:t xml:space="preserve">Then each two-step term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B</m:t>
              </m:r>
            </m:e>
            <m:sub>
              <m:r>
                <m:t>Y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  <m:r>
                    <m:t>Q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Sup>
            <m:e>
              <m:r>
                <m:t>B</m:t>
              </m:r>
            </m:e>
            <m:sub>
              <m:r>
                <m:t>Z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Sup>
                <m:e>
                  <m:r>
                    <m:t>η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 most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such ordered paths contribute.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η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den>
              </m:f>
              <m:sSubSup>
                <m:e>
                  <m:r>
                    <m:t>η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sup>
              </m:sSubSup>
            </m:e>
          </m:borderBox>
        </m:oMath>
      </m:oMathPara>
    </w:p>
    <w:p>
      <w:pPr>
        <w:pStyle w:val="FirstParagraph"/>
      </w:pPr>
      <w:r>
        <w:t xml:space="preserve">and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num>
            <m:den>
              <m:r>
                <m:t>A</m:t>
              </m:r>
            </m:den>
          </m:f>
          <m:sSubSup>
            <m:e>
              <m:r>
                <m:t>x</m:t>
              </m:r>
            </m:e>
            <m:sub>
              <m:r>
                <m:t>0</m:t>
              </m:r>
            </m:sub>
            <m:sup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k</m:t>
        </m:r>
      </m:oMath>
      <w:r>
        <w:t xml:space="preserve">th self-energy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Sup>
                <m:e>
                  <m:r>
                    <m:t>η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sSubSup>
            <m:e>
              <m:r>
                <m:t>x</m:t>
              </m:r>
            </m:e>
            <m:sub>
              <m:r>
                <m:t>0</m:t>
              </m:r>
            </m:sub>
            <m:sup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≥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sup>
              </m:sSubSup>
            </m:e>
          </m:nary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j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ϵ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By Weyl’s inequality, a perturbation of operator norm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moves each of the two lowest spectral edges by at most</w:t>
      </w:r>
      <w:r>
        <w:t xml:space="preserve"> </w:t>
      </w:r>
      <m:oMath>
        <m:r>
          <m:t>ϵ</m:t>
        </m:r>
      </m:oMath>
      <w:r>
        <w:t xml:space="preserve">, so the gap decreases by at most</w:t>
      </w:r>
      <w:r>
        <w:t xml:space="preserve"> </w:t>
      </w:r>
      <m:oMath>
        <m:r>
          <m:t>2</m:t>
        </m:r>
        <m:r>
          <m:t>ϵ</m:t>
        </m:r>
      </m:oMath>
      <w:r>
        <w:t xml:space="preserve">. Thus an initial gap</w:t>
      </w:r>
      <w: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regulator-step-independent sufficient criterion for gap survival through an exact Schur tower.</w:t>
      </w:r>
    </w:p>
    <w:bookmarkEnd w:id="29"/>
    <w:bookmarkStart w:id="30" w:name="four-dimensional-local-path-constant"/>
    <w:p>
      <w:pPr>
        <w:pStyle w:val="Heading1"/>
      </w:pPr>
      <w:r>
        <w:t xml:space="preserve">10. Four-dimensional local path constant</w:t>
      </w:r>
    </w:p>
    <w:p>
      <w:pPr>
        <w:pStyle w:val="FirstParagraph"/>
      </w:pPr>
      <w:r>
        <w:t xml:space="preserve">On a 4-dimensional hypercubic lattice, a link belongs to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plaquettes. Fix one plaquette. Each of its four boundary links is shared with five other plaquettes. Distinct edge-sharing neighboring plaquettes therefore number at most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ordered Schur path retained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eliminated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retained is bounded by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400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deliberately a path-count majorant; additional cancellations can only reduce it.</w:t>
      </w:r>
    </w:p>
    <w:p>
      <w:pPr>
        <w:pStyle w:val="BodyText"/>
      </w:pPr>
      <w:r>
        <w:t xml:space="preserve">For the finite quantum-link stress point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machine obtains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0.09998915391358655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0.0703125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170.74167028648398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 conservative invariant target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85.37083514324199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0.32944506110089744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ϵ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6.496071390629655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0.09985923248577395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corresponding separation floor is</w:t>
      </w:r>
    </w:p>
    <w:p>
      <w:pPr>
        <w:pStyle w:val="BodyText"/>
      </w:pPr>
      <m:oMathPara>
        <m:oMathParaPr>
          <m:jc m:val="center"/>
        </m:oMathParaPr>
        <m:oMath>
          <m:r>
            <m:t>170.74154036505618</m:t>
          </m:r>
          <m:r>
            <m:rPr>
              <m:sty m:val="p"/>
            </m:rPr>
            <m:t>&gt;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hence the assumed half-separation is self-consistent for this abstract Schur tower.</w:t>
      </w:r>
    </w:p>
    <w:bookmarkEnd w:id="30"/>
    <w:bookmarkStart w:id="31" w:name="X7f02118d9f778233bc5e59dbe7c90e168d8cae8"/>
    <w:p>
      <w:pPr>
        <w:pStyle w:val="Heading1"/>
      </w:pPr>
      <w:r>
        <w:t xml:space="preserve">11. Strong-coupling gap basin for the standard compact-group Hamiltonian</w:t>
      </w:r>
    </w:p>
    <w:p>
      <w:pPr>
        <w:pStyle w:val="FirstParagraph"/>
      </w:pPr>
      <w:r>
        <w:t xml:space="preserve">For the genuine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Hamiltonian, split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unperturbed electric operator is a sum of independent positive group Laplacians. By Peter–Weyl,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V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⊗</m:t>
              </m:r>
              <m:sSubSup>
                <m:e>
                  <m:r>
                    <m:t>V</m:t>
                  </m:r>
                </m:e>
                <m:sub>
                  <m:r>
                    <m:t>λ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compact simple</w:t>
      </w:r>
      <w:r>
        <w:t xml:space="preserve"> </w:t>
      </w:r>
      <m:oMath>
        <m:r>
          <m:t>G</m:t>
        </m:r>
      </m:oMath>
      <w:r>
        <w:t xml:space="preserve">, every nontrivial irreducible representation has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product electric vacuum is unique and has a local spectral gap. The magnetic plaquette term is a bounded finite-range perturbation because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χ</m:t>
                </m:r>
              </m:e>
              <m:sub>
                <m:r>
                  <m:t>R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e>
        </m:d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. Standard relatively-bounded perturbation theorems for gapped lattice systems therefore give a volume-independent gapped phase whenever the local magnetic interaction is sufficiently small relative to the electric gap. For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the dimensionless local scale ratio behaves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∥</m:t>
              </m:r>
            </m:num>
            <m:den>
              <m:sSub>
                <m:e>
                  <m:r>
                    <m:t>Δ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≲</m:t>
          </m:r>
          <m:f>
            <m:fPr>
              <m:type m:val="bar"/>
            </m:fPr>
            <m:num>
              <m:r>
                <m:t>9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large-</w:t>
      </w:r>
      <m:oMath>
        <m:r>
          <m:t>g</m:t>
        </m:r>
      </m:oMath>
      <w:r>
        <w:t xml:space="preserve"> </w:t>
      </w:r>
      <w:r>
        <w:t xml:space="preserve">region lies in a rigorous gapped strong-coupling basin.</w:t>
      </w:r>
    </w:p>
    <w:p>
      <w:pPr>
        <w:pStyle w:val="BodyText"/>
      </w:pPr>
      <w:r>
        <w:t xml:space="preserve">The purpose of Sections 8–10 is to give a UCD-native exact Schur mechanism for maintaining such a basin under subsequent coarse elimination, with explicit summable error control.</w:t>
      </w:r>
    </w:p>
    <w:bookmarkEnd w:id="31"/>
    <w:bookmarkStart w:id="32" w:name="Xecf360c2dc5d407c02cdc46f17d77fb15a0993b"/>
    <w:p>
      <w:pPr>
        <w:pStyle w:val="Heading1"/>
      </w:pPr>
      <w:r>
        <w:t xml:space="preserve">12. Ultraviolet asymptotic freedom and renormalized trajectory</w:t>
      </w:r>
    </w:p>
    <w:p>
      <w:pPr>
        <w:pStyle w:val="FirstParagraph"/>
      </w:pPr>
      <w:r>
        <w:t xml:space="preserve">For pure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f>
            <m:fPr>
              <m:type m:val="bar"/>
            </m:fPr>
            <m:num>
              <m:r>
                <m:t>d</m:t>
              </m:r>
              <m:r>
                <m:t>g</m:t>
              </m:r>
            </m:num>
            <m:den>
              <m:r>
                <m:t>d</m:t>
              </m:r>
              <m:r>
                <m:t>μ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sSup>
            <m:e>
              <m:r>
                <m:t>g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t>5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  <m:r>
                <m:t>N</m:t>
              </m:r>
            </m:num>
            <m:den>
              <m:r>
                <m:t>48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0.0696583137541</m:t>
          </m:r>
          <m:r>
            <m:rPr>
              <m:sty m:val="p"/>
            </m:rPr>
            <m:t>…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one loop, fixing a block coupling</w:t>
      </w:r>
      <w:r>
        <w:t xml:space="preserve"> </w:t>
      </w:r>
      <m:oMath>
        <m:sSub>
          <m:e>
            <m:r>
              <m:t>g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at physical scale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g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r>
            <m:t>2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→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executable trajectory verifies the algebraic round-trip relation to machine precision. Balaban’s four-dimensional small-field renormalization construction provides rigorous localized effective actions and coupling-constant renormalization in the weak-coupling ultraviolet regime. The complete Jaffe–Witten bridge is the all-field continuation from that ultraviolet regime into a fixed-physical-scale gapped basin with constants uniform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t xml:space="preserve">We isolate that step as the following lemma.</w:t>
      </w:r>
    </w:p>
    <w:p>
      <w:pPr>
        <w:pStyle w:val="BodyText"/>
      </w:pPr>
      <w:r>
        <w:rPr>
          <w:bCs/>
          <w:b/>
        </w:rPr>
        <w:t xml:space="preserve">Bridge Lemma A (UV-to-gap-basin).</w:t>
      </w:r>
      <w:r>
        <w:t xml:space="preserve"> </w:t>
      </w:r>
      <w:r>
        <w:t xml:space="preserve">There exist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and regulator couplings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 the exact gauge-invariant Wilson/heat-kernel RG map to scale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produces an effective Hamiltonian satisfying the hypotheses of Theorem 9 with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thermodynamic volume, with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Once Bridge Lemma A is established, Theorem 9 produces a regulator- and volume-uniform positive spectral threshold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32"/>
    <w:bookmarkStart w:id="33" w:name="a-regulator-uniform-mass-gap"/>
    <w:p>
      <w:pPr>
        <w:pStyle w:val="Heading1"/>
      </w:pPr>
      <w:r>
        <w:t xml:space="preserve">13. A: regulator-uniform mass gap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sub>
        </m:sSub>
      </m:oMath>
      <w:r>
        <w:t xml:space="preserve"> </w:t>
      </w:r>
      <w:r>
        <w:t xml:space="preserve">be the finite-volume vacuum projection. Under Bridge Lemma A and the exact Schur contraction theorem,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*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with one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independent of sufficiently small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sufficiently large</w:t>
      </w:r>
      <w:r>
        <w:t xml:space="preserve"> </w:t>
      </w:r>
      <m:oMath>
        <m:r>
          <m:t>L</m:t>
        </m:r>
      </m:oMath>
      <w:r>
        <w:t xml:space="preserve">.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limLow>
                <m:e>
                  <m:r>
                    <m:rPr>
                      <m:sty m:val="p"/>
                    </m:rPr>
                    <m:t>inf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e>
              </m:d>
              <m:r>
                <m:rPr>
                  <m:sty m:val="p"/>
                </m:rPr>
                <m:t>≥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precisely the form of uniform finite-volume gap singled out in the Jaffe–Witten discussion as the spectral input needed for the thermodynamic construction.</w:t>
      </w:r>
    </w:p>
    <w:bookmarkEnd w:id="33"/>
    <w:bookmarkStart w:id="34" w:name="b-infinite-volume-local-state"/>
    <w:p>
      <w:pPr>
        <w:pStyle w:val="Heading1"/>
      </w:pPr>
      <w:r>
        <w:t xml:space="preserve">14. B: infinite-volume local state</w:t>
      </w:r>
    </w:p>
    <w:p>
      <w:pPr>
        <w:pStyle w:val="FirstParagraph"/>
      </w:pPr>
      <w:r>
        <w:t xml:space="preserve">For a bounded gauge-invariant observable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supported in a fixed compact physical region</w:t>
      </w:r>
      <w:r>
        <w:t xml:space="preserve"> </w:t>
      </w:r>
      <m:oMath>
        <m:r>
          <m:t>K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,</m:t>
          </m:r>
          <m:r>
            <m:t>A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volume-uniform gap and finite-range locality give exponential decay of connected correlations in the Hamiltonian lattice theory. The required thermodynamic theorem is:</w:t>
      </w:r>
    </w:p>
    <w:p>
      <w:pPr>
        <w:pStyle w:val="BodyText"/>
      </w:pPr>
      <w:r>
        <w:rPr>
          <w:bCs/>
          <w:b/>
        </w:rPr>
        <w:t xml:space="preserve">Bridge Lemma B1 (thermodynamic uniqueness and convergence).</w:t>
      </w:r>
      <w:r>
        <w:t xml:space="preserve"> </w:t>
      </w:r>
      <w:r>
        <w:t xml:space="preserve">For each sufficiently small</w:t>
      </w:r>
      <w:r>
        <w:t xml:space="preserve"> </w:t>
      </w:r>
      <m:oMath>
        <m:r>
          <m:t>a</m:t>
        </m:r>
      </m:oMath>
      <w:r>
        <w:t xml:space="preserve">, the local expectations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converge as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independently of boundary conditions compatible with the vacuum phase, and the limit obeys a uniform exponential clustering estimate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quasi-local algebra is the norm closure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⋐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lim>
              </m:limLow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e>
          </m:ba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thermodynamic state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positive and normalized by construction.</w:t>
      </w:r>
    </w:p>
    <w:bookmarkEnd w:id="34"/>
    <w:bookmarkStart w:id="35" w:name="b-continuum-schwinger-family"/>
    <w:p>
      <w:pPr>
        <w:pStyle w:val="Heading1"/>
      </w:pPr>
      <w:r>
        <w:t xml:space="preserve">15. B: continuum Schwinger family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O</m:t>
            </m:r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be renormalized gauge-invariant local composite observables smeared with test functions. Define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n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  <m:scr m:val="script"/>
                    </m:rPr>
                    <m:t>O</m:t>
                  </m:r>
                </m:e>
                <m:sub>
                  <m:r>
                    <m:t>1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⋯</m:t>
              </m:r>
              <m:sSubSup>
                <m:e>
                  <m:r>
                    <m:rPr>
                      <m:sty m:val="p"/>
                      <m:scr m:val="script"/>
                    </m:rPr>
                    <m:t>O</m:t>
                  </m:r>
                </m:e>
                <m:sub>
                  <m:r>
                    <m:t>n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continuum construction requires scale-dependent field/operator renormalizations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  <m:scr m:val="script"/>
              </m:rP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and counterterms fixed by gauge-invariant renormalization conditions.</w:t>
      </w:r>
    </w:p>
    <w:p>
      <w:pPr>
        <w:pStyle w:val="BodyText"/>
      </w:pPr>
      <w:r>
        <w:rPr>
          <w:bCs/>
          <w:b/>
        </w:rPr>
        <w:t xml:space="preserve">Bridge Lemma B2 (continuum convergence).</w:t>
      </w:r>
      <w:r>
        <w:t xml:space="preserve"> </w:t>
      </w:r>
      <w:r>
        <w:t xml:space="preserve">For every finite collection of gauge-invariant local test observables, the renormalized distributions converge in</w:t>
      </w:r>
      <w:r>
        <w:t xml:space="preserve"> </w:t>
      </w:r>
      <m:oMath>
        <m:r>
          <m:rPr>
            <m:sty m:val="p"/>
            <m:scr m:val="script"/>
          </m:rPr>
          <m:t>S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R</m:t>
                </m:r>
              </m:e>
              <m:sup>
                <m:r>
                  <m:t>4</m:t>
                </m:r>
                <m:r>
                  <m:t>n</m:t>
                </m:r>
              </m:sup>
            </m:sSup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a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bSup>
            <m:e>
              <m:r>
                <m:t>S</m:t>
              </m:r>
            </m:e>
            <m:sub>
              <m:r>
                <m:t>n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bounds are uniform on bounded sets of Schwartz test functions and compatible with the exponential clustering constant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Bridge Lemma B3 (nontriviality).</w:t>
      </w:r>
      <w:r>
        <w:t xml:space="preserve"> </w:t>
      </w:r>
      <w:r>
        <w:t xml:space="preserve">At least one connected gauge-invariant continuum distribution is nonzero, equivalently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n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≢</m:t>
          </m:r>
          <m:r>
            <m:t>0</m:t>
          </m:r>
        </m:oMath>
      </m:oMathPara>
    </w:p>
    <w:p>
      <w:pPr>
        <w:pStyle w:val="FirstParagraph"/>
      </w:pPr>
      <w:r>
        <w:t xml:space="preserve">for some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or another equivalent non-Gaussian observable criterion holds.</w:t>
      </w:r>
    </w:p>
    <w:p>
      <w:pPr>
        <w:pStyle w:val="BodyText"/>
      </w:pPr>
      <w:r>
        <w:t xml:space="preserve">The finite workbench already contains nonzero connected Wilson spectral weight; B3 is its continuum persistence statement.</w:t>
      </w:r>
    </w:p>
    <w:bookmarkEnd w:id="35"/>
    <w:bookmarkStart w:id="36" w:name="X04db9635e6b096c532c66877395a0d22a1208ce"/>
    <w:p>
      <w:pPr>
        <w:pStyle w:val="Heading1"/>
      </w:pPr>
      <w:r>
        <w:t xml:space="preserve">16. Reflection positivity and passage to the limit</w:t>
      </w:r>
    </w:p>
    <w:p>
      <w:pPr>
        <w:pStyle w:val="FirstParagraph"/>
      </w:pPr>
      <w:r>
        <w:t xml:space="preserve">At finite regulator the Wilson approximation is reflection positive; the heat-kernel formulation exhibits positivity directly through nonnegative character coefficients.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polynomial in positive-time gauge-invariant smeared observables.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Θ</m:t>
          </m:r>
          <m:r>
            <m:t>F</m:t>
          </m:r>
          <m:r>
            <m:rPr>
              <m:sty m:val="p"/>
            </m:rPr>
            <m:t>,</m:t>
          </m:r>
          <m:r>
            <m:t>F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Bridge Lemma B2 gives convergence of every correlator entering this finite quadratic form,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Θ</m:t>
          </m:r>
          <m:r>
            <m:t>F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a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limLow>
            <m:e>
              <m:r>
                <m:rPr>
                  <m:sty m:val="p"/>
                </m:rPr>
                <m:t>lim</m:t>
              </m:r>
            </m:e>
            <m:lim>
              <m: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⟨</m:t>
          </m:r>
          <m:r>
            <m:t>Θ</m:t>
          </m:r>
          <m:r>
            <m:t>F</m:t>
          </m:r>
          <m:r>
            <m:rPr>
              <m:sty m:val="p"/>
            </m:rPr>
            <m:t>,</m:t>
          </m:r>
          <m:r>
            <m:t>F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reflection positivity is closed under the continuum limit once the Schwinger distributions converge.</w:t>
      </w:r>
    </w:p>
    <w:p>
      <w:pPr>
        <w:pStyle w:val="BodyText"/>
      </w:pPr>
      <w:r>
        <w:t xml:space="preserve">The same argument passes permutation symmetry. Translation invariance passes from the translation-invariant regulators. Full Euclidean rotation invariance requires restoration from the hypercubic subgroup:</w:t>
      </w:r>
    </w:p>
    <w:p>
      <w:pPr>
        <w:pStyle w:val="BodyText"/>
      </w:pPr>
      <w:r>
        <w:rPr>
          <w:bCs/>
          <w:b/>
        </w:rPr>
        <w:t xml:space="preserve">Bridge Lemma C1 (Euclidean restoration).</w:t>
      </w:r>
      <w:r>
        <w:t xml:space="preserve"> </w:t>
      </w:r>
      <w:r>
        <w:t xml:space="preserve">The limiting Schwinger distributions are invariant under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rather than only the hypercubic subgroup, with all Lorentz-breaking irrelevant operators vanishing under the renormalized trajectory.</w:t>
      </w:r>
    </w:p>
    <w:bookmarkEnd w:id="36"/>
    <w:bookmarkStart w:id="37" w:name="c-osterwalderschrader-reconstruction"/>
    <w:p>
      <w:pPr>
        <w:pStyle w:val="Heading1"/>
      </w:pPr>
      <w:r>
        <w:t xml:space="preserve">17. C: Osterwalder–Schrader reconstruction</w:t>
      </w:r>
    </w:p>
    <w:p>
      <w:pPr>
        <w:pStyle w:val="FirstParagraph"/>
      </w:pPr>
      <w:r>
        <w:t xml:space="preserve">Assume B1–B3 and C1 together with the standard OS regularity bounds. Then the limiting Schwinger family satisfies the reconstruction hypotheses. The OS quotient is formed from positive-time test polynomials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</m:e>
            <m:sub>
              <m:r>
                <m:t>O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Θ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modulo null vectors and completed to a Hilbert space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. Euclidean time translations generate a positive contraction semigroup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t>H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Spatial translations and rotations continue to unitary operators, analytic continuation produces the Poincaré representation, and the reconstructed local observable fields satisfy the corresponding Wightman-strength axioms.</w:t>
      </w:r>
    </w:p>
    <w:p>
      <w:pPr>
        <w:pStyle w:val="BodyText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{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O</m:t>
                  </m:r>
                  <m:r>
                    <m:t>S</m:t>
                  </m:r>
                </m:lim>
              </m:limUp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Ω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  <m:scr m:val="script"/>
                    </m:rPr>
                    <m:t>A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bookmarkEnd w:id="37"/>
    <w:bookmarkStart w:id="38" w:name="d-spectral-gap-transfer"/>
    <w:p>
      <w:pPr>
        <w:pStyle w:val="Heading1"/>
      </w:pPr>
      <w:r>
        <w:t xml:space="preserve">18. D: spectral-gap transfer</w:t>
      </w:r>
    </w:p>
    <w:p>
      <w:pPr>
        <w:pStyle w:val="FirstParagraph"/>
      </w:pPr>
      <w:r>
        <w:t xml:space="preserve">For a local gauge-invariant observable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⟨</m:t>
        </m:r>
        <m:r>
          <m:t>Ω</m:t>
        </m:r>
        <m:r>
          <m:rPr>
            <m:sty m:val="p"/>
          </m:rPr>
          <m:t>,</m:t>
        </m:r>
        <m:r>
          <m:t>A</m:t>
        </m:r>
        <m:r>
          <m:t>Ω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Ω</m:t>
          </m:r>
          <m:r>
            <m:rPr>
              <m:sty m:val="p"/>
            </m:rPr>
            <m:t>,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t>H</m:t>
              </m:r>
            </m:sup>
          </m:sSup>
          <m:r>
            <m:t>A</m:t>
          </m:r>
          <m:r>
            <m:t>Ω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sSub>
            <m:e>
              <m:r>
                <m:t>ρ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 positive spectral measure.</w:t>
      </w:r>
    </w:p>
    <w:p>
      <w:pPr>
        <w:pStyle w:val="BodyText"/>
      </w:pPr>
      <w:r>
        <w:t xml:space="preserve">If the uniform regulator gap gives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stable under the limits, then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some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positivity implies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≥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sup>
          </m:sSup>
          <m:sSub>
            <m:e>
              <m:r>
                <m:t>ρ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bounded by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local gauge-invariant vectors</w:t>
      </w:r>
      <w:r>
        <w:t xml:space="preserve"> </w:t>
      </w:r>
      <m:oMath>
        <m:r>
          <m:t>A</m:t>
        </m:r>
        <m:r>
          <m:t>Ω</m:t>
        </m:r>
      </m:oMath>
      <w:r>
        <w:t xml:space="preserve"> </w:t>
      </w:r>
      <w:r>
        <w:t xml:space="preserve">are dense in</w:t>
      </w:r>
      <w:r>
        <w:t xml:space="preserve"> </w:t>
      </w:r>
      <m:oMath>
        <m:sSup>
          <m:e>
            <m:r>
              <m:t>Ω</m:t>
            </m:r>
          </m:e>
          <m:sup>
            <m:r>
              <m:rPr>
                <m:sty m:val="p"/>
              </m:rPr>
              <m:t>⊥</m:t>
            </m:r>
          </m:sup>
        </m:sSup>
      </m:oMath>
      <w:r>
        <w:t xml:space="preserve">, then the bounded spectral projection</w:t>
      </w:r>
      <w:r>
        <w:t xml:space="preserve"> </w:t>
      </w:r>
      <m:oMath>
        <m:sSub>
          <m:e>
            <m:r>
              <m:t>1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vanishes on a dense set and therefore vanishes identically. Thus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Spec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38"/>
    <w:bookmarkStart w:id="39" w:name="X40c668e57f25c0c511dc0a65236c403abcc1ca5"/>
    <w:p>
      <w:pPr>
        <w:pStyle w:val="Heading1"/>
      </w:pPr>
      <w:r>
        <w:t xml:space="preserve">19. Finite upper edge and nontrivial spectral support</w:t>
      </w:r>
    </w:p>
    <w:p>
      <w:pPr>
        <w:pStyle w:val="FirstParagraph"/>
      </w:pPr>
      <w:r>
        <w:t xml:space="preserve">The Jaffe–Witten definition also requires the supremal gap parameter to be finite. It is enough to construct one non-vacuum local state of finite energy. For a compactly supported gauge-invariant local operator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Hamiltonian form domain,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d>
          <m:r>
            <m:t>A</m:t>
          </m:r>
          <m:r>
            <m:t>Ω</m:t>
          </m:r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r>
                <m:t>A</m:t>
              </m:r>
              <m:r>
                <m:t>Ω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A</m:t>
              </m:r>
              <m:r>
                <m:t>Ω</m:t>
              </m:r>
              <m:r>
                <m:rPr>
                  <m:sty m:val="p"/>
                </m:rPr>
                <m:t>⟩</m:t>
              </m:r>
            </m:num>
            <m:den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A</m:t>
              </m:r>
              <m:r>
                <m:t>Ω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places spectrum at finite positive energy. The continuum nontriviality lemma B3 supplies the required non-vacuum local sector.</w:t>
      </w:r>
    </w:p>
    <w:bookmarkEnd w:id="39"/>
    <w:bookmarkStart w:id="40" w:name="arbitrary-compact-simple-gauge-group"/>
    <w:p>
      <w:pPr>
        <w:pStyle w:val="Heading1"/>
      </w:pPr>
      <w:r>
        <w:t xml:space="preserve">20. Arbitrary compact simple gauge group</w:t>
      </w:r>
    </w:p>
    <w:p>
      <w:pPr>
        <w:pStyle w:val="FirstParagraph"/>
      </w:pPr>
      <w:r>
        <w:t xml:space="preserve">The argument above is not special to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at the structural level. For compact simple</w:t>
      </w:r>
      <w:r>
        <w:t xml:space="preserve"> </w:t>
      </w:r>
      <m:oMath>
        <m:r>
          <m:t>G</m:t>
        </m:r>
      </m:oMath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Haar measure exists and is finite.</w:t>
      </w:r>
    </w:p>
    <w:p>
      <w:pPr>
        <w:numPr>
          <w:ilvl w:val="0"/>
          <w:numId w:val="1002"/>
        </w:numPr>
        <w:pStyle w:val="Compact"/>
      </w:pPr>
      <w:r>
        <w:t xml:space="preserve">Peter–Weyl gives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⨁</m:t>
                  </m:r>
                </m:e>
              </m:acc>
            </m:e>
            <m:sub>
              <m:r>
                <m:t>λ</m:t>
              </m:r>
              <m:r>
                <m:rPr>
                  <m:sty m:val="p"/>
                </m:rPr>
                <m:t>∈</m:t>
              </m:r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sub>
          </m:sSub>
          <m:sSub>
            <m:e>
              <m:r>
                <m:t>V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t>V</m:t>
              </m:r>
            </m:e>
            <m:sub>
              <m:r>
                <m:t>λ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The Laplace–Casimir eigenvalue obeys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nontrivial irreducible representation.</w:t>
      </w:r>
    </w:p>
    <w:p>
      <w:pPr>
        <w:numPr>
          <w:ilvl w:val="0"/>
          <w:numId w:val="1002"/>
        </w:numPr>
        <w:pStyle w:val="Compact"/>
      </w:pPr>
      <w:r>
        <w:t xml:space="preserve">Heat-kernel character coefficients are positive.</w:t>
      </w:r>
    </w:p>
    <w:p>
      <w:pPr>
        <w:numPr>
          <w:ilvl w:val="0"/>
          <w:numId w:val="1002"/>
        </w:numPr>
        <w:pStyle w:val="Compact"/>
      </w:pPr>
      <w:r>
        <w:t xml:space="preserve">Wilson/character plaquette observables are local and gauge invariant.</w:t>
      </w:r>
    </w:p>
    <w:p>
      <w:pPr>
        <w:numPr>
          <w:ilvl w:val="0"/>
          <w:numId w:val="1002"/>
        </w:numPr>
        <w:pStyle w:val="Compact"/>
      </w:pPr>
      <w:r>
        <w:t xml:space="preserve">The Schur theorem is representation independent.</w:t>
      </w:r>
    </w:p>
    <w:p>
      <w:pPr>
        <w:numPr>
          <w:ilvl w:val="0"/>
          <w:numId w:val="1002"/>
        </w:numPr>
        <w:pStyle w:val="Compact"/>
      </w:pPr>
      <w:r>
        <w:t xml:space="preserve">The OS reconstruction and spectral-transfer arguments are group independent.</w:t>
      </w:r>
    </w:p>
    <w:p>
      <w:pPr>
        <w:pStyle w:val="FirstParagraph"/>
      </w:pPr>
      <w:r>
        <w:t xml:space="preserve">The group-dependent part is therefore concentrated in the uniform RG estimates of Bridge Lemmas A and B2. A complete</w:t>
      </w:r>
      <w:r>
        <w:t xml:space="preserve"> </w:t>
      </w:r>
      <w:r>
        <w:t xml:space="preserve">“</w:t>
      </w:r>
      <w:r>
        <w:t xml:space="preserve">for any compact simple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 </w:t>
      </w:r>
      <w:r>
        <w:t xml:space="preserve">proof supplies those estimates for each compact simple group, with no requirement that the numerical constant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be universal across different groups.</w:t>
      </w:r>
    </w:p>
    <w:bookmarkEnd w:id="40"/>
    <w:bookmarkStart w:id="41" w:name="positivity-bootstrap-cross-check-lane"/>
    <w:p>
      <w:pPr>
        <w:pStyle w:val="Heading1"/>
      </w:pPr>
      <w:r>
        <w:t xml:space="preserve">21. Positivity-bootstrap cross-check lane</w:t>
      </w:r>
    </w:p>
    <w:p>
      <w:pPr>
        <w:pStyle w:val="FirstParagraph"/>
      </w:pPr>
      <w:r>
        <w:t xml:space="preserve">Hermitian positivity, reflection positivity, and Schwinger–Dyson loop equations can be imposed simultaneously on finite sets of Wilson loops. The 2025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lattice bootstrap literature demonstrates rigorous expectation-value bounds from these constraints in 2D, 3D, and 4D. In this package that machinery is assigned as an independent finite-regulator cross-check lane: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Wilson loop algebra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reflection positivity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SD equations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certified convex feasible region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natural next use is to bound the renormalized block parameters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η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entering Bridge Lemma A rather than merely bound the plaquette expectation.</w:t>
      </w:r>
    </w:p>
    <w:bookmarkEnd w:id="41"/>
    <w:bookmarkStart w:id="42" w:name="machine-verifiable-results"/>
    <w:p>
      <w:pPr>
        <w:pStyle w:val="Heading1"/>
      </w:pPr>
      <w:r>
        <w:t xml:space="preserve">22. Machine-verifiable results</w:t>
      </w:r>
    </w:p>
    <w:p>
      <w:pPr>
        <w:pStyle w:val="FirstParagraph"/>
      </w:pPr>
      <w:r>
        <w:t xml:space="preserve">The package runs the following independent checks:</w:t>
      </w:r>
    </w:p>
    <w:p>
      <w:pPr>
        <w:numPr>
          <w:ilvl w:val="0"/>
          <w:numId w:val="1003"/>
        </w:numPr>
        <w:pStyle w:val="Compact"/>
      </w:pP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left/right covariance and fundamental Casimir;</w:t>
      </w:r>
    </w:p>
    <w:p>
      <w:pPr>
        <w:numPr>
          <w:ilvl w:val="0"/>
          <w:numId w:val="1003"/>
        </w:numPr>
        <w:pStyle w:val="Compact"/>
      </w:pPr>
      <w:r>
        <w:t xml:space="preserve">exact 18-dimensional finite Gauss-sector construction;</w:t>
      </w:r>
    </w:p>
    <w:p>
      <w:pPr>
        <w:numPr>
          <w:ilvl w:val="0"/>
          <w:numId w:val="1003"/>
        </w:numPr>
        <w:pStyle w:val="Compact"/>
      </w:pPr>
      <w:r>
        <w:t xml:space="preserve">positive interacting finite-workbench block gap;</w:t>
      </w:r>
    </w:p>
    <w:p>
      <w:pPr>
        <w:numPr>
          <w:ilvl w:val="0"/>
          <w:numId w:val="1003"/>
        </w:numPr>
        <w:pStyle w:val="Compact"/>
      </w:pPr>
      <w:r>
        <w:t xml:space="preserve">low-spectrum Feshbach–Schur isospectrality;</w:t>
      </w:r>
    </w:p>
    <w:p>
      <w:pPr>
        <w:numPr>
          <w:ilvl w:val="0"/>
          <w:numId w:val="1003"/>
        </w:numPr>
        <w:pStyle w:val="Compact"/>
      </w:pPr>
      <w:r>
        <w:t xml:space="preserve">exact spectral-parent inequality;</w:t>
      </w:r>
    </w:p>
    <w:p>
      <w:pPr>
        <w:numPr>
          <w:ilvl w:val="0"/>
          <w:numId w:val="1003"/>
        </w:numPr>
        <w:pStyle w:val="Compact"/>
      </w:pPr>
      <w:r>
        <w:t xml:space="preserve">positive self-adjoint transfer matrix and transfer-gap identity;</w:t>
      </w:r>
    </w:p>
    <w:p>
      <w:pPr>
        <w:numPr>
          <w:ilvl w:val="0"/>
          <w:numId w:val="1003"/>
        </w:numPr>
        <w:pStyle w:val="Compact"/>
      </w:pPr>
      <w:r>
        <w:t xml:space="preserve">positive-kernel preservation under coarse pullback;</w:t>
      </w:r>
    </w:p>
    <w:p>
      <w:pPr>
        <w:numPr>
          <w:ilvl w:val="0"/>
          <w:numId w:val="1003"/>
        </w:numPr>
        <w:pStyle w:val="Compact"/>
      </w:pPr>
      <w:r>
        <w:t xml:space="preserve">nonzero gauge-invariant finite spectral weight and exponential spectral bound;</w:t>
      </w:r>
    </w:p>
    <w:p>
      <w:pPr>
        <w:numPr>
          <w:ilvl w:val="0"/>
          <w:numId w:val="1003"/>
        </w:numPr>
        <w:pStyle w:val="Compact"/>
      </w:pPr>
      <w:r>
        <w:t xml:space="preserve">Wilson small-plaquette continuum scaling;</w:t>
      </w:r>
    </w:p>
    <w:p>
      <w:pPr>
        <w:numPr>
          <w:ilvl w:val="0"/>
          <w:numId w:val="1003"/>
        </w:numPr>
        <w:pStyle w:val="Compact"/>
      </w:pPr>
      <w:r>
        <w:t xml:space="preserve">one-loop asymptotically-free trajectory arithmetic;</w:t>
      </w:r>
    </w:p>
    <w:p>
      <w:pPr>
        <w:numPr>
          <w:ilvl w:val="0"/>
          <w:numId w:val="1003"/>
        </w:numPr>
        <w:pStyle w:val="Compact"/>
      </w:pPr>
      <w:r>
        <w:t xml:space="preserve">exact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Peter–Weyl dimensions and Casimir values;</w:t>
      </w:r>
    </w:p>
    <w:p>
      <w:pPr>
        <w:numPr>
          <w:ilvl w:val="0"/>
          <w:numId w:val="1003"/>
        </w:numPr>
        <w:pStyle w:val="Compact"/>
      </w:pPr>
      <w:r>
        <w:t xml:space="preserve">fundamental tensor-product adjacency graph;</w:t>
      </w:r>
    </w:p>
    <w:p>
      <w:pPr>
        <w:numPr>
          <w:ilvl w:val="0"/>
          <w:numId w:val="1003"/>
        </w:numPr>
        <w:pStyle w:val="Compact"/>
      </w:pPr>
      <w:r>
        <w:t xml:space="preserve">heat-kernel positive coefficients and convolution semigroup coefficients;</w:t>
      </w:r>
    </w:p>
    <w:p>
      <w:pPr>
        <w:numPr>
          <w:ilvl w:val="0"/>
          <w:numId w:val="1003"/>
        </w:numPr>
        <w:pStyle w:val="Compact"/>
      </w:pPr>
      <w:r>
        <w:t xml:space="preserve">4D hypercubic overlap/path-count constants;</w:t>
      </w:r>
    </w:p>
    <w:p>
      <w:pPr>
        <w:numPr>
          <w:ilvl w:val="0"/>
          <w:numId w:val="1003"/>
        </w:numPr>
        <w:pStyle w:val="Compact"/>
      </w:pPr>
      <w:r>
        <w:t xml:space="preserve">quadratic Schur contraction and infinite-step gap-floor certificate.</w:t>
      </w:r>
    </w:p>
    <w:p>
      <w:pPr>
        <w:pStyle w:val="FirstParagraph"/>
      </w:pPr>
      <w:r>
        <w:t xml:space="preserve">The current automated test suite returns</w:t>
      </w:r>
      <w:r>
        <w:t xml:space="preserve"> </w:t>
      </w:r>
      <w:r>
        <w:rPr>
          <w:bCs/>
          <w:b/>
        </w:rPr>
        <w:t xml:space="preserve">10/10 tests passed</w:t>
      </w:r>
      <w:r>
        <w:t xml:space="preserve">. The prior independent finite-block verifier returns</w:t>
      </w:r>
      <w:r>
        <w:t xml:space="preserve"> </w:t>
      </w:r>
      <w:r>
        <w:rPr>
          <w:bCs/>
          <w:b/>
        </w:rPr>
        <w:t xml:space="preserve">11/11 checks passed</w:t>
      </w:r>
      <w:r>
        <w:t xml:space="preserve">.</w:t>
      </w:r>
    </w:p>
    <w:bookmarkEnd w:id="42"/>
    <w:bookmarkStart w:id="43" w:name="jaffewitten-proof-ledger"/>
    <w:p>
      <w:pPr>
        <w:pStyle w:val="Heading1"/>
      </w:pPr>
      <w:r>
        <w:t xml:space="preserve">23. Jaffe–Witten proof ledger</w:t>
      </w:r>
    </w:p>
    <w:p>
      <w:pPr>
        <w:pStyle w:val="FirstParagraph"/>
      </w:pPr>
      <w:r>
        <w:t xml:space="preserve">The machine-readable file</w:t>
      </w:r>
      <w:r>
        <w:t xml:space="preserve"> </w:t>
      </w:r>
      <w:r>
        <w:rPr>
          <w:rStyle w:val="VerbatimChar"/>
        </w:rPr>
        <w:t xml:space="preserve">results/jaffe_witten_obligation_ledger_v4.csv</w:t>
      </w:r>
      <w:r>
        <w:t xml:space="preserve"> </w:t>
      </w:r>
      <w:r>
        <w:t xml:space="preserve">maps every theorem to its dependencies. The shortest remaining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proof chain is: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r>
                      <m:rPr>
                        <m:nor/>
                        <m:sty m:val="p"/>
                      </m:rPr>
                      <m:t>all-field UV RG control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  <m:sty m:val="p"/>
                      </m:rPr>
                      <m:t>entry into the exact Schur gap basin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⇓</m:t>
                    </m:r>
                  </m:e>
                </m:mr>
                <m:mr>
                  <m:e/>
                  <m:e>
                    <m:limLow>
                      <m:e>
                        <m:r>
                          <m:rPr>
                            <m:sty m:val="p"/>
                          </m:rPr>
                          <m:t>inf</m:t>
                        </m:r>
                      </m:e>
                      <m:li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lim>
                    </m:limLow>
                    <m:r>
                      <m:t>Δ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  <m:sty m:val="p"/>
                      </m:rPr>
                      <m:t>thermodynamic + continuum Schwinger convergence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  <m:sty m:val="p"/>
                      </m:rPr>
                      <m:t>Euclidean symmetry + OS axioms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  <m:sty m:val="p"/>
                      </m:rPr>
                      <m:t>OS reconstruction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⇓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Spec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m:t>⊂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The ledger deliberately separates a theorem already proved in the package, a standard theorem invoked from the literature, and a bridge lemma that must be discharged by the UCD/Wilson construction. That separation is part of the proof object: no finite-matrix eigenvalue is silently relabeled as a continuum mass.</w:t>
      </w:r>
    </w:p>
    <w:bookmarkEnd w:id="43"/>
    <w:bookmarkStart w:id="44" w:name="reproducibility"/>
    <w:p>
      <w:pPr>
        <w:pStyle w:val="Heading1"/>
      </w:pPr>
      <w:r>
        <w:t xml:space="preserve">24. Reproducibility</w:t>
      </w:r>
    </w:p>
    <w:p>
      <w:pPr>
        <w:pStyle w:val="FirstParagraph"/>
      </w:pPr>
      <w:r>
        <w:t xml:space="preserve">Install and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The GitHub Actions workflow runs the same verification on each push and pull request. Every release file is hashed in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.</w:t>
      </w:r>
    </w:p>
    <w:bookmarkEnd w:id="44"/>
    <w:bookmarkStart w:id="45" w:name="conclusion"/>
    <w:p>
      <w:pPr>
        <w:pStyle w:val="Heading1"/>
      </w:pPr>
      <w:r>
        <w:t xml:space="preserve">25. Conclusion</w:t>
      </w:r>
    </w:p>
    <w:p>
      <w:pPr>
        <w:pStyle w:val="FirstParagraph"/>
      </w:pPr>
      <w:r>
        <w:t xml:space="preserve">The Jaffe–Witten problem has been converted into an explicit finite dependency graph. The compact-group proof regulator, gauge symmetry, Gauss sector, local Yang–Mills continuum asymptotics, Peter–Weyl finite verification hierarchy, positive Euclidean transfer structure, exact Feshbach–Schur identity, and a quantitative quadratic Schur gap-stability theorem are all written in one common normalization.</w:t>
      </w:r>
    </w:p>
    <w:p>
      <w:pPr>
        <w:pStyle w:val="BodyText"/>
      </w:pPr>
      <w:r>
        <w:t xml:space="preserve">The new quantitative result is the exact summable Schur criterion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sSub>
                            <m:e>
                              <m:r>
                                <m:t>η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sSub>
                            <m:e>
                              <m:r>
                                <m:t>η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converts the infrared part of the mass-gap problem into measured/derived block constants. The continuum proof then rests on an equally explicit ultraviolet-to-block bridge and continuum Schwinger convergence estimates. Once those bridge lemmas are discharged, the OS and spectral-transfer sections give the required theory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Spec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∩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45"/>
    <w:bookmarkStart w:id="46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4"/>
        </w:numPr>
        <w:pStyle w:val="Compact"/>
      </w:pPr>
      <w:r>
        <w:t xml:space="preserve">A. Jaffe and E. Witten,</w:t>
      </w:r>
      <w:r>
        <w:t xml:space="preserve"> </w:t>
      </w:r>
      <w:r>
        <w:rPr>
          <w:iCs/>
          <w:i/>
        </w:rPr>
        <w:t xml:space="preserve">Quantum Yang–Mills Theory</w:t>
      </w:r>
      <w:r>
        <w:t xml:space="preserve">, in</w:t>
      </w:r>
      <w:r>
        <w:t xml:space="preserve"> </w:t>
      </w:r>
      <w:r>
        <w:rPr>
          <w:iCs/>
          <w:i/>
        </w:rPr>
        <w:t xml:space="preserve">The Millennium Prize Problems</w:t>
      </w:r>
      <w:r>
        <w:t xml:space="preserve">, Clay Mathematics Institute / American Mathematical Society.</w:t>
      </w:r>
    </w:p>
    <w:p>
      <w:pPr>
        <w:numPr>
          <w:ilvl w:val="0"/>
          <w:numId w:val="1004"/>
        </w:numPr>
        <w:pStyle w:val="Compact"/>
      </w:pPr>
      <w:r>
        <w:t xml:space="preserve">K. Osterwalder and R. Schrader,</w:t>
      </w:r>
      <w:r>
        <w:t xml:space="preserve"> </w:t>
      </w:r>
      <w:r>
        <w:rPr>
          <w:iCs/>
          <w:i/>
        </w:rPr>
        <w:t xml:space="preserve">Axioms for Euclidean Green’s Functions I</w:t>
      </w:r>
      <w:r>
        <w:t xml:space="preserve">, Communications in Mathematical Physics 31 (1973).</w:t>
      </w:r>
    </w:p>
    <w:p>
      <w:pPr>
        <w:numPr>
          <w:ilvl w:val="0"/>
          <w:numId w:val="1004"/>
        </w:numPr>
        <w:pStyle w:val="Compact"/>
      </w:pPr>
      <w:r>
        <w:t xml:space="preserve">K. Osterwalder and R. Schrader,</w:t>
      </w:r>
      <w:r>
        <w:t xml:space="preserve"> </w:t>
      </w:r>
      <w:r>
        <w:rPr>
          <w:iCs/>
          <w:i/>
        </w:rPr>
        <w:t xml:space="preserve">Axioms for Euclidean Green’s Functions II</w:t>
      </w:r>
      <w:r>
        <w:t xml:space="preserve">, Communications in Mathematical Physics 42 (1975).</w:t>
      </w:r>
    </w:p>
    <w:p>
      <w:pPr>
        <w:numPr>
          <w:ilvl w:val="0"/>
          <w:numId w:val="1004"/>
        </w:numPr>
        <w:pStyle w:val="Compact"/>
      </w:pPr>
      <w:r>
        <w:t xml:space="preserve">K. Osterwalder and E. Seiler,</w:t>
      </w:r>
      <w:r>
        <w:t xml:space="preserve"> </w:t>
      </w:r>
      <w:r>
        <w:rPr>
          <w:iCs/>
          <w:i/>
        </w:rPr>
        <w:t xml:space="preserve">Gauge Field Theories on a Lattice</w:t>
      </w:r>
      <w:r>
        <w:t xml:space="preserve">, Annals of Physics 110 (1978), 440–471.</w:t>
      </w:r>
    </w:p>
    <w:p>
      <w:pPr>
        <w:numPr>
          <w:ilvl w:val="0"/>
          <w:numId w:val="1004"/>
        </w:numPr>
        <w:pStyle w:val="Compact"/>
      </w:pPr>
      <w:r>
        <w:t xml:space="preserve">T. Balaban,</w:t>
      </w:r>
      <w:r>
        <w:t xml:space="preserve"> </w:t>
      </w:r>
      <w:r>
        <w:rPr>
          <w:iCs/>
          <w:i/>
        </w:rPr>
        <w:t xml:space="preserve">Renormalization Group Approach to Lattice Gauge Field Theories I: Generation of Effective Actions in a Small Field Approximation and a Coupling Constant Renormalization in Four Dimensions</w:t>
      </w:r>
      <w:r>
        <w:t xml:space="preserve">, Communications in Mathematical Physics 109 (1987), 249–301.</w:t>
      </w:r>
    </w:p>
    <w:p>
      <w:pPr>
        <w:numPr>
          <w:ilvl w:val="0"/>
          <w:numId w:val="1004"/>
        </w:numPr>
        <w:pStyle w:val="Compact"/>
      </w:pPr>
      <w:r>
        <w:t xml:space="preserve">T. Balaban,</w:t>
      </w:r>
      <w:r>
        <w:t xml:space="preserve"> </w:t>
      </w:r>
      <w:r>
        <w:rPr>
          <w:iCs/>
          <w:i/>
        </w:rPr>
        <w:t xml:space="preserve">Renormalization Group Approach to Lattice Gauge Field Theories II: Cluster Expansions</w:t>
      </w:r>
      <w:r>
        <w:t xml:space="preserve">, Communications in Mathematical Physics 116 (1988), 1–22.</w:t>
      </w:r>
    </w:p>
    <w:p>
      <w:pPr>
        <w:numPr>
          <w:ilvl w:val="0"/>
          <w:numId w:val="1004"/>
        </w:numPr>
        <w:pStyle w:val="Compact"/>
      </w:pPr>
      <w:r>
        <w:t xml:space="preserve">T. Balaban,</w:t>
      </w:r>
      <w:r>
        <w:t xml:space="preserve"> </w:t>
      </w:r>
      <w:r>
        <w:rPr>
          <w:iCs/>
          <w:i/>
        </w:rPr>
        <w:t xml:space="preserve">Convergent Renormalization Expansions for Lattice Gauge Theories</w:t>
      </w:r>
      <w:r>
        <w:t xml:space="preserve">, Communications in Mathematical Physics 119 (1988), 243–285.</w:t>
      </w:r>
    </w:p>
    <w:p>
      <w:pPr>
        <w:numPr>
          <w:ilvl w:val="0"/>
          <w:numId w:val="1004"/>
        </w:numPr>
        <w:pStyle w:val="Compact"/>
      </w:pPr>
      <w:r>
        <w:t xml:space="preserve">T. Balaban,</w:t>
      </w:r>
      <w:r>
        <w:t xml:space="preserve"> </w:t>
      </w:r>
      <w:r>
        <w:rPr>
          <w:iCs/>
          <w:i/>
        </w:rPr>
        <w:t xml:space="preserve">Large Field Renormalization I: The Basic Step of the R Operation</w:t>
      </w:r>
      <w:r>
        <w:t xml:space="preserve">, Communications in Mathematical Physics 122 (1989), 175–202.</w:t>
      </w:r>
    </w:p>
    <w:p>
      <w:pPr>
        <w:numPr>
          <w:ilvl w:val="0"/>
          <w:numId w:val="1004"/>
        </w:numPr>
        <w:pStyle w:val="Compact"/>
      </w:pPr>
      <w:r>
        <w:t xml:space="preserve">T. Balaban,</w:t>
      </w:r>
      <w:r>
        <w:t xml:space="preserve"> </w:t>
      </w:r>
      <w:r>
        <w:rPr>
          <w:iCs/>
          <w:i/>
        </w:rPr>
        <w:t xml:space="preserve">Large Field Renormalization II: Localization, Exponentiation, and Bounds for the R Operation</w:t>
      </w:r>
      <w:r>
        <w:t xml:space="preserve">, Communications in Mathematical Physics 122 (1989), 355–392.</w:t>
      </w:r>
    </w:p>
    <w:p>
      <w:pPr>
        <w:numPr>
          <w:ilvl w:val="0"/>
          <w:numId w:val="1004"/>
        </w:numPr>
        <w:pStyle w:val="Compact"/>
      </w:pPr>
      <w:r>
        <w:t xml:space="preserve">D. A. Yarotsky,</w:t>
      </w:r>
      <w:r>
        <w:t xml:space="preserve"> </w:t>
      </w:r>
      <w:r>
        <w:rPr>
          <w:iCs/>
          <w:i/>
        </w:rPr>
        <w:t xml:space="preserve">Ground States in Relatively Bounded Quantum Perturbations of Classical Lattice Systems</w:t>
      </w:r>
      <w:r>
        <w:t xml:space="preserve">, Communications in Mathematical Physics 261 (2006), 799–819.</w:t>
      </w:r>
    </w:p>
    <w:p>
      <w:pPr>
        <w:numPr>
          <w:ilvl w:val="0"/>
          <w:numId w:val="1004"/>
        </w:numPr>
        <w:pStyle w:val="Compact"/>
      </w:pPr>
      <w:r>
        <w:t xml:space="preserve">M. B. Hastings and T. Koma,</w:t>
      </w:r>
      <w:r>
        <w:t xml:space="preserve"> </w:t>
      </w:r>
      <w:r>
        <w:rPr>
          <w:iCs/>
          <w:i/>
        </w:rPr>
        <w:t xml:space="preserve">Spectral Gap and Exponential Decay of Correlations</w:t>
      </w:r>
      <w:r>
        <w:t xml:space="preserve">, Communications in Mathematical Physics 265 (2006), 781–804.</w:t>
      </w:r>
    </w:p>
    <w:p>
      <w:pPr>
        <w:numPr>
          <w:ilvl w:val="0"/>
          <w:numId w:val="1004"/>
        </w:numPr>
        <w:pStyle w:val="Compact"/>
      </w:pPr>
      <w:r>
        <w:t xml:space="preserve">Y. Guo, Z. Li, G. Yang, and G. Zhu,</w:t>
      </w:r>
      <w:r>
        <w:t xml:space="preserve"> </w:t>
      </w:r>
      <w:r>
        <w:rPr>
          <w:iCs/>
          <w:i/>
        </w:rPr>
        <w:t xml:space="preserve">Bootstrapping SU(3) Lattice Yang–Mills Theory</w:t>
      </w:r>
      <w:r>
        <w:t xml:space="preserve">, JHEP 12 (2025) 033; arXiv:2502.14421.</w:t>
      </w:r>
    </w:p>
    <w:p>
      <w:pPr>
        <w:numPr>
          <w:ilvl w:val="0"/>
          <w:numId w:val="1004"/>
        </w:numPr>
        <w:pStyle w:val="Compact"/>
      </w:pPr>
      <w:r>
        <w:t xml:space="preserve">R. F. Streater and A. S. Wightman,</w:t>
      </w:r>
      <w:r>
        <w:t xml:space="preserve"> </w:t>
      </w:r>
      <w:r>
        <w:rPr>
          <w:iCs/>
          <w:i/>
        </w:rPr>
        <w:t xml:space="preserve">PCT, Spin and Statistics, and All That</w:t>
      </w:r>
      <w:r>
        <w:t xml:space="preserve">, Princeton University Press.</w:t>
      </w:r>
    </w:p>
    <w:p>
      <w:pPr>
        <w:numPr>
          <w:ilvl w:val="0"/>
          <w:numId w:val="1004"/>
        </w:numPr>
        <w:pStyle w:val="Compact"/>
      </w:pPr>
      <w:r>
        <w:t xml:space="preserve">R. Haag,</w:t>
      </w:r>
      <w:r>
        <w:t xml:space="preserve"> </w:t>
      </w:r>
      <w:r>
        <w:rPr>
          <w:iCs/>
          <w:i/>
        </w:rPr>
        <w:t xml:space="preserve">Local Quantum Physics</w:t>
      </w:r>
      <w:r>
        <w:t xml:space="preserve">, Springer.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UCD Yang–Mills Existence and Mass-Gap Construction</dc:title>
  <dc:creator>Richard Wise</dc:creator>
  <cp:keywords/>
  <dcterms:created xsi:type="dcterms:W3CDTF">2026-09-10T23:33:39Z</dcterms:created>
  <dcterms:modified xsi:type="dcterms:W3CDTF">2026-09-10T23:33:39Z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September 2026</vt:lpwstr>
  </property>
  <property fmtid="{D5CDD505-2E9C-101B-9397-08002B2CF9AE}" pid="3" name="fontsize">
    <vt:lpwstr>10pt</vt:lpwstr>
  </property>
  <property fmtid="{D5CDD505-2E9C-101B-9397-08002B2CF9AE}" pid="4" name="geometry">
    <vt:lpwstr>margin=0.9in</vt:lpwstr>
  </property>
  <property fmtid="{D5CDD505-2E9C-101B-9397-08002B2CF9AE}" pid="5" name="subtitle">
    <vt:lpwstr>Jaffe–Witten Specification: Compact-Group Regulator, Exact Schur Renormalization, Reflection Positivity, and Spectral Transfer</vt:lpwstr>
  </property>
</Properties>
</file>