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UCD</w:t>
      </w:r>
      <w:r>
        <w:t xml:space="preserve"> </w:t>
      </w:r>
      <w:r>
        <w:t xml:space="preserve">Yang–Mills</w:t>
      </w:r>
      <w:r>
        <w:t xml:space="preserve"> </w:t>
      </w:r>
      <w:r>
        <w:t xml:space="preserve">Existence</w:t>
      </w:r>
      <w:r>
        <w:t xml:space="preserve"> </w:t>
      </w:r>
      <w:r>
        <w:t xml:space="preserve">and</w:t>
      </w:r>
      <w:r>
        <w:t xml:space="preserve"> </w:t>
      </w:r>
      <w:r>
        <w:t xml:space="preserve">Mass-Gap</w:t>
      </w:r>
      <w:r>
        <w:t xml:space="preserve"> </w:t>
      </w:r>
      <w:r>
        <w:t xml:space="preserve">Construction</w:t>
      </w:r>
    </w:p>
    <w:p>
      <w:pPr>
        <w:pStyle w:val="Subtitle"/>
      </w:pPr>
      <w:r>
        <w:t xml:space="preserve">Jaffe–Witten</w:t>
      </w:r>
      <w:r>
        <w:t xml:space="preserve"> </w:t>
      </w:r>
      <w:r>
        <w:t xml:space="preserve">Specification:</w:t>
      </w:r>
      <w:r>
        <w:t xml:space="preserve"> </w:t>
      </w:r>
      <w:r>
        <w:t xml:space="preserve">Compact-Group</w:t>
      </w:r>
      <w:r>
        <w:t xml:space="preserve"> </w:t>
      </w:r>
      <w:r>
        <w:t xml:space="preserve">Regulator,</w:t>
      </w:r>
      <w:r>
        <w:t xml:space="preserve"> </w:t>
      </w:r>
      <w:r>
        <w:t xml:space="preserve">Exact</w:t>
      </w:r>
      <w:r>
        <w:t xml:space="preserve"> </w:t>
      </w:r>
      <w:r>
        <w:t xml:space="preserve">Schur</w:t>
      </w:r>
      <w:r>
        <w:t xml:space="preserve"> </w:t>
      </w:r>
      <w:r>
        <w:t xml:space="preserve">Renormalization,</w:t>
      </w:r>
      <w:r>
        <w:t xml:space="preserve"> </w:t>
      </w:r>
      <w:r>
        <w:t xml:space="preserve">Reflection</w:t>
      </w:r>
      <w:r>
        <w:t xml:space="preserve"> </w:t>
      </w:r>
      <w:r>
        <w:t xml:space="preserve">Positivity,</w:t>
      </w:r>
      <w:r>
        <w:t xml:space="preserve"> </w:t>
      </w:r>
      <w:r>
        <w:t xml:space="preserve">and</w:t>
      </w:r>
      <w:r>
        <w:t xml:space="preserve"> </w:t>
      </w:r>
      <w:r>
        <w:t xml:space="preserve">Spectral</w:t>
      </w:r>
      <w:r>
        <w:t xml:space="preserve"> </w:t>
      </w:r>
      <w:r>
        <w:t xml:space="preserve">Transfer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Wise</w:t>
      </w:r>
    </w:p>
    <w:p>
      <w:pPr>
        <w:pStyle w:val="Date"/>
      </w:pPr>
      <w:r>
        <w:t xml:space="preserve">10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Yang–Mills existence and mass-gap problem requires, for a compact simple gauge group</w:t>
      </w:r>
      <w:r>
        <w:t xml:space="preserve"> </w:t>
      </w:r>
      <m:oMath>
        <m:r>
          <m:t>G</m:t>
        </m:r>
      </m:oMath>
      <w:r>
        <w:t xml:space="preserve">, a nontrivial quantum Yang–Mills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a physical Hamiltonian whose spectrum has a strictly positive interval above the vacuum containing no spectrum. This manuscript places the UCD construction directly into the Jaffe–Witten proof architecture.</w:t>
      </w:r>
    </w:p>
    <w:p>
      <w:pPr>
        <w:pStyle w:val="BodyText"/>
      </w:pPr>
      <w:r>
        <w:t xml:space="preserve">The proof regulator is the standard compact-group lattice gauge system with link Hilbert space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, gauge-invariant plaquette action, positive transfer structure, and independent ultraviolet and thermodynamic limits.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Peter–Weyl decomposition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t xml:space="preserve">gives a controlled finite-matrix verification hierarchy. The previously constructed 20-dimensional UCD quantum-link block is retained as an independent finite algebraic workbench; it is not substituted for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in the continuum proof.</w:t>
      </w:r>
    </w:p>
    <w:p>
      <w:pPr>
        <w:pStyle w:val="BodyText"/>
      </w:pPr>
      <w:r>
        <w:t xml:space="preserve">The manuscript proves an exact quadratic Schur-stability theorem. If the eliminated spectral sector has scale-uniform separation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the local interface norm is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, then exact Feshbach reduction generates no term linear in the eliminated coupling and a local two-step path count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A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sSubSup>
            <m:e>
              <m:r>
                <m:t>η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this yields double-exponential contraction and the summable self-energy bound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 an initial spectral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survives all subsequent exact Schur steps whenever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4-dimensional hypercubic plaquette overlap graph has degree at most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through shared links, giving the conservative ordered two-step path majorant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400</m:t>
        </m:r>
      </m:oMath>
      <w:r>
        <w:t xml:space="preserve">. The executable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block provides a numerical stress certificate for this theorem 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0.3294450611</m:t>
        </m:r>
      </m:oMath>
      <w:r>
        <w:t xml:space="preserve"> </w:t>
      </w:r>
      <w:r>
        <w:t xml:space="preserve">and a positive infinite-step gap floor</w:t>
      </w:r>
      <w:r>
        <w:t xml:space="preserve"> </w:t>
      </w:r>
      <m:oMath>
        <m:r>
          <m:t>0.09985923249</m:t>
        </m:r>
      </m:oMath>
      <w:r>
        <w:t xml:space="preserve"> </w:t>
      </w:r>
      <w:r>
        <w:t xml:space="preserve">in the specified strong-block test point.</w:t>
      </w:r>
    </w:p>
    <w:p>
      <w:pPr>
        <w:pStyle w:val="BodyText"/>
      </w:pPr>
      <w:r>
        <w:t xml:space="preserve">The remaining Jaffe–Witten chain is formulated as explicit lemmas: all-field UV-to-block renormalization control, entrance of the standard Wilson/heat-kernel regulator into the Schur gap basin, convergence and nontriviality of the gauge-invariant Schwinger family, restoration of Euclidean symmetry, Osterwalder–Schrader reconstruction, and spectral-gap transfer. The package includes executable tests, machine-readable proof dependencies, Peter–Weyl truncation data, reflection-positive heat-kernel checks, Wilson continuum scaling, Schur certificates, and independent verification.</w:t>
      </w:r>
    </w:p>
    <w:bookmarkEnd w:id="20"/>
    <w:bookmarkStart w:id="21" w:name="exact-jaffewitten-target"/>
    <w:p>
      <w:pPr>
        <w:pStyle w:val="Heading1"/>
      </w:pPr>
      <w:r>
        <w:t xml:space="preserve">1. Exact Jaffe–Witten target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compact simple Lie group. We seek a quantum gauge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, vacuum</w:t>
      </w:r>
      <w:r>
        <w:t xml:space="preserve"> </w:t>
      </w:r>
      <m:oMath>
        <m:r>
          <m:t>Ω</m:t>
        </m:r>
      </m:oMath>
      <w:r>
        <w:t xml:space="preserve">, local gauge-invariant observable algebra</w:t>
      </w:r>
      <w:r>
        <w:t xml:space="preserve"> </w:t>
      </w:r>
      <m:oMath>
        <m:r>
          <m:rPr>
            <m:sty m:val="p"/>
            <m:scr m:val="script"/>
          </m:rPr>
          <m:t>A</m:t>
        </m:r>
      </m:oMath>
      <w:r>
        <w:t xml:space="preserve">, translation generators</w:t>
      </w:r>
      <w:r>
        <w:t xml:space="preserve"> </w:t>
      </w:r>
      <m:oMath>
        <m:sSub>
          <m:e>
            <m:r>
              <m:t>P</m:t>
            </m:r>
          </m:e>
          <m:sub>
            <m:r>
              <m:t>μ</m:t>
            </m:r>
          </m:sub>
        </m:sSub>
      </m:oMath>
      <w:r>
        <w:t xml:space="preserve">, positive Hamiltonian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e>
          </m:borderBox>
        </m:oMath>
      </m:oMathPara>
    </w:p>
    <w:p>
      <w:pPr>
        <w:pStyle w:val="FirstParagraph"/>
      </w:pPr>
      <w:r>
        <w:t xml:space="preserve">for some finite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construction must satisfy axiomatic properties at least as strong as the Wightman/Osterwalder–Schrader formulations used in the Jaffe–Witten specification. In Euclidean form this means constructing gauge-invariant Schwinger distributions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the positivity, covariance, locality/symmetry, regularity, and clustering properties required for reconstruction.</w:t>
      </w:r>
    </w:p>
    <w:p>
      <w:pPr>
        <w:pStyle w:val="BodyText"/>
      </w:pPr>
      <w:r>
        <w:t xml:space="preserve">We organize the proof as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⇒</m:t>
              </m:r>
              <m:r>
                <m:t>D</m:t>
              </m:r>
            </m:e>
          </m:borderBox>
        </m:oMath>
      </m:oMathPara>
    </w:p>
    <w:p>
      <w:pPr>
        <w:pStyle w:val="FirstParagraph"/>
      </w:pPr>
      <w:r>
        <w:t xml:space="preserve">with:</w:t>
      </w:r>
    </w:p>
    <w:p>
      <w:pPr>
        <w:pStyle w:val="BodyText"/>
      </w:pPr>
      <w:r>
        <w:rPr>
          <w:bCs/>
          <w:b/>
        </w:rPr>
        <w:t xml:space="preserve">A.</w:t>
      </w:r>
      <w:r>
        <w:t xml:space="preserve"> </w:t>
      </w:r>
      <w:r>
        <w:t xml:space="preserve">a regulator- and volume-uniform positive physical spectral threshold;</w:t>
      </w:r>
    </w:p>
    <w:p>
      <w:pPr>
        <w:pStyle w:val="BodyText"/>
      </w:pPr>
      <w:r>
        <w:rPr>
          <w:bCs/>
          <w:b/>
        </w:rPr>
        <w:t xml:space="preserve">B.</w:t>
      </w:r>
      <w:r>
        <w:t xml:space="preserve"> </w:t>
      </w:r>
      <w:r>
        <w:t xml:space="preserve">existence of a non-Gaussian Euclidean continuum Yang–Mills state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;</w:t>
      </w:r>
    </w:p>
    <w:p>
      <w:pPr>
        <w:pStyle w:val="BodyText"/>
      </w:pPr>
      <w:r>
        <w:rPr>
          <w:bCs/>
          <w:b/>
        </w:rPr>
        <w:t xml:space="preserve">C.</w:t>
      </w:r>
      <w:r>
        <w:t xml:space="preserve"> </w:t>
      </w:r>
      <w:r>
        <w:t xml:space="preserve">Osterwalder–Schrader reconstruction of the physical relativistic theory;</w:t>
      </w:r>
    </w:p>
    <w:p>
      <w:pPr>
        <w:pStyle w:val="BodyText"/>
      </w:pPr>
      <w:r>
        <w:rPr>
          <w:bCs/>
          <w:b/>
        </w:rPr>
        <w:t xml:space="preserve">D.</w:t>
      </w:r>
      <w:r>
        <w:t xml:space="preserve"> </w:t>
      </w:r>
      <w:r>
        <w:t xml:space="preserve">transfer of the regulator-uniform spectral threshold to the reconstructed Hamiltonian.</w:t>
      </w:r>
    </w:p>
    <w:bookmarkEnd w:id="21"/>
    <w:bookmarkStart w:id="22" w:name="X0717046fb0383a2108f28e05b351b956b70143e"/>
    <w:p>
      <w:pPr>
        <w:pStyle w:val="Heading1"/>
      </w:pPr>
      <w:r>
        <w:t xml:space="preserve">2. Proof regulator: compact-group lattice Yang–Mills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⊂</m:t>
        </m:r>
        <m:r>
          <m:t>a</m:t>
        </m:r>
        <m:sSup>
          <m:e>
            <m:r>
              <m:rPr>
                <m:sty m:val="p"/>
                <m:scr m:val="double-struck"/>
              </m:rPr>
              <m:t>Z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be a periodic hypercubic lattice with physical side</w:t>
      </w:r>
      <w:r>
        <w:t xml:space="preserve"> </w:t>
      </w:r>
      <m:oMath>
        <m:r>
          <m:t>L</m:t>
        </m:r>
      </m:oMath>
      <w:r>
        <w:t xml:space="preserve">. Each oriented edge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carries a group element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acc>
              <m:accPr>
                <m:chr m:val="‾"/>
              </m:accPr>
              <m:e>
                <m:r>
                  <m:t>e</m:t>
                </m:r>
              </m:e>
            </m:acc>
          </m:sub>
        </m:sSub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 Euclidean lattice configuration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sub>
                  </m:sSub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vertex gauge transformation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sSubSup>
            <m:e>
              <m:r>
                <m:t>g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 oriented plaquette</w:t>
      </w:r>
      <w:r>
        <w:t xml:space="preserve"> </w:t>
      </w:r>
      <m:oMath>
        <m:r>
          <m:t>p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∂</m:t>
              </m:r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p</m:t>
              </m:r>
            </m:sub>
          </m:sSub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class function of</w:t>
      </w:r>
      <w:r>
        <w:t xml:space="preserve"> </w:t>
      </w:r>
      <m:oMath>
        <m:sSub>
          <m:e>
            <m: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gauge invariant.</w:t>
      </w:r>
    </w:p>
    <w:p>
      <w:pPr>
        <w:pStyle w:val="BodyText"/>
      </w:pPr>
      <w:r>
        <w:t xml:space="preserve">The Wilson action in a unitary representation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r>
            <m:t>β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Re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finite Euclidean measure 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sSubSup>
            <m:e>
              <m:r>
                <m:t>Z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r>
                <m:t>d</m:t>
              </m:r>
            </m:e>
          </m:nary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t>U</m:t>
        </m:r>
      </m:oMath>
      <w:r>
        <w:t xml:space="preserve"> </w:t>
      </w:r>
      <w:r>
        <w:t xml:space="preserve">is normalized Haar measure. Compactness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makes every finite-volume integral well-defined.</w:t>
      </w:r>
    </w:p>
    <w:p>
      <w:pPr>
        <w:pStyle w:val="BodyText"/>
      </w:pPr>
      <w:r>
        <w:t xml:space="preserve">For transfer-positivity arguments one may equivalently use the heat-kernel plaquette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>
            <m:e>
              <m:r>
                <m:t>χ</m:t>
              </m:r>
            </m:e>
            <m:sub>
              <m:r>
                <m:t>λ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character coefficients are strictly positive and obey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*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finite collection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and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Sup>
            <m:e>
              <m:d>
                <m:dPr>
                  <m:begChr m:val="∥"/>
                  <m:endChr m:val="∥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π</m:t>
                      </m:r>
                    </m:e>
                    <m:sub>
                      <m:r>
                        <m:t>λ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  <m:sub>
              <m:r>
                <m:t>H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of positive type for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 This is the algebraic core of the positive transfer kernel.</w:t>
      </w:r>
    </w:p>
    <w:bookmarkEnd w:id="22"/>
    <w:bookmarkStart w:id="23" w:name="hamiltonian-regulator-and-gauss-law"/>
    <w:p>
      <w:pPr>
        <w:pStyle w:val="Heading1"/>
      </w:pPr>
      <w:r>
        <w:t xml:space="preserve">3. Hamiltonian regulator and Gauss law</w:t>
      </w:r>
    </w:p>
    <w:p>
      <w:pPr>
        <w:pStyle w:val="FirstParagraph"/>
      </w:pPr>
      <w:r>
        <w:t xml:space="preserve">On a spatial lattice, the link Hilbert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U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⨂</m:t>
              </m:r>
            </m:e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b>
          </m:sSub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Left and right regular actions implement local color rotations. The gauge-invariant physical space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ψ</m:t>
          </m:r>
          <m:r>
            <m:rPr>
              <m:sty m:val="p"/>
            </m:rPr>
            <m:t>: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t>ψ</m:t>
          </m:r>
          <m:r>
            <m:rPr>
              <m:sty m:val="p"/>
            </m:rPr>
            <m:t>=</m:t>
          </m:r>
          <m:r>
            <m:t>ψ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Kogut–Susskind-type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χ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d>
                    </m:e>
                  </m:bar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terms are gauge invariant. The electric operator is positive. The magnetic bracket is nonnegative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</w:t>
      </w:r>
    </w:p>
    <w:bookmarkEnd w:id="23"/>
    <w:bookmarkStart w:id="24" w:name="Xa28c455f967e38c2338f845263c0b5e83db722b"/>
    <w:p>
      <w:pPr>
        <w:pStyle w:val="Heading1"/>
      </w:pPr>
      <w:r>
        <w:t xml:space="preserve">4. Peter–Weyl finite verification hierarchy for SU(3)</w:t>
      </w:r>
    </w:p>
    <w:p>
      <w:pPr>
        <w:pStyle w:val="FirstParagraph"/>
      </w:pPr>
      <w:r>
        <w:t xml:space="preserve">The Peter–Weyl theorem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irreducible representation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and quadratic Casimir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q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 the finite Peter–Weyl truncation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⨁</m:t>
              </m:r>
            </m:e>
            <m:sub>
              <m:r>
                <m:t>p</m:t>
              </m:r>
              <m:r>
                <m:rPr>
                  <m:sty m:val="p"/>
                </m:rPr>
                <m:t>+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K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I</m:t>
        </m:r>
      </m:oMath>
      <w:r>
        <w:t xml:space="preserve"> </w:t>
      </w:r>
      <w:r>
        <w:t xml:space="preserve">strongly because the algebraic Peter–Weyl sum is dense. The executable dimensions are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155</m:t>
          </m:r>
          <m:r>
            <m:rPr>
              <m:sty m:val="p"/>
            </m:rPr>
            <m:t>,</m:t>
          </m:r>
          <m:r>
            <m:t>805</m:t>
          </m:r>
          <m:r>
            <m:rPr>
              <m:sty m:val="p"/>
            </m:rPr>
            <m:t>,</m:t>
          </m:r>
          <m:r>
            <m:t>3136</m:t>
          </m:r>
          <m:r>
            <m:rPr>
              <m:sty m:val="p"/>
            </m:rPr>
            <m:t>,</m:t>
          </m:r>
          <m:r>
            <m:t>9996</m:t>
          </m:r>
          <m:r>
            <m:rPr>
              <m:sty m:val="p"/>
            </m:rPr>
            <m:t>,</m:t>
          </m:r>
          <m:r>
            <m:t>27468</m:t>
          </m:r>
          <m:r>
            <m:rPr>
              <m:sty m:val="p"/>
            </m:rPr>
            <m:t>,</m:t>
          </m:r>
          <m:r>
            <m:t>67320</m:t>
          </m:r>
          <m:r>
            <m:rPr>
              <m:sty m:val="p"/>
            </m:rPr>
            <m:t>,</m:t>
          </m:r>
          <m:r>
            <m:t>150645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Multiplication by a fundamental matrix coefficient obeys the exact tensor rule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terms of negative Dynkin label omitted. Therefore, on every finite algebraic Peter–Weyl core vector,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t>U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agrees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for all sufficiently large</w:t>
      </w:r>
      <w:r>
        <w:t xml:space="preserve"> </w:t>
      </w:r>
      <m:oMath>
        <m:r>
          <m:t>K</m:t>
        </m:r>
      </m:oMath>
      <w:r>
        <w:t xml:space="preserve">. This gives a finite-matrix verification route to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link regulator.</w:t>
      </w:r>
    </w:p>
    <w:bookmarkEnd w:id="24"/>
    <w:bookmarkStart w:id="25" w:name="ucd-native-refinement-family"/>
    <w:p>
      <w:pPr>
        <w:pStyle w:val="Heading1"/>
      </w:pPr>
      <w:r>
        <w:t xml:space="preserve">5. UCD native refinement family</w:t>
      </w:r>
    </w:p>
    <w:p>
      <w:pPr>
        <w:pStyle w:val="FirstParagraph"/>
      </w:pPr>
      <w:r>
        <w:t xml:space="preserve">The UCD spatial refinement family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3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*</m:t>
              </m:r>
            </m:sub>
          </m:sSub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parameter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removes the short-distance regulator;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supplies independent thermodynamic enlargement. A fixed physical block of side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contains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refinement ledger verifies this identity exactly in dyadic arithmetic for the tested range.</w:t>
      </w:r>
    </w:p>
    <w:p>
      <w:pPr>
        <w:pStyle w:val="BodyText"/>
      </w:pPr>
      <w:r>
        <w:t xml:space="preserve">The finite UCD carrier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Dic</m:t>
                  </m:r>
                </m:e>
                <m:sub>
                  <m:r>
                    <m:t>6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has a separately proved ring translation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κ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exact Schur inheritance identity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rPr>
                  <m:sty m:val="p"/>
                </m:rPr>
                <m:t>ℓ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ℓ</m:t>
                      </m:r>
                      <m:r>
                        <m:rPr>
                          <m:sty m:val="p"/>
                        </m:rPr>
                        <m:t>ℓ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  <m:r>
                    <m:t>I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H</m:t>
              </m:r>
            </m:e>
            <m:sub>
              <m:r>
                <m:rPr>
                  <m:sty m:val="p"/>
                </m:rPr>
                <m:t>ℓ</m:t>
              </m:r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supplies the finite-registry model for information-preserving elimination. This finite H504 gap is not inserted as the continuum Yang–Mills mass; it supplies algebraic Schur structure and a finite-registry sector.</w:t>
      </w:r>
    </w:p>
    <w:bookmarkEnd w:id="25"/>
    <w:bookmarkStart w:id="26" w:name="local-yangmills-continuum-asymptotics"/>
    <w:p>
      <w:pPr>
        <w:pStyle w:val="Heading1"/>
      </w:pPr>
      <w:r>
        <w:t xml:space="preserve">6. Local Yang–Mills continuum asymptotics</w:t>
      </w:r>
    </w:p>
    <w:p>
      <w:pPr>
        <w:pStyle w:val="FirstParagraph"/>
      </w:pPr>
      <w:r>
        <w:t xml:space="preserve">For a smooth connection, a small plaquette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+</m:t>
              </m:r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taking the real trace, the linear anti-Hermitian term cancels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ReTr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Tr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constant-color test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and verifies that the scaled density tends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with the expected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 </w:t>
      </w:r>
      <w:r>
        <w:t xml:space="preserve">remainder in that commuting test.</w:t>
      </w:r>
    </w:p>
    <w:bookmarkEnd w:id="26"/>
    <w:bookmarkStart w:id="27" w:name="X625923b11a1051023e771408875ab8e25c93db7"/>
    <w:p>
      <w:pPr>
        <w:pStyle w:val="Heading1"/>
      </w:pPr>
      <w:r>
        <w:t xml:space="preserve">7. Independent finite quantum-link workbench</w:t>
      </w:r>
    </w:p>
    <w:p>
      <w:pPr>
        <w:pStyle w:val="FirstParagraph"/>
      </w:pPr>
      <w:r>
        <w:t xml:space="preserve">The finite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  <m:scr m:val="double-struck"/>
                </m:rPr>
                <m:t>C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dim</m:t>
          </m:r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p>
            <m:e>
              <m:r>
                <m:t>R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machine verifies left/right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covariance,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R</m:t>
                </m:r>
              </m:e>
              <m:sup>
                <m:r>
                  <m:t>b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</m:e>
          </m:nary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t xml:space="preserve">to numerical roundoff. Exact Gauss reduction of one plaquette gives an 18-dimensional gauge-singlet sector.</w:t>
      </w:r>
    </w:p>
    <w:p>
      <w:pPr>
        <w:pStyle w:val="BodyText"/>
      </w:pPr>
      <w:r>
        <w:t xml:space="preserve">The finite interacting diagnostic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λ</m:t>
              </m:r>
              <m:r>
                <m:rPr>
                  <m:sty m:val="p"/>
                </m:rPr>
                <m:t>;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λ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block is used to test Schur, spectral-parent, transfer-matrix, and contraction machinery. The continuum proof regulator remains the compact-group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system of Sections 2–4.</w:t>
      </w:r>
    </w:p>
    <w:bookmarkEnd w:id="27"/>
    <w:bookmarkStart w:id="28" w:name="exact-feshbachschur-theorem"/>
    <w:p>
      <w:pPr>
        <w:pStyle w:val="Heading1"/>
      </w:pPr>
      <w:r>
        <w:t xml:space="preserve">8. Exact Feshbach–Schur theorem</w:t>
      </w:r>
    </w:p>
    <w:p>
      <w:pPr>
        <w:pStyle w:val="FirstParagraph"/>
      </w:pPr>
      <w:r>
        <w:t xml:space="preserve">Let a self-adjoint operator be decomposed by complementary projections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E</m:t>
        </m:r>
      </m:oMath>
      <w:r>
        <w:t xml:space="preserve"> </w:t>
      </w:r>
      <w:r>
        <w:t xml:space="preserve">is invertible,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−</m:t>
          </m:r>
          <m: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B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⇔</m:t>
          </m:r>
          <m:r>
            <m:t>E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r>
            <m:t>H</m:t>
          </m:r>
        </m:oMath>
      </m:oMathPara>
    </w:p>
    <w:p>
      <w:pPr>
        <w:pStyle w:val="FirstParagraph"/>
      </w:pPr>
      <w:r>
        <w:t xml:space="preserve">away from</w:t>
      </w:r>
      <w:r>
        <w:t xml:space="preserve"> </w:t>
      </w:r>
      <m:oMath>
        <m:r>
          <m:rPr>
            <m:sty m:val="p"/>
          </m:rPr>
          <m:t>Spec</m:t>
        </m:r>
        <m:r>
          <m:t>D</m:t>
        </m:r>
      </m:oMath>
      <w:r>
        <w:t xml:space="preserve">. Moreover, if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≥</m:t>
          </m:r>
          <m:r>
            <m:t>δ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∥</m:t>
              </m:r>
              <m:r>
                <m:t>B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δ</m:t>
                  </m:r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correction is exactly quadratic in the retained–eliminated coupling</w:t>
      </w:r>
      <w:r>
        <w:t xml:space="preserve"> </w:t>
      </w:r>
      <m:oMath>
        <m:r>
          <m:t>B</m:t>
        </m:r>
      </m:oMath>
      <w:r>
        <w:t xml:space="preserve">. There is no first-order Schur self-energy term.</w:t>
      </w:r>
    </w:p>
    <w:p>
      <w:pPr>
        <w:pStyle w:val="BodyText"/>
      </w:pPr>
      <w:r>
        <w:t xml:space="preserve">The finite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verifies the four lowest full eigenvalues against their energy-dependent Schur operators with maximum residual</w:t>
      </w:r>
      <w:r>
        <w:t xml:space="preserve"> </w:t>
      </w:r>
      <m:oMath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bookmarkEnd w:id="28"/>
    <w:bookmarkStart w:id="29" w:name="quadratic-schur-contraction-theorem"/>
    <w:p>
      <w:pPr>
        <w:pStyle w:val="Heading1"/>
      </w:pPr>
      <w:r>
        <w:t xml:space="preserve">9. Quadratic Schur contraction theorem</w:t>
      </w:r>
    </w:p>
    <w:p>
      <w:pPr>
        <w:pStyle w:val="FirstParagraph"/>
      </w:pPr>
      <w:r>
        <w:t xml:space="preserve">Consider a sequence of exact block eliminations. At scale</w:t>
      </w:r>
      <w:r>
        <w:t xml:space="preserve"> </w:t>
      </w:r>
      <m:oMath>
        <m:r>
          <m:t>k</m:t>
        </m:r>
      </m:oMath>
      <w:r>
        <w:t xml:space="preserve">, absorb the complete</w:t>
      </w:r>
      <w:r>
        <w:t xml:space="preserve"> </w:t>
      </w:r>
      <m:oMath>
        <m:r>
          <m:t>P</m:t>
        </m:r>
        <m:r>
          <m:t>H</m:t>
        </m:r>
        <m:r>
          <m:t>P</m:t>
        </m:r>
      </m:oMath>
      <w:r>
        <w:t xml:space="preserve"> </w:t>
      </w:r>
      <w:r>
        <w:t xml:space="preserve">term into the next retained Hamiltonian and write the remaining retained–eliminated coupling as a sum of local interface operators whose local interaction norm is at most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Assume:</w:t>
      </w:r>
    </w:p>
    <w:p>
      <w:pPr>
        <w:numPr>
          <w:ilvl w:val="0"/>
          <w:numId w:val="1001"/>
        </w:numPr>
        <w:pStyle w:val="Compact"/>
      </w:pPr>
      <w:r>
        <w:t xml:space="preserve">the eliminated sector in the spectral window is separated by</w:t>
      </w:r>
    </w:p>
    <w:p>
      <w:pPr>
        <w:pStyle w:val="Compac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e>
          </m:d>
          <m:r>
            <m:t>Q</m:t>
          </m:r>
          <m:r>
            <m:rPr>
              <m:sty m:val="p"/>
            </m:rPr>
            <m:t>≥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t>Q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  <w:pStyle w:val="Compact"/>
      </w:pP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r>
          <m:t>k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a retained local cell participates in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ordered two-step paths through one eliminated cell;</w:t>
      </w:r>
    </w:p>
    <w:p>
      <w:pPr>
        <w:numPr>
          <w:ilvl w:val="0"/>
          <w:numId w:val="1001"/>
        </w:numPr>
        <w:pStyle w:val="Compact"/>
      </w:pPr>
      <w:r>
        <w:t xml:space="preserve">the next-scale residual interaction norm is defined by summing the norms of local Schur-generated paths touching a fixed retained cell.</w:t>
      </w:r>
    </w:p>
    <w:p>
      <w:pPr>
        <w:pStyle w:val="FirstParagraph"/>
      </w:pPr>
      <w:r>
        <w:t xml:space="preserve">Then each two-step term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B</m:t>
              </m:r>
            </m:e>
            <m:sub>
              <m:r>
                <m:t>Y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Q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Sup>
            <m:e>
              <m:r>
                <m:t>B</m:t>
              </m:r>
            </m:e>
            <m:sub>
              <m:r>
                <m:t>Z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such ordered paths contribute.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den>
              </m:f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sup>
              </m:sSubSup>
            </m:e>
          </m:borderBox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r>
                <m:t>A</m:t>
              </m:r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k</m:t>
        </m:r>
      </m:oMath>
      <w:r>
        <w:t xml:space="preserve">th self-energy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≥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</m:sSubSup>
            </m:e>
          </m:nary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  <m:r>
                    <m:t>j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By Weyl’s inequality, a perturbation of operator norm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moves each of the two lowest spectral edges by at most</w:t>
      </w:r>
      <w:r>
        <w:t xml:space="preserve"> </w:t>
      </w:r>
      <m:oMath>
        <m:r>
          <m:t>ϵ</m:t>
        </m:r>
      </m:oMath>
      <w:r>
        <w:t xml:space="preserve">, so the gap decreases by at most</w:t>
      </w:r>
      <w:r>
        <w:t xml:space="preserve"> </w:t>
      </w:r>
      <m:oMath>
        <m:r>
          <m:t>2</m:t>
        </m:r>
        <m:r>
          <m:t>ϵ</m:t>
        </m:r>
      </m:oMath>
      <w:r>
        <w:t xml:space="preserve">. Thus an initial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regulator-step-independent sufficient criterion for gap survival through an exact Schur tower.</w:t>
      </w:r>
    </w:p>
    <w:bookmarkEnd w:id="29"/>
    <w:bookmarkStart w:id="30" w:name="four-dimensional-local-path-constant"/>
    <w:p>
      <w:pPr>
        <w:pStyle w:val="Heading1"/>
      </w:pPr>
      <w:r>
        <w:t xml:space="preserve">10. Four-dimensional local path constant</w:t>
      </w:r>
    </w:p>
    <w:p>
      <w:pPr>
        <w:pStyle w:val="FirstParagraph"/>
      </w:pPr>
      <w:r>
        <w:t xml:space="preserve">On a 4-dimensional hypercubic lattice, a link belongs to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plaquettes. Fix one plaquette. Each of its four boundary links is shared with five other plaquettes. Distinct edge-sharing neighboring plaquettes therefore number at most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4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ordered Schur path retained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eliminated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retained is bounded by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deliberately a path-count majorant; additional cancellations can only reduce it.</w:t>
      </w:r>
    </w:p>
    <w:p>
      <w:pPr>
        <w:pStyle w:val="BodyText"/>
      </w:pPr>
      <w:r>
        <w:t xml:space="preserve">For the finite quantum-link stress point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machine obtains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0.09998915391358655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0.0703125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170.74167028648398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 conservative invariant target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85.37083514324199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0.32944506110089744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ϵ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6.496071390629655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0.09985923248577395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corresponding separation floor is</w:t>
      </w:r>
    </w:p>
    <w:p>
      <w:pPr>
        <w:pStyle w:val="BodyText"/>
      </w:pPr>
      <m:oMathPara>
        <m:oMathParaPr>
          <m:jc m:val="center"/>
        </m:oMathParaPr>
        <m:oMath>
          <m:r>
            <m:t>170.74154036505618</m:t>
          </m:r>
          <m:r>
            <m:rPr>
              <m:sty m:val="p"/>
            </m:rPr>
            <m:t>&gt;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hence the assumed half-separation is self-consistent for this abstract Schur tower.</w:t>
      </w:r>
    </w:p>
    <w:bookmarkEnd w:id="30"/>
    <w:bookmarkStart w:id="31" w:name="X7f02118d9f778233bc5e59dbe7c90e168d8cae8"/>
    <w:p>
      <w:pPr>
        <w:pStyle w:val="Heading1"/>
      </w:pPr>
      <w:r>
        <w:t xml:space="preserve">11. Strong-coupling gap basin for the standard compact-group Hamiltonian</w:t>
      </w:r>
    </w:p>
    <w:p>
      <w:pPr>
        <w:pStyle w:val="FirstParagraph"/>
      </w:pPr>
      <w:r>
        <w:t xml:space="preserve">For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Hamiltonian, split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unperturbed electric operator is a sum of independent positive group Laplacians. By Peter–Weyl,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|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⊗</m:t>
              </m:r>
              <m:sSubSup>
                <m:e>
                  <m:r>
                    <m:t>V</m:t>
                  </m:r>
                </m:e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rigorous Euclidean strong-coupling endpoint is also available for the standard lattice theory. In the t’Hooft-scaled normalization of Shen, Zhu, and Zhu, the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lattice Yang–Mills measure in dimension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has a unique infinite-volume Gibbs state, satisfies Poincaré and logarithmic-Sobolev inequalities, and exhibits exponential decay of correlations when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 in four dimensions the explicit sufficient region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48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supplies a quantitative infrared endpoint for the A→B chain: once the exact blocked Wilson/heat-kernel action is shown to enter the theorem’s strong-coupling action class with controlled residual interactions, infinite-volume convergence and exponential clustering follow from an existing rigorous theorem. The ultraviolet-to-infrared burden is thereby localized to the matching estimate that carries the asymptotically-free regulator into that certified basin while preserving gauge invariance, locality, and reflection positivity.</w:t>
      </w:r>
    </w:p>
    <w:p>
      <w:pPr>
        <w:pStyle w:val="BodyText"/>
      </w:pPr>
      <w:r>
        <w:t xml:space="preserve">For compact simple</w:t>
      </w:r>
      <w:r>
        <w:t xml:space="preserve"> </w:t>
      </w:r>
      <m:oMath>
        <m:r>
          <m:t>G</m:t>
        </m:r>
      </m:oMath>
      <w:r>
        <w:t xml:space="preserve">, every nontrivial irreducible representation 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product electric vacuum is unique and has a local spectral gap. The magnetic plaquette term is a bounded finite-range perturbation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 Standard relatively-bounded perturbation theorems for gapped lattice systems therefore give a volume-independent gapped phase whenever the local magnetic interaction is sufficiently small relative to the electric gap.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dimensionless local scale ratio behaves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∥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≲</m:t>
          </m:r>
          <m:f>
            <m:fPr>
              <m:type m:val="bar"/>
            </m:fPr>
            <m:num>
              <m:r>
                <m:t>9</m:t>
              </m:r>
            </m:num>
            <m:den>
              <m:sSup>
                <m:e>
                  <m:r>
                    <m:t>g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large-</w:t>
      </w:r>
      <m:oMath>
        <m:r>
          <m:t>g</m:t>
        </m:r>
      </m:oMath>
      <w:r>
        <w:t xml:space="preserve"> </w:t>
      </w:r>
      <w:r>
        <w:t xml:space="preserve">region lies in a rigorous gapped strong-coupling basin.</w:t>
      </w:r>
    </w:p>
    <w:p>
      <w:pPr>
        <w:pStyle w:val="BodyText"/>
      </w:pPr>
      <w:r>
        <w:t xml:space="preserve">The purpose of Sections 8–10 is to give a UCD-native exact Schur mechanism for maintaining such a basin under subsequent coarse elimination, with explicit summable error control.</w:t>
      </w:r>
    </w:p>
    <w:bookmarkEnd w:id="31"/>
    <w:bookmarkStart w:id="32" w:name="Xecf360c2dc5d407c02cdc46f17d77fb15a0993b"/>
    <w:p>
      <w:pPr>
        <w:pStyle w:val="Heading1"/>
      </w:pPr>
      <w:r>
        <w:t xml:space="preserve">12. Ultraviolet asymptotic freedom and renormalized trajectory</w:t>
      </w:r>
    </w:p>
    <w:p>
      <w:pPr>
        <w:pStyle w:val="FirstParagraph"/>
      </w:pPr>
      <w:r>
        <w:t xml:space="preserve">For pure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f>
            <m:fPr>
              <m:type m:val="bar"/>
            </m:fPr>
            <m:num>
              <m:r>
                <m:t>d</m:t>
              </m:r>
              <m:r>
                <m:t>g</m:t>
              </m:r>
            </m:num>
            <m:den>
              <m:r>
                <m:t>d</m:t>
              </m:r>
              <m:r>
                <m:t>μ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sSup>
            <m:e>
              <m:r>
                <m:t>g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5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N</m:t>
              </m:r>
            </m:num>
            <m:den>
              <m:r>
                <m:t>48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16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0.0696583137541</m:t>
          </m:r>
          <m:r>
            <m:rPr>
              <m:sty m:val="p"/>
            </m:rPr>
            <m:t>…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one loop, fixing a block coupling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at physical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g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2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→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trajectory verifies the algebraic round-trip relation to machine precision. Balaban’s four-dimensional small-field renormalization construction provides rigorous localized effective actions and coupling-constant renormalization in the weak-coupling ultraviolet regime. The complete Jaffe–Witten bridge is the all-field continuation from that ultraviolet regime into a fixed-physical-scale gapped basin with constants uniform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t xml:space="preserve">We isolate that step as the following lemma.</w:t>
      </w:r>
    </w:p>
    <w:p>
      <w:pPr>
        <w:pStyle w:val="BodyText"/>
      </w:pPr>
      <w:r>
        <w:rPr>
          <w:bCs/>
          <w:b/>
        </w:rPr>
        <w:t xml:space="preserve">Bridge Lemma A (UV-to-gap-basin).</w:t>
      </w:r>
      <w:r>
        <w:t xml:space="preserve"> </w:t>
      </w:r>
      <w:r>
        <w:t xml:space="preserve">There exist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and regulator couplings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 the exact gauge-invariant Wilson/heat-kernel RG map to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produces an effective Hamiltonian satisfying the hypotheses of Theorem 9 with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thermodynamic volume, with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Once Bridge Lemma A is established, Theorem 9 produces a regulator- and volume-uniform positive spectral threshold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a-regulator-uniform-mass-gap"/>
    <w:p>
      <w:pPr>
        <w:pStyle w:val="Heading1"/>
      </w:pPr>
      <w:r>
        <w:t xml:space="preserve">13. A: regulator-uniform mass gap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</m:oMath>
      <w:r>
        <w:t xml:space="preserve"> </w:t>
      </w:r>
      <w:r>
        <w:t xml:space="preserve">be the finite-volume vacuum projection. Under Bridge Lemma A and the exact Schur contraction theorem,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with one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 sufficiently small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sufficiently large</w:t>
      </w:r>
      <w:r>
        <w:t xml:space="preserve"> </w:t>
      </w:r>
      <m:oMath>
        <m:r>
          <m:t>L</m:t>
        </m:r>
      </m:oMath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limLow>
                <m:e>
                  <m:r>
                    <m:rPr>
                      <m:sty m:val="p"/>
                    </m:rPr>
                    <m:t>inf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e>
              </m:d>
              <m:r>
                <m:rPr>
                  <m:sty m:val="p"/>
                </m:rPr>
                <m:t>≥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precisely the form of uniform finite-volume gap singled out in the Jaffe–Witten discussion as the spectral input needed for the thermodynamic construction.</w:t>
      </w:r>
    </w:p>
    <w:bookmarkEnd w:id="33"/>
    <w:bookmarkStart w:id="34" w:name="b-infinite-volume-local-state"/>
    <w:p>
      <w:pPr>
        <w:pStyle w:val="Heading1"/>
      </w:pPr>
      <w:r>
        <w:t xml:space="preserve">14. B: infinite-volume local state</w:t>
      </w:r>
    </w:p>
    <w:p>
      <w:pPr>
        <w:pStyle w:val="FirstParagraph"/>
      </w:pPr>
      <w:r>
        <w:t xml:space="preserve">For a bounded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supported in a fixed compact physical region</w:t>
      </w:r>
      <w:r>
        <w:t xml:space="preserve"> </w:t>
      </w:r>
      <m:oMath>
        <m:r>
          <m:t>K</m:t>
        </m:r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,</m:t>
          </m:r>
          <m:r>
            <m:t>A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volume-uniform gap and finite-range locality give exponential decay of connected correlations in the Hamiltonian lattice theory. The required thermodynamic theorem is:</w:t>
      </w:r>
    </w:p>
    <w:p>
      <w:pPr>
        <w:pStyle w:val="BodyText"/>
      </w:pPr>
      <w:r>
        <w:rPr>
          <w:bCs/>
          <w:b/>
        </w:rPr>
        <w:t xml:space="preserve">Bridge Lemma B1 (thermodynamic uniqueness and convergence).</w:t>
      </w:r>
      <w:r>
        <w:t xml:space="preserve"> </w:t>
      </w:r>
      <w:r>
        <w:t xml:space="preserve">For each sufficiently small</w:t>
      </w:r>
      <w:r>
        <w:t xml:space="preserve"> </w:t>
      </w:r>
      <m:oMath>
        <m:r>
          <m:t>a</m:t>
        </m:r>
      </m:oMath>
      <w:r>
        <w:t xml:space="preserve">, the local expectations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converge as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independently of boundary conditions compatible with the vacuum phase, and the limit obeys a uniform exponential clustering estimate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quasi-local algebra is the norm closure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A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⋐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p>
                      <m:r>
                        <m:t>3</m:t>
                      </m:r>
                    </m:sup>
                  </m:sSup>
                </m:lim>
              </m:limLow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e>
          </m:ba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thermodynamic state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positive and normalized by construction.</w:t>
      </w:r>
    </w:p>
    <w:bookmarkEnd w:id="34"/>
    <w:bookmarkStart w:id="35" w:name="b-continuum-schwinger-family"/>
    <w:p>
      <w:pPr>
        <w:pStyle w:val="Heading1"/>
      </w:pPr>
      <w:r>
        <w:t xml:space="preserve">15. B: continuum Schwinger family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O</m:t>
            </m:r>
          </m:e>
          <m:sub>
            <m:r>
              <m:t>i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be renormalized gauge-invariant local composite observables smeared with test functions. Define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1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⋯</m:t>
              </m:r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n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continuum construction requires scale-dependent field/operator renormalizations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  <m:scr m:val="script"/>
              </m:rPr>
              <m:t>O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and counterterms fixed by gauge-invariant renormalization conditions.</w:t>
      </w:r>
    </w:p>
    <w:p>
      <w:pPr>
        <w:pStyle w:val="BodyText"/>
      </w:pPr>
      <w:r>
        <w:rPr>
          <w:bCs/>
          <w:b/>
        </w:rPr>
        <w:t xml:space="preserve">Bridge Lemma B2 (continuum convergence).</w:t>
      </w:r>
      <w:r>
        <w:t xml:space="preserve"> </w:t>
      </w:r>
      <w:r>
        <w:t xml:space="preserve">For every finite collection of gauge-invariant local test observables, the renormalized distributions converge in</w:t>
      </w:r>
      <w:r>
        <w:t xml:space="preserve"> </w:t>
      </w:r>
      <m:oMath>
        <m:r>
          <m:rPr>
            <m:sty m:val="p"/>
            <m:scr m:val="script"/>
          </m:rPr>
          <m:t>S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p"/>
                    <m:scr m:val="double-struck"/>
                  </m:rPr>
                  <m:t>R</m:t>
                </m:r>
              </m:e>
              <m:sup>
                <m:r>
                  <m:t>4</m:t>
                </m:r>
                <m:r>
                  <m:t>n</m:t>
                </m:r>
              </m:sup>
            </m:sSup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bounds are uniform on bounded sets of Schwartz test functions and compatible with the exponential clustering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Bridge Lemma B3 (nontriviality).</w:t>
      </w:r>
      <w:r>
        <w:t xml:space="preserve"> </w:t>
      </w:r>
      <w:r>
        <w:t xml:space="preserve">At least one connected gauge-invariant continuum distribution is nonzero, equivalently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≢</m:t>
          </m:r>
          <m:r>
            <m:t>0</m:t>
          </m:r>
        </m:oMath>
      </m:oMathPara>
    </w:p>
    <w:p>
      <w:pPr>
        <w:pStyle w:val="FirstParagraph"/>
      </w:pPr>
      <w:r>
        <w:t xml:space="preserve">for some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or another equivalent non-Gaussian observable criterion holds.</w:t>
      </w:r>
    </w:p>
    <w:p>
      <w:pPr>
        <w:pStyle w:val="BodyText"/>
      </w:pPr>
      <w:r>
        <w:t xml:space="preserve">The finite workbench already contains nonzero connected Wilson spectral weight; B3 is its continuum persistence statement.</w:t>
      </w:r>
    </w:p>
    <w:bookmarkEnd w:id="35"/>
    <w:bookmarkStart w:id="36" w:name="X23e6b541995d7225aea9c2ef0ba492b723b4a52"/>
    <w:p>
      <w:pPr>
        <w:pStyle w:val="Heading1"/>
      </w:pPr>
      <w:r>
        <w:t xml:space="preserve">15.1 Local curvature fields, stress tensor, and short-distance operator structure</w:t>
      </w:r>
    </w:p>
    <w:p>
      <w:pPr>
        <w:pStyle w:val="FirstParagraph"/>
      </w:pPr>
      <w:r>
        <w:t xml:space="preserve">The Jaffe–Witten specification requires the continuum theory to contain local gauge-invariant quantum fields corresponding to classical gauge-invariant differential polynomials in the curvature and its covariant derivatives. Let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F</m:t>
              </m:r>
              <m:r>
                <m:rPr>
                  <m:sty m:val="p"/>
                </m:rPr>
                <m:t>,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FirstParagraph"/>
      </w:pPr>
      <w:r>
        <w:t xml:space="preserve">be such a polynomial of engineering dimension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 On a lattice, curvature is represented by oriented plaquette combinations.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one convenient Lie-algebra-valued representative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μ</m:t>
              </m:r>
              <m:r>
                <m:t>ν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i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den>
          </m:f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covariant finite differences give approximants to</w:t>
      </w:r>
      <w:r>
        <w:t xml:space="preserve"> </w:t>
      </w:r>
      <m:oMath>
        <m:sSub>
          <m:e>
            <m:r>
              <m:t>D</m:t>
            </m:r>
          </m:e>
          <m:sub>
            <m:r>
              <m:t>ρ</m:t>
            </m:r>
          </m:sub>
        </m:sSub>
        <m:sSub>
          <m:e>
            <m:r>
              <m:t>F</m:t>
            </m:r>
          </m:e>
          <m:sub>
            <m:r>
              <m:t>μ</m:t>
            </m:r>
            <m:r>
              <m:t>ν</m:t>
            </m:r>
          </m:sub>
        </m:sSub>
      </m:oMath>
      <w:r>
        <w:t xml:space="preserve">. Gauge-invariant lattice composites</w:t>
      </w:r>
      <w:r>
        <w:t xml:space="preserve"> </w:t>
      </w:r>
      <m:oMath>
        <m:sSubSup>
          <m:e>
            <m:r>
              <m:t>P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</m:oMath>
      <w:r>
        <w:t xml:space="preserve"> </w:t>
      </w:r>
      <w:r>
        <w:t xml:space="preserve">are then mixed and renormalized by a finite matrix at each engineering dimension,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P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μ</m:t>
              </m:r>
            </m:e>
          </m:d>
          <m:sSubSup>
            <m:e>
              <m:r>
                <m:t>P</m:t>
              </m:r>
            </m:e>
            <m:sub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required continuum statement is:</w:t>
      </w:r>
    </w:p>
    <w:p>
      <w:pPr>
        <w:pStyle w:val="BodyText"/>
      </w:pPr>
      <w:r>
        <w:rPr>
          <w:bCs/>
          <w:b/>
        </w:rPr>
        <w:t xml:space="preserve">Bridge Lemma B4 (composite-field convergence).</w:t>
      </w:r>
      <w:r>
        <w:t xml:space="preserve"> </w:t>
      </w:r>
      <w:r>
        <w:t xml:space="preserve">For every gauge-invariant differential polynomial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D</m:t>
            </m:r>
            <m:r>
              <m:t>F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 </w:t>
      </w:r>
      <w:r>
        <w:t xml:space="preserve">there is a renormalized lattice approximant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O</m:t>
            </m:r>
          </m:e>
          <m:sub>
            <m:r>
              <m:t>P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</m:oMath>
      <w:r>
        <w:t xml:space="preserve"> </w:t>
      </w:r>
      <w:r>
        <w:t xml:space="preserve">such that all mixed Schwinger distributions containing finitely many such insertions converge in</w:t>
      </w:r>
      <w:r>
        <w:t xml:space="preserve"> </w:t>
      </w:r>
      <m:oMath>
        <m:r>
          <m:rPr>
            <m:sty m:val="p"/>
            <m:scr m:val="script"/>
          </m:rPr>
          <m:t>S</m:t>
        </m:r>
        <m:r>
          <m:rPr>
            <m:sty m:val="p"/>
          </m:rPr>
          <m:t>′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and the limiting operators transform covariantly under the restored Euclidean group.</w:t>
      </w:r>
    </w:p>
    <w:p>
      <w:pPr>
        <w:pStyle w:val="BodyText"/>
      </w:pPr>
      <w:r>
        <w:t xml:space="preserve">The stress tensor is obtained by differentiating an anisotropic/background-metric lattice action with respect to the metric and then renormalizing the finite set of operators allowed by symmetry. Its continuum Ward identity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∂</m:t>
              </m:r>
            </m:e>
            <m:sup>
              <m:r>
                <m:t>μ</m:t>
              </m:r>
            </m:sup>
          </m:sSup>
          <m:sSub>
            <m:e>
              <m:r>
                <m:t>T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after OS reconstruction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00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</m:e>
          </m:d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in the standard quadratic-form sense on the energy domain.</w:t>
      </w:r>
    </w:p>
    <w:p>
      <w:pPr>
        <w:pStyle w:val="BodyText"/>
      </w:pPr>
      <w:r>
        <w:t xml:space="preserve">At short distance, asymptotic freedom fixes the ultraviolet coefficients in products of local fields. The required operator-product statement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∼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P</m:t>
                  </m:r>
                  <m:r>
                    <m:t>Q</m:t>
                  </m:r>
                </m:sub>
                <m:sup>
                  <m:r>
                    <m:t> </m:t>
                  </m:r>
                  <m:r>
                    <m:t>R</m:t>
                  </m:r>
                </m:sup>
              </m:sSubSup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</m:e>
          </m:d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↓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μ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Wilson coefficients having the perturbative asymptotic expansion determined by Yang–Mills renormalization.</w:t>
      </w:r>
    </w:p>
    <w:p>
      <w:pPr>
        <w:pStyle w:val="BodyText"/>
      </w:pPr>
      <w:r>
        <w:rPr>
          <w:bCs/>
          <w:b/>
        </w:rPr>
        <w:t xml:space="preserve">Bridge Lemma B5 (short-distance matching).</w:t>
      </w:r>
      <w:r>
        <w:t xml:space="preserve"> </w:t>
      </w:r>
      <w:r>
        <w:t xml:space="preserve">The renormalized continuum composite fields of B4 obey the Yang–Mills Ward identities and their short-distance Schwinger distributions have the asymptotic-freedom/OPE singular structure fixed by perturbative renormalization. In particular a conserved renormalized stress tensor exists.</w:t>
      </w:r>
    </w:p>
    <w:p>
      <w:pPr>
        <w:pStyle w:val="BodyText"/>
      </w:pPr>
      <w:r>
        <w:t xml:space="preserve">B4 and B5 are the exact operator-theoretic form of the local-field and ultraviolet requirements in the Jaffe–Witten problem statement; they prevent a merely gapped lattice theory from being substituted for four-dimensional quantum Yang–Mills.</w:t>
      </w:r>
    </w:p>
    <w:bookmarkEnd w:id="36"/>
    <w:bookmarkStart w:id="37" w:name="X04db9635e6b096c532c66877395a0d22a1208ce"/>
    <w:p>
      <w:pPr>
        <w:pStyle w:val="Heading1"/>
      </w:pPr>
      <w:r>
        <w:t xml:space="preserve">16. Reflection positivity and passage to the limit</w:t>
      </w:r>
    </w:p>
    <w:p>
      <w:pPr>
        <w:pStyle w:val="FirstParagraph"/>
      </w:pPr>
      <w:r>
        <w:t xml:space="preserve">At finite regulator the Wilson approximation is reflection positive; the heat-kernel formulation exhibits positivity directly through nonnegative character coefficients.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polynomial in positive-time gauge-invariant smeared observables.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Bridge Lemma B2 gives convergence of every correlator entering this finite quadratic form,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limLow>
            <m:e>
              <m:r>
                <m:rPr>
                  <m:sty m:val="p"/>
                </m:rPr>
                <m:t>lim</m:t>
              </m:r>
            </m:e>
            <m:lim>
              <m: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reflection positivity is closed under the continuum limit once the Schwinger distributions converge.</w:t>
      </w:r>
    </w:p>
    <w:p>
      <w:pPr>
        <w:pStyle w:val="BodyText"/>
      </w:pPr>
      <w:r>
        <w:t xml:space="preserve">The same argument passes permutation symmetry. Translation invariance passes from the translation-invariant regulators. Full Euclidean rotation invariance requires restoration from the hypercubic subgroup:</w:t>
      </w:r>
    </w:p>
    <w:p>
      <w:pPr>
        <w:pStyle w:val="BodyText"/>
      </w:pPr>
      <w:r>
        <w:rPr>
          <w:bCs/>
          <w:b/>
        </w:rPr>
        <w:t xml:space="preserve">Bridge Lemma C1 (Euclidean restoration).</w:t>
      </w:r>
      <w:r>
        <w:t xml:space="preserve"> </w:t>
      </w:r>
      <w:r>
        <w:t xml:space="preserve">The limiting Schwinger distributions are invariant under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</m:oMath>
      <w:r>
        <w:t xml:space="preserve"> </w:t>
      </w:r>
      <w:r>
        <w:t xml:space="preserve">rather than only the hypercubic subgroup, with all Lorentz-breaking irrelevant operators vanishing under the renormalized trajectory.</w:t>
      </w:r>
    </w:p>
    <w:bookmarkEnd w:id="37"/>
    <w:bookmarkStart w:id="38" w:name="c-osterwalderschrader-reconstruction"/>
    <w:p>
      <w:pPr>
        <w:pStyle w:val="Heading1"/>
      </w:pPr>
      <w:r>
        <w:t xml:space="preserve">17. C: Osterwalder–Schrader reconstruction</w:t>
      </w:r>
    </w:p>
    <w:p>
      <w:pPr>
        <w:pStyle w:val="FirstParagraph"/>
      </w:pPr>
      <w:r>
        <w:t xml:space="preserve">Assume B1–B5 and C1 together with the standard OS regularity bounds. Then the limiting Schwinger family satisfies the reconstruction hypotheses. The OS quotient is formed from positive-time test polynomials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  <m:sub>
              <m:r>
                <m:t>O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modulo null vectors and completed to a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. Euclidean time translations generate a positive contraction semigroup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Spatial translations and rotations continue to unitary operators, analytic continuation produces the Poincaré representation, and the reconstructed local observable fields satisfy the corresponding Wightman-strength axioms.</w:t>
      </w:r>
    </w:p>
    <w:p>
      <w:pPr>
        <w:pStyle w:val="BodyText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{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O</m:t>
                  </m:r>
                  <m:r>
                    <m:t>S</m:t>
                  </m:r>
                </m:lim>
              </m:limUp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Ω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  <m:scr m:val="script"/>
                    </m:rPr>
                    <m:t>A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bookmarkEnd w:id="38"/>
    <w:bookmarkStart w:id="39" w:name="d-spectral-gap-transfer"/>
    <w:p>
      <w:pPr>
        <w:pStyle w:val="Heading1"/>
      </w:pPr>
      <w:r>
        <w:t xml:space="preserve">18. D: spectral-gap transfer</w:t>
      </w:r>
    </w:p>
    <w:p>
      <w:pPr>
        <w:pStyle w:val="FirstParagraph"/>
      </w:pPr>
      <w:r>
        <w:t xml:space="preserve">For a local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Ω</m:t>
        </m:r>
        <m:r>
          <m:rPr>
            <m:sty m:val="p"/>
          </m:rPr>
          <m:t>,</m:t>
        </m:r>
        <m:r>
          <m:t>A</m:t>
        </m:r>
        <m:r>
          <m:t>Ω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Ω</m:t>
          </m:r>
          <m:r>
            <m:rPr>
              <m:sty m:val="p"/>
            </m:rPr>
            <m:t>,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t>A</m:t>
          </m:r>
          <m:r>
            <m:t>Ω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t</m:t>
                  </m:r>
                </m:sup>
              </m:sSup>
            </m:e>
          </m:nary>
          <m:r>
            <m:t> </m:t>
          </m:r>
          <m:r>
            <m:t>d</m:t>
          </m:r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 positive spectral measure.</w:t>
      </w:r>
    </w:p>
    <w:p>
      <w:pPr>
        <w:pStyle w:val="BodyText"/>
      </w:pPr>
      <w:r>
        <w:t xml:space="preserve">If the uniform regulator gap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stable under the limits, then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E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some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positivity implies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≥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sup>
          </m:sSup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bounded by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local gauge-invariant vectors</w:t>
      </w:r>
      <w:r>
        <w:t xml:space="preserve"> </w:t>
      </w:r>
      <m:oMath>
        <m:r>
          <m:t>A</m:t>
        </m:r>
        <m:r>
          <m:t>Ω</m:t>
        </m:r>
      </m:oMath>
      <w:r>
        <w:t xml:space="preserve"> </w:t>
      </w:r>
      <w:r>
        <w:t xml:space="preserve">are dense in</w:t>
      </w:r>
      <w:r>
        <w:t xml:space="preserve"> </w:t>
      </w:r>
      <m:oMath>
        <m:sSup>
          <m:e>
            <m:r>
              <m:t>Ω</m:t>
            </m:r>
          </m:e>
          <m:sup>
            <m:r>
              <m:rPr>
                <m:sty m:val="p"/>
              </m:rPr>
              <m:t>⊥</m:t>
            </m:r>
          </m:sup>
        </m:sSup>
      </m:oMath>
      <w:r>
        <w:t xml:space="preserve">, then the bounded spectral projection</w:t>
      </w:r>
      <w:r>
        <w:t xml:space="preserve"> </w:t>
      </w:r>
      <m:oMath>
        <m:sSub>
          <m:e>
            <m:r>
              <m:t>1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m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</m:sub>
        </m:sSub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</m:oMath>
      <w:r>
        <w:t xml:space="preserve"> </w:t>
      </w:r>
      <w:r>
        <w:t xml:space="preserve">vanishes on a dense set and therefore vanishes identically. 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9"/>
    <w:bookmarkStart w:id="40" w:name="X40c668e57f25c0c511dc0a65236c403abcc1ca5"/>
    <w:p>
      <w:pPr>
        <w:pStyle w:val="Heading1"/>
      </w:pPr>
      <w:r>
        <w:t xml:space="preserve">19. Finite upper edge and nontrivial spectral support</w:t>
      </w:r>
    </w:p>
    <w:p>
      <w:pPr>
        <w:pStyle w:val="FirstParagraph"/>
      </w:pPr>
      <w:r>
        <w:t xml:space="preserve">The Jaffe–Witten definition also requires the supremal gap parameter to be finite. It is enough to construct one non-vacuum local state of finite energy. For a compactly supported gauge-invariant local operator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Hamiltonian form domain,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t>A</m:t>
          </m:r>
          <m:r>
            <m:t>Ω</m:t>
          </m:r>
          <m:r>
            <m:rPr>
              <m:sty m:val="p"/>
            </m:rPr>
            <m:t>∥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⟩</m:t>
              </m:r>
            </m:num>
            <m:den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A</m:t>
              </m:r>
              <m:r>
                <m:t>Ω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places spectrum at finite positive energy. The continuum nontriviality lemma B3 supplies the required non-vacuum local sector.</w:t>
      </w:r>
    </w:p>
    <w:bookmarkEnd w:id="40"/>
    <w:bookmarkStart w:id="41" w:name="arbitrary-compact-simple-gauge-group"/>
    <w:p>
      <w:pPr>
        <w:pStyle w:val="Heading1"/>
      </w:pPr>
      <w:r>
        <w:t xml:space="preserve">20. Arbitrary compact simple gauge group</w:t>
      </w:r>
    </w:p>
    <w:p>
      <w:pPr>
        <w:pStyle w:val="FirstParagraph"/>
      </w:pPr>
      <w:r>
        <w:t xml:space="preserve">The argument above is not special to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at the structural level. For compact simple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Haar measure exists and is finite.</w:t>
      </w:r>
    </w:p>
    <w:p>
      <w:pPr>
        <w:numPr>
          <w:ilvl w:val="0"/>
          <w:numId w:val="1002"/>
        </w:numPr>
        <w:pStyle w:val="Compact"/>
      </w:pPr>
      <w:r>
        <w:t xml:space="preserve">Peter–Weyl gives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</m:sSub>
          <m:sSub>
            <m:e>
              <m:r>
                <m:t>V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  <w:pStyle w:val="Compact"/>
      </w:pPr>
      <w:r>
        <w:t xml:space="preserve">The Laplace–Casimir eigenvalue obeys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nontrivial irreducible representation.</w:t>
      </w:r>
    </w:p>
    <w:p>
      <w:pPr>
        <w:numPr>
          <w:ilvl w:val="0"/>
          <w:numId w:val="1002"/>
        </w:numPr>
        <w:pStyle w:val="Compact"/>
      </w:pPr>
      <w:r>
        <w:t xml:space="preserve">Heat-kernel character coefficients are positive.</w:t>
      </w:r>
    </w:p>
    <w:p>
      <w:pPr>
        <w:numPr>
          <w:ilvl w:val="0"/>
          <w:numId w:val="1002"/>
        </w:numPr>
        <w:pStyle w:val="Compact"/>
      </w:pPr>
      <w:r>
        <w:t xml:space="preserve">Wilson/character plaquette observables are local and gauge invariant.</w:t>
      </w:r>
    </w:p>
    <w:p>
      <w:pPr>
        <w:numPr>
          <w:ilvl w:val="0"/>
          <w:numId w:val="1002"/>
        </w:numPr>
        <w:pStyle w:val="Compact"/>
      </w:pPr>
      <w:r>
        <w:t xml:space="preserve">The Schur theorem is representation independent.</w:t>
      </w:r>
    </w:p>
    <w:p>
      <w:pPr>
        <w:numPr>
          <w:ilvl w:val="0"/>
          <w:numId w:val="1002"/>
        </w:numPr>
        <w:pStyle w:val="Compact"/>
      </w:pPr>
      <w:r>
        <w:t xml:space="preserve">The OS reconstruction and spectral-transfer arguments are group independent.</w:t>
      </w:r>
    </w:p>
    <w:p>
      <w:pPr>
        <w:pStyle w:val="FirstParagraph"/>
      </w:pPr>
      <w:r>
        <w:t xml:space="preserve">The group-dependent part is therefore concentrated in the uniform RG estimates of Bridge Lemmas A and B2. A complete</w:t>
      </w:r>
      <w:r>
        <w:t xml:space="preserve"> </w:t>
      </w:r>
      <w:r>
        <w:t xml:space="preserve">“</w:t>
      </w:r>
      <w:r>
        <w:t xml:space="preserve">for any compact simple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 </w:t>
      </w:r>
      <w:r>
        <w:t xml:space="preserve">proof supplies those estimates for each compact simple group, with no requirement that the numerical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be universal across different groups.</w:t>
      </w:r>
    </w:p>
    <w:bookmarkEnd w:id="41"/>
    <w:bookmarkStart w:id="42" w:name="positivity-bootstrap-cross-check-lane"/>
    <w:p>
      <w:pPr>
        <w:pStyle w:val="Heading1"/>
      </w:pPr>
      <w:r>
        <w:t xml:space="preserve">21. Positivity-bootstrap cross-check lane</w:t>
      </w:r>
    </w:p>
    <w:p>
      <w:pPr>
        <w:pStyle w:val="FirstParagraph"/>
      </w:pPr>
      <w:r>
        <w:t xml:space="preserve">Hermitian positivity, reflection positivity, and Schwinger–Dyson loop equations can be imposed simultaneously on finite sets of Wilson loops. The 2025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lattice bootstrap literature demonstrates rigorous expectation-value bounds from these constraints in 2D, 3D, and 4D. In this package that machinery is assigned as an independent finite-regulator cross-check lane: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Wilson loop algebra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reflection positivity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SD equations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certified convex feasible region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natural next use is to bound the renormalized block parameters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η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entering Bridge Lemma A rather than merely bound the plaquette expectation.</w:t>
      </w:r>
    </w:p>
    <w:bookmarkEnd w:id="42"/>
    <w:bookmarkStart w:id="43" w:name="machine-verifiable-results"/>
    <w:p>
      <w:pPr>
        <w:pStyle w:val="Heading1"/>
      </w:pPr>
      <w:r>
        <w:t xml:space="preserve">22. Machine-verifiable results</w:t>
      </w:r>
    </w:p>
    <w:p>
      <w:pPr>
        <w:pStyle w:val="FirstParagraph"/>
      </w:pPr>
      <w:r>
        <w:t xml:space="preserve">The package runs the following independent checks:</w:t>
      </w:r>
    </w:p>
    <w:p>
      <w:pPr>
        <w:numPr>
          <w:ilvl w:val="0"/>
          <w:numId w:val="1003"/>
        </w:numPr>
        <w:pStyle w:val="Compact"/>
      </w:pP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left/right covariance and fundamental Casimir;</w:t>
      </w:r>
    </w:p>
    <w:p>
      <w:pPr>
        <w:numPr>
          <w:ilvl w:val="0"/>
          <w:numId w:val="1003"/>
        </w:numPr>
        <w:pStyle w:val="Compact"/>
      </w:pPr>
      <w:r>
        <w:t xml:space="preserve">exact 18-dimensional finite Gauss-sector construction;</w:t>
      </w:r>
    </w:p>
    <w:p>
      <w:pPr>
        <w:numPr>
          <w:ilvl w:val="0"/>
          <w:numId w:val="1003"/>
        </w:numPr>
        <w:pStyle w:val="Compact"/>
      </w:pPr>
      <w:r>
        <w:t xml:space="preserve">positive interacting finite-workbench block gap;</w:t>
      </w:r>
    </w:p>
    <w:p>
      <w:pPr>
        <w:numPr>
          <w:ilvl w:val="0"/>
          <w:numId w:val="1003"/>
        </w:numPr>
        <w:pStyle w:val="Compact"/>
      </w:pPr>
      <w:r>
        <w:t xml:space="preserve">low-spectrum Feshbach–Schur isospectrality;</w:t>
      </w:r>
    </w:p>
    <w:p>
      <w:pPr>
        <w:numPr>
          <w:ilvl w:val="0"/>
          <w:numId w:val="1003"/>
        </w:numPr>
        <w:pStyle w:val="Compact"/>
      </w:pPr>
      <w:r>
        <w:t xml:space="preserve">exact spectral-parent inequality;</w:t>
      </w:r>
    </w:p>
    <w:p>
      <w:pPr>
        <w:numPr>
          <w:ilvl w:val="0"/>
          <w:numId w:val="1003"/>
        </w:numPr>
        <w:pStyle w:val="Compact"/>
      </w:pPr>
      <w:r>
        <w:t xml:space="preserve">positive self-adjoint transfer matrix and transfer-gap identity;</w:t>
      </w:r>
    </w:p>
    <w:p>
      <w:pPr>
        <w:numPr>
          <w:ilvl w:val="0"/>
          <w:numId w:val="1003"/>
        </w:numPr>
        <w:pStyle w:val="Compact"/>
      </w:pPr>
      <w:r>
        <w:t xml:space="preserve">positive-kernel preservation under coarse pullback;</w:t>
      </w:r>
    </w:p>
    <w:p>
      <w:pPr>
        <w:numPr>
          <w:ilvl w:val="0"/>
          <w:numId w:val="1003"/>
        </w:numPr>
        <w:pStyle w:val="Compact"/>
      </w:pPr>
      <w:r>
        <w:t xml:space="preserve">nonzero gauge-invariant finite spectral weight and exponential spectral bound;</w:t>
      </w:r>
    </w:p>
    <w:p>
      <w:pPr>
        <w:numPr>
          <w:ilvl w:val="0"/>
          <w:numId w:val="1003"/>
        </w:numPr>
        <w:pStyle w:val="Compact"/>
      </w:pPr>
      <w:r>
        <w:t xml:space="preserve">Wilson small-plaquette continuum scaling;</w:t>
      </w:r>
    </w:p>
    <w:p>
      <w:pPr>
        <w:numPr>
          <w:ilvl w:val="0"/>
          <w:numId w:val="1003"/>
        </w:numPr>
        <w:pStyle w:val="Compact"/>
      </w:pPr>
      <w:r>
        <w:t xml:space="preserve">one-loop asymptotically-free trajectory arithmetic;</w:t>
      </w:r>
    </w:p>
    <w:p>
      <w:pPr>
        <w:numPr>
          <w:ilvl w:val="0"/>
          <w:numId w:val="1003"/>
        </w:numPr>
        <w:pStyle w:val="Compact"/>
      </w:pPr>
      <w:r>
        <w:t xml:space="preserve">exact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Peter–Weyl dimensions and Casimir values;</w:t>
      </w:r>
    </w:p>
    <w:p>
      <w:pPr>
        <w:numPr>
          <w:ilvl w:val="0"/>
          <w:numId w:val="1003"/>
        </w:numPr>
        <w:pStyle w:val="Compact"/>
      </w:pPr>
      <w:r>
        <w:t xml:space="preserve">fundamental tensor-product adjacency graph;</w:t>
      </w:r>
    </w:p>
    <w:p>
      <w:pPr>
        <w:numPr>
          <w:ilvl w:val="0"/>
          <w:numId w:val="1003"/>
        </w:numPr>
        <w:pStyle w:val="Compact"/>
      </w:pPr>
      <w:r>
        <w:t xml:space="preserve">heat-kernel positive coefficients and convolution semigroup coefficients;</w:t>
      </w:r>
    </w:p>
    <w:p>
      <w:pPr>
        <w:numPr>
          <w:ilvl w:val="0"/>
          <w:numId w:val="1003"/>
        </w:numPr>
        <w:pStyle w:val="Compact"/>
      </w:pPr>
      <w:r>
        <w:t xml:space="preserve">4D hypercubic overlap/path-count constants;</w:t>
      </w:r>
    </w:p>
    <w:p>
      <w:pPr>
        <w:numPr>
          <w:ilvl w:val="0"/>
          <w:numId w:val="1003"/>
        </w:numPr>
        <w:pStyle w:val="Compact"/>
      </w:pPr>
      <w:r>
        <w:t xml:space="preserve">quadratic Schur contraction and infinite-step gap-floor certificate.</w:t>
      </w:r>
    </w:p>
    <w:p>
      <w:pPr>
        <w:pStyle w:val="FirstParagraph"/>
      </w:pPr>
      <w:r>
        <w:t xml:space="preserve">The current automated test suite returns</w:t>
      </w:r>
      <w:r>
        <w:t xml:space="preserve"> </w:t>
      </w:r>
      <w:r>
        <w:rPr>
          <w:bCs/>
          <w:b/>
        </w:rPr>
        <w:t xml:space="preserve">10/10 tests passed</w:t>
      </w:r>
      <w:r>
        <w:t xml:space="preserve">. The prior independent finite-block verifier returns</w:t>
      </w:r>
      <w:r>
        <w:t xml:space="preserve"> </w:t>
      </w:r>
      <w:r>
        <w:rPr>
          <w:bCs/>
          <w:b/>
        </w:rPr>
        <w:t xml:space="preserve">11/11 checks passed</w:t>
      </w:r>
      <w:r>
        <w:t xml:space="preserve">.</w:t>
      </w:r>
    </w:p>
    <w:bookmarkEnd w:id="43"/>
    <w:bookmarkStart w:id="44" w:name="jaffewitten-proof-ledger"/>
    <w:p>
      <w:pPr>
        <w:pStyle w:val="Heading1"/>
      </w:pPr>
      <w:r>
        <w:t xml:space="preserve">23. Jaffe–Witten proof ledger</w:t>
      </w:r>
    </w:p>
    <w:p>
      <w:pPr>
        <w:pStyle w:val="FirstParagraph"/>
      </w:pPr>
      <w:r>
        <w:t xml:space="preserve">The machine-readable file</w:t>
      </w:r>
      <w:r>
        <w:t xml:space="preserve"> </w:t>
      </w:r>
      <w:r>
        <w:rPr>
          <w:rStyle w:val="VerbatimChar"/>
        </w:rPr>
        <w:t xml:space="preserve">results/jaffe_witten_obligation_ledger_v4.csv</w:t>
      </w:r>
      <w:r>
        <w:t xml:space="preserve"> </w:t>
      </w:r>
      <w:r>
        <w:t xml:space="preserve">maps every theorem to its dependencies. The shortest remaining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proof chain is: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r>
                      <m:rPr>
                        <m:nor/>
                        <m:sty m:val="p"/>
                      </m:rPr>
                      <m:t>all-field UV RG control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entry into the exact Schur gap basin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limLow>
                      <m:e>
                        <m:r>
                          <m:rPr>
                            <m:sty m:val="p"/>
                          </m:rPr>
                          <m:t>inf</m:t>
                        </m:r>
                      </m:e>
                      <m:li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lim>
                    </m:limLow>
                    <m:r>
                      <m:t>Δ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thermodynamic + continuum Schwinger convergence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Euclidean symmetry + OS axioms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OS reconstruction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Spec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borderBox>
        </m:oMath>
      </m:oMathPara>
    </w:p>
    <w:p>
      <w:pPr>
        <w:pStyle w:val="FirstParagraph"/>
      </w:pPr>
      <w:r>
        <w:t xml:space="preserve">The ledger deliberately separates a theorem already proved in the package, a standard theorem invoked from the literature, and a bridge lemma that must be discharged by the UCD/Wilson construction. That separation is part of the proof object: no finite-matrix eigenvalue is silently relabeled as a continuum mass.</w:t>
      </w:r>
    </w:p>
    <w:bookmarkEnd w:id="44"/>
    <w:bookmarkStart w:id="45" w:name="reproducibility"/>
    <w:p>
      <w:pPr>
        <w:pStyle w:val="Heading1"/>
      </w:pPr>
      <w:r>
        <w:t xml:space="preserve">24. Reproducibility</w:t>
      </w:r>
    </w:p>
    <w:p>
      <w:pPr>
        <w:pStyle w:val="FirstParagraph"/>
      </w:pPr>
      <w:r>
        <w:t xml:space="preserve">Install and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run_all.py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The GitHub Actions workflow runs the same verification on each push and pull request. Every release file is hashed in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bookmarkEnd w:id="45"/>
    <w:bookmarkStart w:id="46" w:name="conclusion"/>
    <w:p>
      <w:pPr>
        <w:pStyle w:val="Heading1"/>
      </w:pPr>
      <w:r>
        <w:t xml:space="preserve">25. Conclusion</w:t>
      </w:r>
    </w:p>
    <w:p>
      <w:pPr>
        <w:pStyle w:val="FirstParagraph"/>
      </w:pPr>
      <w:r>
        <w:t xml:space="preserve">The Jaffe–Witten problem has been converted into an explicit finite dependency graph. The compact-group proof regulator, gauge symmetry, Gauss sector, local Yang–Mills continuum asymptotics, Peter–Weyl finite verification hierarchy, positive Euclidean transfer structure, exact Feshbach–Schur identity, and a quantitative quadratic Schur gap-stability theorem are all written in one common normalization.</w:t>
      </w:r>
    </w:p>
    <w:p>
      <w:pPr>
        <w:pStyle w:val="BodyText"/>
      </w:pPr>
      <w:r>
        <w:t xml:space="preserve">The new quantitative result is the exact summable Schur criterion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converts the infrared part of the mass-gap problem into measured/derived block constants. The continuum proof then rests on an equally explicit ultraviolet-to-block bridge and continuum Schwinger convergence estimates. Once those bridge lemmas are discharged, the OS and spectral-transfer sections give the required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4"/>
        </w:numPr>
        <w:pStyle w:val="Compact"/>
      </w:pPr>
      <w:r>
        <w:t xml:space="preserve">A. Jaffe and E. Witten,</w:t>
      </w:r>
      <w:r>
        <w:t xml:space="preserve"> </w:t>
      </w:r>
      <w:r>
        <w:rPr>
          <w:iCs/>
          <w:i/>
        </w:rPr>
        <w:t xml:space="preserve">Quantum Yang–Mills Theory</w:t>
      </w:r>
      <w:r>
        <w:t xml:space="preserve">, in</w:t>
      </w:r>
      <w:r>
        <w:t xml:space="preserve"> </w:t>
      </w:r>
      <w:r>
        <w:rPr>
          <w:iCs/>
          <w:i/>
        </w:rPr>
        <w:t xml:space="preserve">The Millennium Prize Problems</w:t>
      </w:r>
      <w:r>
        <w:t xml:space="preserve">, Clay Mathematics Institute / American Mathematical Society.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</w:t>
      </w:r>
      <w:r>
        <w:t xml:space="preserve">, Communications in Mathematical Physics 31 (1973).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II</w:t>
      </w:r>
      <w:r>
        <w:t xml:space="preserve">, Communications in Mathematical Physics 42 (1975).</w:t>
      </w:r>
    </w:p>
    <w:p>
      <w:pPr>
        <w:numPr>
          <w:ilvl w:val="0"/>
          <w:numId w:val="1004"/>
        </w:numPr>
        <w:pStyle w:val="Compact"/>
      </w:pPr>
      <w:r>
        <w:t xml:space="preserve">K. Osterwalder and E. Seiler,</w:t>
      </w:r>
      <w:r>
        <w:t xml:space="preserve"> </w:t>
      </w:r>
      <w:r>
        <w:rPr>
          <w:iCs/>
          <w:i/>
        </w:rPr>
        <w:t xml:space="preserve">Gauge Field Theories on a Lattice</w:t>
      </w:r>
      <w:r>
        <w:t xml:space="preserve">, Annals of Physics 110 (1978), 440–471.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I: Generation of Effective Actions in a Small Field Approximation and a Coupling Constant Renormalization in Four Dimensions</w:t>
      </w:r>
      <w:r>
        <w:t xml:space="preserve">, Communications in Mathematical Physics 109 (1987), 249–301.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II: Cluster Expansions</w:t>
      </w:r>
      <w:r>
        <w:t xml:space="preserve">, Communications in Mathematical Physics 116 (1988), 1–22.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Convergent Renormalization Expansions for Lattice Gauge Theories</w:t>
      </w:r>
      <w:r>
        <w:t xml:space="preserve">, Communications in Mathematical Physics 119 (1988), 243–285.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I: The Basic Step of the R Operation</w:t>
      </w:r>
      <w:r>
        <w:t xml:space="preserve">, Communications in Mathematical Physics 122 (1989), 175–202.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II: Localization, Exponentiation, and Bounds for the R Operation</w:t>
      </w:r>
      <w:r>
        <w:t xml:space="preserve">, Communications in Mathematical Physics 122 (1989), 355–392.</w:t>
      </w:r>
    </w:p>
    <w:p>
      <w:pPr>
        <w:numPr>
          <w:ilvl w:val="0"/>
          <w:numId w:val="1004"/>
        </w:numPr>
        <w:pStyle w:val="Compact"/>
      </w:pPr>
      <w:r>
        <w:t xml:space="preserve">D. A. Yarotsky,</w:t>
      </w:r>
      <w:r>
        <w:t xml:space="preserve"> </w:t>
      </w:r>
      <w:r>
        <w:rPr>
          <w:iCs/>
          <w:i/>
        </w:rPr>
        <w:t xml:space="preserve">Ground States in Relatively Bounded Quantum Perturbations of Classical Lattice Systems</w:t>
      </w:r>
      <w:r>
        <w:t xml:space="preserve">, Communications in Mathematical Physics 261 (2006), 799–819.</w:t>
      </w:r>
    </w:p>
    <w:p>
      <w:pPr>
        <w:numPr>
          <w:ilvl w:val="0"/>
          <w:numId w:val="1004"/>
        </w:numPr>
        <w:pStyle w:val="Compact"/>
      </w:pPr>
      <w:r>
        <w:t xml:space="preserve">M. B. Hastings and T. Koma,</w:t>
      </w:r>
      <w:r>
        <w:t xml:space="preserve"> </w:t>
      </w:r>
      <w:r>
        <w:rPr>
          <w:iCs/>
          <w:i/>
        </w:rPr>
        <w:t xml:space="preserve">Spectral Gap and Exponential Decay of Correlations</w:t>
      </w:r>
      <w:r>
        <w:t xml:space="preserve">, Communications in Mathematical Physics 265 (2006), 781–804.</w:t>
      </w:r>
    </w:p>
    <w:p>
      <w:pPr>
        <w:numPr>
          <w:ilvl w:val="0"/>
          <w:numId w:val="1004"/>
        </w:numPr>
        <w:pStyle w:val="Compact"/>
      </w:pPr>
      <w:r>
        <w:t xml:space="preserve">Y. Guo, Z. Li, G. Yang, and G. Zhu,</w:t>
      </w:r>
      <w:r>
        <w:t xml:space="preserve"> </w:t>
      </w:r>
      <w:r>
        <w:rPr>
          <w:iCs/>
          <w:i/>
        </w:rPr>
        <w:t xml:space="preserve">Bootstrapping SU(3) Lattice Yang–Mills Theory</w:t>
      </w:r>
      <w:r>
        <w:t xml:space="preserve">, JHEP 12 (2025) 033; arXiv:2502.14421.</w:t>
      </w:r>
    </w:p>
    <w:p>
      <w:pPr>
        <w:numPr>
          <w:ilvl w:val="0"/>
          <w:numId w:val="1004"/>
        </w:numPr>
        <w:pStyle w:val="Compact"/>
      </w:pPr>
      <w:r>
        <w:t xml:space="preserve">R. F. Streater and A. S. Wightman,</w:t>
      </w:r>
      <w:r>
        <w:t xml:space="preserve"> </w:t>
      </w:r>
      <w:r>
        <w:rPr>
          <w:iCs/>
          <w:i/>
        </w:rPr>
        <w:t xml:space="preserve">PCT, Spin and Statistics, and All That</w:t>
      </w:r>
      <w:r>
        <w:t xml:space="preserve">, Princeton University Press.</w:t>
      </w:r>
    </w:p>
    <w:p>
      <w:pPr>
        <w:numPr>
          <w:ilvl w:val="0"/>
          <w:numId w:val="1004"/>
        </w:numPr>
        <w:pStyle w:val="Compact"/>
      </w:pPr>
      <w:r>
        <w:t xml:space="preserve">R. Haag,</w:t>
      </w:r>
      <w:r>
        <w:t xml:space="preserve"> </w:t>
      </w:r>
      <w:r>
        <w:rPr>
          <w:iCs/>
          <w:i/>
        </w:rPr>
        <w:t xml:space="preserve">Local Quantum Physics</w:t>
      </w:r>
      <w:r>
        <w:t xml:space="preserve">, Springer.</w:t>
      </w:r>
    </w:p>
    <w:p>
      <w:pPr>
        <w:numPr>
          <w:ilvl w:val="0"/>
          <w:numId w:val="1004"/>
        </w:numPr>
        <w:pStyle w:val="Compact"/>
      </w:pPr>
      <w:r>
        <w:t xml:space="preserve">H. Shen, R. Zhu, and X. Zhu,</w:t>
      </w:r>
      <w:r>
        <w:t xml:space="preserve"> </w:t>
      </w:r>
      <w:r>
        <w:rPr>
          <w:iCs/>
          <w:i/>
        </w:rPr>
        <w:t xml:space="preserve">A Stochastic Analysis Approach to Lattice Yang–Mills at Strong Coupling</w:t>
      </w:r>
      <w:r>
        <w:t xml:space="preserve">, arXiv:2204.12737 (2022; revised 2026).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UCD Yang–Mills Existence and Mass-Gap Construction</dc:title>
  <dc:creator>Richard Wise</dc:creator>
  <cp:keywords/>
  <dcterms:created xsi:type="dcterms:W3CDTF">2026-09-10T23:50:35Z</dcterms:created>
  <dcterms:modified xsi:type="dcterms:W3CDTF">2026-09-10T23:50:35Z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September 2026</vt:lpwstr>
  </property>
  <property fmtid="{D5CDD505-2E9C-101B-9397-08002B2CF9AE}" pid="3" name="fontsize">
    <vt:lpwstr>10pt</vt:lpwstr>
  </property>
  <property fmtid="{D5CDD505-2E9C-101B-9397-08002B2CF9AE}" pid="4" name="geometry">
    <vt:lpwstr>margin=0.9in</vt:lpwstr>
  </property>
  <property fmtid="{D5CDD505-2E9C-101B-9397-08002B2CF9AE}" pid="5" name="subtitle">
    <vt:lpwstr>Jaffe–Witten Specification: Compact-Group Regulator, Exact Schur Renormalization, Reflection Positivity, and Spectral Transfer</vt:lpwstr>
  </property>
</Properties>
</file>