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w:t>
      </w:r>
      <w:r>
        <w:t xml:space="preserve"> </w:t>
      </w:r>
      <w:r>
        <w:t xml:space="preserve">Yang–Mills</w:t>
      </w:r>
      <w:r>
        <w:t xml:space="preserve"> </w:t>
      </w:r>
      <w:r>
        <w:t xml:space="preserve">Existence</w:t>
      </w:r>
      <w:r>
        <w:t xml:space="preserve"> </w:t>
      </w:r>
      <w:r>
        <w:t xml:space="preserve">and</w:t>
      </w:r>
      <w:r>
        <w:t xml:space="preserve"> </w:t>
      </w:r>
      <w:r>
        <w:t xml:space="preserve">Mass</w:t>
      </w:r>
      <w:r>
        <w:t xml:space="preserve"> </w:t>
      </w:r>
      <w:r>
        <w:t xml:space="preserve">Gap</w:t>
      </w:r>
    </w:p>
    <w:p>
      <w:pPr>
        <w:pStyle w:val="Subtitle"/>
      </w:pPr>
      <w:r>
        <w:t xml:space="preserve">Jaffe–Witten</w:t>
      </w:r>
      <w:r>
        <w:t xml:space="preserve"> </w:t>
      </w:r>
      <w:r>
        <w:t xml:space="preserve">Closure</w:t>
      </w:r>
      <w:r>
        <w:t xml:space="preserve"> </w:t>
      </w:r>
      <w:r>
        <w:t xml:space="preserve">Theorems,</w:t>
      </w:r>
      <w:r>
        <w:t xml:space="preserve"> </w:t>
      </w:r>
      <w:r>
        <w:t xml:space="preserve">Exact</w:t>
      </w:r>
      <w:r>
        <w:t xml:space="preserve"> </w:t>
      </w:r>
      <w:r>
        <w:t xml:space="preserve">Regulator</w:t>
      </w:r>
      <w:r>
        <w:t xml:space="preserve"> </w:t>
      </w:r>
      <w:r>
        <w:t xml:space="preserve">Construction,</w:t>
      </w:r>
      <w:r>
        <w:t xml:space="preserve"> </w:t>
      </w:r>
      <w:r>
        <w:t xml:space="preserve">and</w:t>
      </w:r>
      <w:r>
        <w:t xml:space="preserve"> </w:t>
      </w:r>
      <w:r>
        <w:t xml:space="preserve">Two-Estimate</w:t>
      </w:r>
      <w:r>
        <w:t xml:space="preserve"> </w:t>
      </w:r>
      <w:r>
        <w:t xml:space="preserve">Reduction</w:t>
      </w:r>
    </w:p>
    <w:p>
      <w:pPr>
        <w:pStyle w:val="Author"/>
      </w:pPr>
      <w:r>
        <w:t xml:space="preserve">Richard</w:t>
      </w:r>
      <w:r>
        <w:t xml:space="preserve"> </w:t>
      </w:r>
      <w:r>
        <w:t xml:space="preserve">Wise</w:t>
      </w:r>
    </w:p>
    <w:p>
      <w:pPr>
        <w:pStyle w:val="Date"/>
      </w:pPr>
      <w:r>
        <w:t xml:space="preserve">10</w:t>
      </w:r>
      <w:r>
        <w:t xml:space="preserve"> </w:t>
      </w:r>
      <w:r>
        <w:t xml:space="preserve">September</w:t>
      </w:r>
      <w:r>
        <w:t xml:space="preserve"> </w:t>
      </w:r>
      <w:r>
        <w:t xml:space="preserve">2026</w:t>
      </w:r>
    </w:p>
    <w:bookmarkStart w:id="20" w:name="abstract"/>
    <w:p>
      <w:pPr>
        <w:pStyle w:val="Heading1"/>
      </w:pPr>
      <w:r>
        <w:t xml:space="preserve">Abstract</w:t>
      </w:r>
    </w:p>
    <w:p>
      <w:pPr>
        <w:pStyle w:val="FirstParagraph"/>
      </w:pPr>
      <w:r>
        <w:t xml:space="preserve">We develop a constructive Yang–Mills existence and mass-gap pipeline organized directly against the Jaffe–Witten specification. The regulator is the genuine compact-group link Hilbert space</w:t>
      </w:r>
    </w:p>
    <w:p>
      <w:pPr>
        <w:pStyle w:val="BodyText"/>
      </w:pPr>
      <m:oMathPara>
        <m:oMathParaPr>
          <m:jc m:val="center"/>
        </m:oMathParaPr>
        <m:oMath>
          <m:sSub>
            <m:e>
              <m:r>
                <m:rPr>
                  <m:sty m:val="p"/>
                  <m:scr m:val="script"/>
                </m:rPr>
                <m:t>H</m:t>
              </m:r>
            </m:e>
            <m:sub>
              <m:r>
                <m:rPr>
                  <m:sty m:val="p"/>
                </m:rPr>
                <m:t>ℓ</m:t>
              </m:r>
            </m:sub>
          </m:sSub>
          <m:r>
            <m:rPr>
              <m:sty m:val="p"/>
            </m:rPr>
            <m:t>=</m:t>
          </m:r>
          <m:sSup>
            <m:e>
              <m:r>
                <m:t>L</m:t>
              </m:r>
            </m:e>
            <m:sup>
              <m:r>
                <m:t>2</m:t>
              </m:r>
            </m:sup>
          </m:sSup>
          <m:d>
            <m:dPr>
              <m:begChr m:val="("/>
              <m:endChr m:val=")"/>
              <m:sepChr m:val=""/>
              <m:grow/>
            </m:dPr>
            <m:e>
              <m:r>
                <m:t>G</m:t>
              </m:r>
              <m:r>
                <m:rPr>
                  <m:sty m:val="p"/>
                </m:rPr>
                <m:t>,</m:t>
              </m:r>
              <m:r>
                <m:t>d</m:t>
              </m:r>
              <m:r>
                <m:t>U</m:t>
              </m:r>
            </m:e>
          </m:d>
          <m:r>
            <m:rPr>
              <m:sty m:val="p"/>
            </m:rPr>
            <m:t>,</m:t>
          </m:r>
        </m:oMath>
      </m:oMathPara>
    </w:p>
    <w:p>
      <w:pPr>
        <w:pStyle w:val="FirstParagraph"/>
      </w:pPr>
      <w:r>
        <w:t xml:space="preserve">with Wilson/heat-kernel plaquette dynamics, gauge-invariant local observables, exact lattice gauge covariance, reflection-positive transfer structure, Peter–Weyl finite-rank exhaustions, and an independently controlled UCD refinement/thermodynamic family. The finite H504 and 20-dimensional SU(3) quantum-link systems are used only as exact algebraic workbenches for Schur/Feshbach inheritance and local spectral calculations; the continuum proof regulator remains</w:t>
      </w:r>
      <w:r>
        <w:t xml:space="preserve"> </w:t>
      </w:r>
      <m:oMath>
        <m:sSup>
          <m:e>
            <m:r>
              <m:t>L</m:t>
            </m:r>
          </m:e>
          <m:sup>
            <m:r>
              <m:t>2</m:t>
            </m:r>
          </m:sup>
        </m:sSup>
        <m:d>
          <m:dPr>
            <m:begChr m:val="("/>
            <m:endChr m:val=")"/>
            <m:sepChr m:val=""/>
            <m:grow/>
          </m:dPr>
          <m:e>
            <m:r>
              <m:t>G</m:t>
            </m:r>
          </m:e>
        </m:d>
      </m:oMath>
      <w:r>
        <w:t xml:space="preserve">.</w:t>
      </w:r>
    </w:p>
    <w:p>
      <w:pPr>
        <w:pStyle w:val="BodyText"/>
      </w:pPr>
      <w:r>
        <w:t xml:space="preserve">The paper proves a set of general closure theorems that remove independent logical gaps in the regulator-to-continuum passage: thermodynamic subsequential state existence, inductive-limit holonomy-state existence, preservation of reflection positivity under limits, extension from dense translation/symmetry subgroups by continuity, compactness of Schwinger distributions from regulator-uniform Schwartz seminorm bounds, transfer of uniform Euclidean exponential decay to a Hamiltonian spectral gap, finiteness of the mass parameter in a nontrivial unique-vacuum theory, Bakry–Émery stability under a uniform Hessian perturbation, asymptotically-free ultraviolet remainder summability, Cauchy bounds from a uniform source-analyticity polydisc, and an exact finite-step crossing lemma for inverse-coupling drift.</w:t>
      </w:r>
    </w:p>
    <w:p>
      <w:pPr>
        <w:pStyle w:val="BodyText"/>
      </w:pPr>
      <w:r>
        <w:t xml:space="preserve">After these reductions, the full Jaffe–Witten construction is equivalent to two regulator- and volume-uniform quantitative estimates for each fixed compact simple gauge group</w:t>
      </w:r>
      <w:r>
        <w:t xml:space="preserve"> </w:t>
      </w:r>
      <m:oMath>
        <m:r>
          <m:t>G</m:t>
        </m:r>
      </m:oMath>
      <w:r>
        <w:t xml:space="preserve">:</w:t>
      </w:r>
    </w:p>
    <w:p>
      <w:pPr>
        <w:pStyle w:val="BodyText"/>
      </w:pPr>
      <m:oMathPara>
        <m:oMathParaPr>
          <m:jc m:val="center"/>
        </m:oMathParaPr>
        <m:oMath>
          <m:borderBox>
            <m:e>
              <m:r>
                <m:rPr>
                  <m:nor/>
                  <m:sty m:val="p"/>
                </m:rPr>
                <m:t>A1: exact all-field RG corridor from the AF ultraviolet regime to a massive terminal basin,</m:t>
              </m:r>
            </m:e>
          </m:borderBox>
        </m:oMath>
      </m:oMathPara>
    </w:p>
    <w:p>
      <w:pPr>
        <w:pStyle w:val="FirstParagraph"/>
      </w:pPr>
      <m:oMathPara>
        <m:oMathParaPr>
          <m:jc m:val="center"/>
        </m:oMathParaPr>
        <m:oMath>
          <m:borderBox>
            <m:e>
              <m:r>
                <m:rPr>
                  <m:nor/>
                  <m:sty m:val="p"/>
                </m:rPr>
                <m:t>A2: source-extended RG uniformity for local curvature fields, metric insertions, </m:t>
              </m:r>
              <m:r>
                <m:t>O</m:t>
              </m:r>
              <m:d>
                <m:dPr>
                  <m:begChr m:val="("/>
                  <m:endChr m:val=")"/>
                  <m:sepChr m:val=""/>
                  <m:grow/>
                </m:dPr>
                <m:e>
                  <m:r>
                    <m:t>4</m:t>
                  </m:r>
                </m:e>
              </m:d>
              <m:r>
                <m:rPr>
                  <m:nor/>
                  <m:sty m:val="p"/>
                </m:rPr>
                <m:t> restoration and AF/OPE data.</m:t>
              </m:r>
            </m:e>
          </m:borderBox>
        </m:oMath>
      </m:oMathPara>
    </w:p>
    <w:p>
      <w:pPr>
        <w:pStyle w:val="FirstParagraph"/>
      </w:pPr>
      <w:r>
        <w:t xml:space="preserve">We state these estimates in referee-checkable norm form and prove that A1+A2 imply a nontrivial Osterwalder–Schrader/Wightman Yang–Mills theory on</w:t>
      </w:r>
      <w:r>
        <w:t xml:space="preserve"> </w:t>
      </w:r>
      <m:oMath>
        <m:sSup>
          <m:e>
            <m:r>
              <m:rPr>
                <m:sty m:val="p"/>
                <m:scr m:val="double-struck"/>
              </m:rPr>
              <m:t>R</m:t>
            </m:r>
          </m:e>
          <m:sup>
            <m:r>
              <m:t>4</m:t>
            </m:r>
          </m:sup>
        </m:sSup>
      </m:oMath>
      <w:r>
        <w:t xml:space="preserve"> </w:t>
      </w:r>
      <w:r>
        <w:t xml:space="preserve">with</w:t>
      </w:r>
    </w:p>
    <w:p>
      <w:pPr>
        <w:pStyle w:val="BodyText"/>
      </w:pPr>
      <m:oMathPara>
        <m:oMathParaPr>
          <m:jc m:val="center"/>
        </m:oMathParaPr>
        <m:oMath>
          <m:r>
            <m:rPr>
              <m:sty m:val="p"/>
            </m:rPr>
            <m:t>Spec</m:t>
          </m:r>
          <m:d>
            <m:dPr>
              <m:begChr m:val="("/>
              <m:endChr m:val=")"/>
              <m:sepChr m:val=""/>
              <m:grow/>
            </m:dPr>
            <m:e>
              <m:r>
                <m:t>H</m:t>
              </m:r>
            </m:e>
          </m:d>
          <m:r>
            <m:rPr>
              <m:sty m:val="p"/>
            </m:rPr>
            <m:t>∩</m:t>
          </m:r>
          <m:d>
            <m:dPr>
              <m:begChr m:val="("/>
              <m:endChr m:val=")"/>
              <m:sepChr m:val=""/>
              <m:grow/>
            </m:dPr>
            <m:e>
              <m:r>
                <m:t>0</m:t>
              </m:r>
              <m:r>
                <m:rPr>
                  <m:sty m:val="p"/>
                </m:rPr>
                <m:t>,</m:t>
              </m:r>
              <m:sSub>
                <m:e>
                  <m:r>
                    <m:t>m</m:t>
                  </m:r>
                </m:e>
                <m:sub>
                  <m:r>
                    <m:t>G</m:t>
                  </m:r>
                </m:sub>
              </m:sSub>
            </m:e>
          </m:d>
          <m:r>
            <m:rPr>
              <m:sty m:val="p"/>
            </m:rPr>
            <m:t>=</m:t>
          </m:r>
          <m:r>
            <m:rPr>
              <m:sty m:val="p"/>
            </m:rPr>
            <m:t>⌀</m:t>
          </m:r>
          <m:r>
            <m:rPr>
              <m:sty m:val="p"/>
            </m:rPr>
            <m:t>,</m:t>
          </m:r>
          <m:r>
            <m:t>  </m:t>
          </m:r>
          <m:r>
            <m:t>0</m:t>
          </m:r>
          <m:r>
            <m:rPr>
              <m:sty m:val="p"/>
            </m:rPr>
            <m:t>&lt;</m:t>
          </m:r>
          <m:sSub>
            <m:e>
              <m:r>
                <m:t>m</m:t>
              </m:r>
            </m:e>
            <m:sub>
              <m:r>
                <m:t>G</m:t>
              </m:r>
            </m:sub>
          </m:sSub>
          <m:r>
            <m:rPr>
              <m:sty m:val="p"/>
            </m:rPr>
            <m:t>&lt;</m:t>
          </m:r>
          <m:r>
            <m:rPr>
              <m:sty m:val="p"/>
            </m:rPr>
            <m:t>∞</m:t>
          </m:r>
          <m:r>
            <m:rPr>
              <m:sty m:val="p"/>
            </m:rPr>
            <m:t>.</m:t>
          </m:r>
        </m:oMath>
      </m:oMathPara>
    </w:p>
    <w:p>
      <w:pPr>
        <w:pStyle w:val="FirstParagraph"/>
      </w:pPr>
      <w:r>
        <w:t xml:space="preserve">The accompanying package contains executable Python verification of every finite-dimensional identity and every numerical inequality used in the reduction, machine-readable theorem and obligation ledgers, SHA-256 manifests, and continuous-integration scripts.</w:t>
      </w:r>
    </w:p>
    <w:bookmarkEnd w:id="20"/>
    <w:bookmarkStart w:id="21" w:name="jaffewitten-target"/>
    <w:p>
      <w:pPr>
        <w:pStyle w:val="Heading1"/>
      </w:pPr>
      <w:r>
        <w:t xml:space="preserve">1. Jaffe–Witten target</w:t>
      </w:r>
    </w:p>
    <w:p>
      <w:pPr>
        <w:pStyle w:val="FirstParagraph"/>
      </w:pPr>
      <w:r>
        <w:t xml:space="preserve">Let</w:t>
      </w:r>
      <w:r>
        <w:t xml:space="preserve"> </w:t>
      </w:r>
      <m:oMath>
        <m:r>
          <m:t>G</m:t>
        </m:r>
      </m:oMath>
      <w:r>
        <w:t xml:space="preserve"> </w:t>
      </w:r>
      <w:r>
        <w:t xml:space="preserve">be a compact simple gauge group. The target is a nontrivial quantum Yang–Mills theory on</w:t>
      </w:r>
      <w:r>
        <w:t xml:space="preserve"> </w:t>
      </w:r>
      <m:oMath>
        <m:sSup>
          <m:e>
            <m:r>
              <m:rPr>
                <m:sty m:val="p"/>
                <m:scr m:val="double-struck"/>
              </m:rPr>
              <m:t>R</m:t>
            </m:r>
          </m:e>
          <m:sup>
            <m:r>
              <m:t>4</m:t>
            </m:r>
          </m:sup>
        </m:sSup>
      </m:oMath>
      <w:r>
        <w:t xml:space="preserve"> </w:t>
      </w:r>
      <w:r>
        <w:t xml:space="preserve">with local quantum fields corresponding to gauge-invariant differential polynomials in the curvature and its covariant derivatives, axiomatic strength at least that of the Wightman/Osterwalder–Schrader frameworks, and a positive finite mass gap.</w:t>
      </w:r>
    </w:p>
    <w:p>
      <w:pPr>
        <w:pStyle w:val="BodyText"/>
      </w:pPr>
      <w:r>
        <w:t xml:space="preserve">The classical Euclidean action is</w:t>
      </w:r>
    </w:p>
    <w:p>
      <w:pPr>
        <w:pStyle w:val="BodyText"/>
      </w:pPr>
      <m:oMathPara>
        <m:oMathParaPr>
          <m:jc m:val="center"/>
        </m:oMathParaPr>
        <m:oMath>
          <m:sSub>
            <m:e>
              <m:r>
                <m:t>S</m:t>
              </m:r>
            </m:e>
            <m:sub>
              <m:r>
                <m:rPr>
                  <m:sty m:val="p"/>
                </m:rPr>
                <m:t>Y</m:t>
              </m:r>
              <m:r>
                <m:rPr>
                  <m:sty m:val="p"/>
                </m:rPr>
                <m:t>M</m:t>
              </m:r>
            </m:sub>
          </m:sSub>
          <m:d>
            <m:dPr>
              <m:begChr m:val="["/>
              <m:endChr m:val="]"/>
              <m:sepChr m:val=""/>
              <m:grow/>
            </m:dPr>
            <m:e>
              <m:r>
                <m:t>A</m:t>
              </m:r>
            </m:e>
          </m:d>
          <m:r>
            <m:rPr>
              <m:sty m:val="p"/>
            </m:rPr>
            <m:t>=</m:t>
          </m:r>
          <m:f>
            <m:fPr>
              <m:type m:val="bar"/>
            </m:fPr>
            <m:num>
              <m:r>
                <m:t>1</m:t>
              </m:r>
            </m:num>
            <m:den>
              <m:r>
                <m:t>4</m:t>
              </m:r>
              <m:sSup>
                <m:e>
                  <m:r>
                    <m:t>g</m:t>
                  </m:r>
                </m:e>
                <m:sup>
                  <m:r>
                    <m:t>2</m:t>
                  </m:r>
                </m:sup>
              </m:sSup>
            </m:den>
          </m:f>
          <m:nary>
            <m:naryPr>
              <m:chr m:val="∫"/>
              <m:limLoc m:val="subSup"/>
              <m:subHide m:val="off"/>
              <m:supHide m:val="on"/>
            </m:naryPr>
            <m:sub>
              <m:sSup>
                <m:e>
                  <m:r>
                    <m:rPr>
                      <m:sty m:val="p"/>
                      <m:scr m:val="double-struck"/>
                    </m:rPr>
                    <m:t>R</m:t>
                  </m:r>
                </m:e>
                <m:sup>
                  <m:r>
                    <m:t>4</m:t>
                  </m:r>
                </m:sup>
              </m:sSup>
            </m:sub>
            <m:sup>
              <m:r>
                <m:t>​</m:t>
              </m:r>
            </m:sup>
            <m:e>
              <m:r>
                <m:rPr>
                  <m:sty m:val="p"/>
                </m:rPr>
                <m:t>Tr</m:t>
              </m:r>
            </m:e>
          </m:nary>
          <m:d>
            <m:dPr>
              <m:begChr m:val="("/>
              <m:endChr m:val=")"/>
              <m:sepChr m:val=""/>
              <m:grow/>
            </m:dPr>
            <m:e>
              <m:sSub>
                <m:e>
                  <m:r>
                    <m:t>F</m:t>
                  </m:r>
                </m:e>
                <m:sub>
                  <m:r>
                    <m:t>μ</m:t>
                  </m:r>
                  <m:r>
                    <m:t>ν</m:t>
                  </m:r>
                </m:sub>
              </m:sSub>
              <m:sSub>
                <m:e>
                  <m:r>
                    <m:t>F</m:t>
                  </m:r>
                </m:e>
                <m:sub>
                  <m:r>
                    <m:t>μ</m:t>
                  </m:r>
                  <m:r>
                    <m:t>ν</m:t>
                  </m:r>
                </m:sub>
              </m:sSub>
            </m:e>
          </m:d>
          <m:r>
            <m:t> </m:t>
          </m:r>
          <m:sSup>
            <m:e>
              <m:r>
                <m:t>d</m:t>
              </m:r>
            </m:e>
            <m:sup>
              <m:r>
                <m:t>4</m:t>
              </m:r>
            </m:sup>
          </m:sSup>
          <m:r>
            <m:t>x</m:t>
          </m:r>
          <m:r>
            <m:rPr>
              <m:sty m:val="p"/>
            </m:rPr>
            <m:t>,</m:t>
          </m:r>
        </m:oMath>
      </m:oMathPara>
    </w:p>
    <w:p>
      <w:pPr>
        <w:pStyle w:val="FirstParagraph"/>
      </w:pPr>
      <w:r>
        <w:t xml:space="preserve">with</w:t>
      </w:r>
    </w:p>
    <w:p>
      <w:pPr>
        <w:pStyle w:val="BodyText"/>
      </w:pPr>
      <m:oMathPara>
        <m:oMathParaPr>
          <m:jc m:val="center"/>
        </m:oMathParaPr>
        <m:oMath>
          <m:r>
            <m:t>F</m:t>
          </m:r>
          <m:r>
            <m:rPr>
              <m:sty m:val="p"/>
            </m:rPr>
            <m:t>=</m:t>
          </m:r>
          <m:r>
            <m:t>d</m:t>
          </m:r>
          <m:r>
            <m:t>A</m:t>
          </m:r>
          <m:r>
            <m:rPr>
              <m:sty m:val="p"/>
            </m:rPr>
            <m:t>+</m:t>
          </m:r>
          <m:r>
            <m:t>A</m:t>
          </m:r>
          <m:r>
            <m:rPr>
              <m:sty m:val="p"/>
            </m:rPr>
            <m:t>∧</m:t>
          </m:r>
          <m:r>
            <m:t>A</m:t>
          </m:r>
          <m:r>
            <m:rPr>
              <m:sty m:val="p"/>
            </m:rPr>
            <m:t>.</m:t>
          </m:r>
        </m:oMath>
      </m:oMathPara>
    </w:p>
    <w:p>
      <w:pPr>
        <w:pStyle w:val="FirstParagraph"/>
      </w:pPr>
      <w:r>
        <w:t xml:space="preserve">The quantum mass-gap condition is</w:t>
      </w:r>
    </w:p>
    <w:p>
      <w:pPr>
        <w:pStyle w:val="BodyText"/>
      </w:pPr>
      <m:oMathPara>
        <m:oMathParaPr>
          <m:jc m:val="center"/>
        </m:oMathParaPr>
        <m:oMath>
          <m:borderBox>
            <m:e>
              <m:r>
                <m:rPr>
                  <m:sty m:val="p"/>
                </m:rPr>
                <m:t>Spec</m:t>
              </m:r>
              <m:d>
                <m:dPr>
                  <m:begChr m:val="("/>
                  <m:endChr m:val=")"/>
                  <m:sepChr m:val=""/>
                  <m:grow/>
                </m:dPr>
                <m:e>
                  <m:r>
                    <m:t>H</m:t>
                  </m:r>
                </m:e>
              </m:d>
              <m:r>
                <m:rPr>
                  <m:sty m:val="p"/>
                </m:rPr>
                <m:t>⊆</m:t>
              </m:r>
              <m:r>
                <m:rPr>
                  <m:sty m:val="p"/>
                </m:rPr>
                <m:t>{</m:t>
              </m:r>
              <m:r>
                <m:t>0</m:t>
              </m:r>
              <m:r>
                <m:rPr>
                  <m:sty m:val="p"/>
                </m:rPr>
                <m:t>}</m:t>
              </m:r>
              <m:r>
                <m:rPr>
                  <m:sty m:val="p"/>
                </m:rPr>
                <m:t>∪</m:t>
              </m:r>
              <m:r>
                <m:rPr>
                  <m:sty m:val="p"/>
                </m:rPr>
                <m:t>[</m:t>
              </m:r>
              <m:sSub>
                <m:e>
                  <m:r>
                    <m:t>m</m:t>
                  </m:r>
                </m:e>
                <m:sub>
                  <m:r>
                    <m:t>G</m:t>
                  </m:r>
                </m:sub>
              </m:sSub>
              <m:r>
                <m:rPr>
                  <m:sty m:val="p"/>
                </m:rPr>
                <m:t>,</m:t>
              </m:r>
              <m:r>
                <m:rPr>
                  <m:sty m:val="p"/>
                </m:rPr>
                <m:t>∞</m:t>
              </m:r>
              <m:r>
                <m:rPr>
                  <m:sty m:val="p"/>
                </m:rPr>
                <m:t>)</m:t>
              </m:r>
              <m:r>
                <m:rPr>
                  <m:sty m:val="p"/>
                </m:rPr>
                <m:t>,</m:t>
              </m:r>
              <m:r>
                <m:t>  </m:t>
              </m:r>
              <m:r>
                <m:t>0</m:t>
              </m:r>
              <m:r>
                <m:rPr>
                  <m:sty m:val="p"/>
                </m:rPr>
                <m:t>&lt;</m:t>
              </m:r>
              <m:sSub>
                <m:e>
                  <m:r>
                    <m:t>m</m:t>
                  </m:r>
                </m:e>
                <m:sub>
                  <m:r>
                    <m:t>G</m:t>
                  </m:r>
                </m:sub>
              </m:sSub>
              <m:r>
                <m:rPr>
                  <m:sty m:val="p"/>
                </m:rPr>
                <m:t>&lt;</m:t>
              </m:r>
              <m:r>
                <m:rPr>
                  <m:sty m:val="p"/>
                </m:rPr>
                <m:t>∞</m:t>
              </m:r>
              <m:r>
                <m:rPr>
                  <m:sty m:val="p"/>
                </m:rPr>
                <m:t>.</m:t>
              </m:r>
            </m:e>
          </m:borderBox>
        </m:oMath>
      </m:oMathPara>
    </w:p>
    <w:p>
      <w:pPr>
        <w:pStyle w:val="FirstParagraph"/>
      </w:pPr>
      <w:r>
        <w:t xml:space="preserve">The vacuum</w:t>
      </w:r>
      <w:r>
        <w:t xml:space="preserve"> </w:t>
      </w:r>
      <m:oMath>
        <m:r>
          <m:t>Ω</m:t>
        </m:r>
      </m:oMath>
      <w:r>
        <w:t xml:space="preserve"> </w:t>
      </w:r>
      <w:r>
        <w:t xml:space="preserve">satisfies</w:t>
      </w:r>
    </w:p>
    <w:p>
      <w:pPr>
        <w:pStyle w:val="BodyText"/>
      </w:pPr>
      <m:oMathPara>
        <m:oMathParaPr>
          <m:jc m:val="center"/>
        </m:oMathParaPr>
        <m:oMath>
          <m:r>
            <m:t>H</m:t>
          </m:r>
          <m:r>
            <m:t>Ω</m:t>
          </m:r>
          <m:r>
            <m:rPr>
              <m:sty m:val="p"/>
            </m:rPr>
            <m:t>=</m:t>
          </m:r>
          <m:r>
            <m:t>0</m:t>
          </m:r>
          <m:r>
            <m:rPr>
              <m:sty m:val="p"/>
            </m:rPr>
            <m:t>,</m:t>
          </m:r>
          <m:r>
            <m:t>  </m:t>
          </m:r>
          <m:r>
            <m:rPr>
              <m:sty m:val="p"/>
            </m:rPr>
            <m:t>ker</m:t>
          </m:r>
          <m:r>
            <m:t>H</m:t>
          </m:r>
          <m:r>
            <m:rPr>
              <m:sty m:val="p"/>
            </m:rPr>
            <m:t>=</m:t>
          </m:r>
          <m:r>
            <m:rPr>
              <m:sty m:val="p"/>
              <m:scr m:val="double-struck"/>
            </m:rPr>
            <m:t>C</m:t>
          </m:r>
          <m:r>
            <m:t>Ω</m:t>
          </m:r>
          <m:r>
            <m:rPr>
              <m:sty m:val="p"/>
            </m:rPr>
            <m:t>.</m:t>
          </m:r>
        </m:oMath>
      </m:oMathPara>
    </w:p>
    <w:p>
      <w:pPr>
        <w:pStyle w:val="FirstParagraph"/>
      </w:pPr>
      <w:r>
        <w:t xml:space="preserve">The construction below uses the constructive-QFT route: solve a family of finite regulated systems, obtain regulator-independent estimates, take thermodynamic and continuum limits, reconstruct the Hilbert-space theory, and transfer the uniform spectral exclusion to the limit.</w:t>
      </w:r>
    </w:p>
    <w:bookmarkEnd w:id="21"/>
    <w:bookmarkStart w:id="22" w:name="compact-group-proof-regulator"/>
    <w:p>
      <w:pPr>
        <w:pStyle w:val="Heading1"/>
      </w:pPr>
      <w:r>
        <w:t xml:space="preserve">2. Compact-group proof regulator</w:t>
      </w:r>
    </w:p>
    <w:p>
      <w:pPr>
        <w:pStyle w:val="FirstParagraph"/>
      </w:pPr>
      <w:r>
        <w:t xml:space="preserve">For a finite oriented four-dimensional lattice</w:t>
      </w:r>
      <w:r>
        <w:t xml:space="preserve"> </w:t>
      </w:r>
      <m:oMath>
        <m:sSub>
          <m:e>
            <m:r>
              <m:t>Λ</m:t>
            </m:r>
          </m:e>
          <m:sub>
            <m:r>
              <m:t>a</m:t>
            </m:r>
            <m:r>
              <m:rPr>
                <m:sty m:val="p"/>
              </m:rPr>
              <m:t>,</m:t>
            </m:r>
            <m:r>
              <m:t>L</m:t>
            </m:r>
          </m:sub>
        </m:sSub>
      </m:oMath>
      <w:r>
        <w:t xml:space="preserve">, let</w:t>
      </w:r>
      <w:r>
        <w:t xml:space="preserve"> </w:t>
      </w:r>
      <m:oMath>
        <m:sSub>
          <m:e>
            <m:r>
              <m:t>E</m:t>
            </m:r>
          </m:e>
          <m:sub>
            <m:r>
              <m:t>a</m:t>
            </m:r>
            <m:r>
              <m:rPr>
                <m:sty m:val="p"/>
              </m:rPr>
              <m:t>,</m:t>
            </m:r>
            <m:r>
              <m:t>L</m:t>
            </m:r>
          </m:sub>
        </m:sSub>
      </m:oMath>
      <w:r>
        <w:t xml:space="preserve"> </w:t>
      </w:r>
      <w:r>
        <w:t xml:space="preserve">be the edge set and</w:t>
      </w:r>
      <w:r>
        <w:t xml:space="preserve"> </w:t>
      </w:r>
      <m:oMath>
        <m:sSub>
          <m:e>
            <m:r>
              <m:t>P</m:t>
            </m:r>
          </m:e>
          <m:sub>
            <m:r>
              <m:t>a</m:t>
            </m:r>
            <m:r>
              <m:rPr>
                <m:sty m:val="p"/>
              </m:rPr>
              <m:t>,</m:t>
            </m:r>
            <m:r>
              <m:t>L</m:t>
            </m:r>
          </m:sub>
        </m:sSub>
      </m:oMath>
      <w:r>
        <w:t xml:space="preserve"> </w:t>
      </w:r>
      <w:r>
        <w:t xml:space="preserve">the plaquette set. A configuration is</w:t>
      </w:r>
    </w:p>
    <w:p>
      <w:pPr>
        <w:pStyle w:val="BodyText"/>
      </w:pPr>
      <m:oMathPara>
        <m:oMathParaPr>
          <m:jc m:val="center"/>
        </m:oMathParaPr>
        <m:oMath>
          <m:r>
            <m:t>U</m:t>
          </m:r>
          <m:r>
            <m:rPr>
              <m:sty m:val="p"/>
            </m:rPr>
            <m:t>=</m:t>
          </m:r>
          <m:sSub>
            <m:e>
              <m:d>
                <m:dPr>
                  <m:begChr m:val="("/>
                  <m:endChr m:val=")"/>
                  <m:sepChr m:val=""/>
                  <m:grow/>
                </m:dPr>
                <m:e>
                  <m:sSub>
                    <m:e>
                      <m:r>
                        <m:t>U</m:t>
                      </m:r>
                    </m:e>
                    <m:sub>
                      <m:r>
                        <m:t>e</m:t>
                      </m:r>
                    </m:sub>
                  </m:sSub>
                </m:e>
              </m:d>
            </m:e>
            <m:sub>
              <m:r>
                <m:t>e</m:t>
              </m:r>
              <m:r>
                <m:rPr>
                  <m:sty m:val="p"/>
                </m:rPr>
                <m:t>∈</m:t>
              </m:r>
              <m:sSub>
                <m:e>
                  <m:r>
                    <m:t>E</m:t>
                  </m:r>
                </m:e>
                <m:sub>
                  <m:r>
                    <m:t>a</m:t>
                  </m:r>
                  <m:r>
                    <m:rPr>
                      <m:sty m:val="p"/>
                    </m:rPr>
                    <m:t>,</m:t>
                  </m:r>
                  <m:r>
                    <m:t>L</m:t>
                  </m:r>
                </m:sub>
              </m:sSub>
            </m:sub>
          </m:sSub>
          <m:r>
            <m:rPr>
              <m:sty m:val="p"/>
            </m:rPr>
            <m:t>∈</m:t>
          </m:r>
          <m:sSup>
            <m:e>
              <m:r>
                <m:t>G</m:t>
              </m:r>
            </m:e>
            <m:sup>
              <m:sSub>
                <m:e>
                  <m:r>
                    <m:t>E</m:t>
                  </m:r>
                </m:e>
                <m:sub>
                  <m:r>
                    <m:t>a</m:t>
                  </m:r>
                  <m:r>
                    <m:rPr>
                      <m:sty m:val="p"/>
                    </m:rPr>
                    <m:t>,</m:t>
                  </m:r>
                  <m:r>
                    <m:t>L</m:t>
                  </m:r>
                </m:sub>
              </m:sSub>
            </m:sup>
          </m:sSup>
          <m:r>
            <m:rPr>
              <m:sty m:val="p"/>
            </m:rPr>
            <m:t>.</m:t>
          </m:r>
        </m:oMath>
      </m:oMathPara>
    </w:p>
    <w:p>
      <w:pPr>
        <w:pStyle w:val="FirstParagraph"/>
      </w:pPr>
      <w:r>
        <w:t xml:space="preserve">The Hilbert space is</w:t>
      </w:r>
    </w:p>
    <w:p>
      <w:pPr>
        <w:pStyle w:val="BodyText"/>
      </w:pPr>
      <m:oMathPara>
        <m:oMathParaPr>
          <m:jc m:val="center"/>
        </m:oMathParaPr>
        <m:oMath>
          <m:sSub>
            <m:e>
              <m:r>
                <m:rPr>
                  <m:sty m:val="p"/>
                  <m:scr m:val="script"/>
                </m:rPr>
                <m:t>H</m:t>
              </m:r>
            </m:e>
            <m:sub>
              <m:r>
                <m:t>a</m:t>
              </m:r>
              <m:r>
                <m:rPr>
                  <m:sty m:val="p"/>
                </m:rPr>
                <m:t>,</m:t>
              </m:r>
              <m:r>
                <m:t>L</m:t>
              </m:r>
            </m:sub>
          </m:sSub>
          <m:r>
            <m:rPr>
              <m:sty m:val="p"/>
            </m:rPr>
            <m:t>=</m:t>
          </m:r>
          <m:sSup>
            <m:e>
              <m:r>
                <m:t>L</m:t>
              </m:r>
            </m:e>
            <m:sup>
              <m:r>
                <m:t>2</m:t>
              </m:r>
            </m:sup>
          </m:sSup>
          <m:d>
            <m:dPr>
              <m:begChr m:val="("/>
              <m:endChr m:val=")"/>
              <m:sepChr m:val=""/>
              <m:grow/>
            </m:dPr>
            <m:e>
              <m:sSup>
                <m:e>
                  <m:r>
                    <m:t>G</m:t>
                  </m:r>
                </m:e>
                <m:sup>
                  <m:sSub>
                    <m:e>
                      <m:r>
                        <m:t>E</m:t>
                      </m:r>
                    </m:e>
                    <m:sub>
                      <m:r>
                        <m:t>a</m:t>
                      </m:r>
                      <m:r>
                        <m:rPr>
                          <m:sty m:val="p"/>
                        </m:rPr>
                        <m:t>,</m:t>
                      </m:r>
                      <m:r>
                        <m:t>L</m:t>
                      </m:r>
                    </m:sub>
                  </m:sSub>
                </m:sup>
              </m:sSup>
              <m:r>
                <m:rPr>
                  <m:sty m:val="p"/>
                </m:rPr>
                <m:t>,</m:t>
              </m:r>
              <m:r>
                <m:t>d</m:t>
              </m:r>
              <m:r>
                <m:t>U</m:t>
              </m:r>
            </m:e>
          </m:d>
          <m:r>
            <m:rPr>
              <m:sty m:val="p"/>
            </m:rPr>
            <m:t>,</m:t>
          </m:r>
          <m:r>
            <m:t>  </m:t>
          </m:r>
          <m:r>
            <m:t>d</m:t>
          </m:r>
          <m:r>
            <m:t>U</m:t>
          </m:r>
          <m:r>
            <m:rPr>
              <m:sty m:val="p"/>
            </m:rPr>
            <m:t>=</m:t>
          </m:r>
          <m:nary>
            <m:naryPr>
              <m:chr m:val="∏"/>
              <m:limLoc m:val="undOvr"/>
              <m:subHide m:val="off"/>
              <m:supHide m:val="on"/>
            </m:naryPr>
            <m:sub>
              <m:r>
                <m:t>e</m:t>
              </m:r>
              <m:r>
                <m:rPr>
                  <m:sty m:val="p"/>
                </m:rPr>
                <m:t>∈</m:t>
              </m:r>
              <m:sSub>
                <m:e>
                  <m:r>
                    <m:t>E</m:t>
                  </m:r>
                </m:e>
                <m:sub>
                  <m:r>
                    <m:t>a</m:t>
                  </m:r>
                  <m:r>
                    <m:rPr>
                      <m:sty m:val="p"/>
                    </m:rPr>
                    <m:t>,</m:t>
                  </m:r>
                  <m:r>
                    <m:t>L</m:t>
                  </m:r>
                </m:sub>
              </m:sSub>
            </m:sub>
            <m:sup>
              <m:r>
                <m:t>​</m:t>
              </m:r>
            </m:sup>
            <m:e>
              <m:r>
                <m:t>d</m:t>
              </m:r>
            </m:e>
          </m:nary>
          <m:sSub>
            <m:e>
              <m:r>
                <m:t>U</m:t>
              </m:r>
            </m:e>
            <m:sub>
              <m:r>
                <m:t>e</m:t>
              </m:r>
            </m:sub>
          </m:sSub>
          <m:r>
            <m:rPr>
              <m:sty m:val="p"/>
            </m:rPr>
            <m:t>,</m:t>
          </m:r>
        </m:oMath>
      </m:oMathPara>
    </w:p>
    <w:p>
      <w:pPr>
        <w:pStyle w:val="FirstParagraph"/>
      </w:pPr>
      <w:r>
        <w:t xml:space="preserve">where</w:t>
      </w:r>
      <w:r>
        <w:t xml:space="preserve"> </w:t>
      </w:r>
      <m:oMath>
        <m:r>
          <m:t>d</m:t>
        </m:r>
        <m:sSub>
          <m:e>
            <m:r>
              <m:t>U</m:t>
            </m:r>
          </m:e>
          <m:sub>
            <m:r>
              <m:t>e</m:t>
            </m:r>
          </m:sub>
        </m:sSub>
      </m:oMath>
      <w:r>
        <w:t xml:space="preserve"> </w:t>
      </w:r>
      <w:r>
        <w:t xml:space="preserve">is normalized Haar measure.</w:t>
      </w:r>
    </w:p>
    <w:p>
      <w:pPr>
        <w:pStyle w:val="BodyText"/>
      </w:pPr>
      <w:r>
        <w:t xml:space="preserve">For a plaquette</w:t>
      </w:r>
      <w:r>
        <w:t xml:space="preserve"> </w:t>
      </w:r>
      <m:oMath>
        <m:r>
          <m:t>p</m:t>
        </m:r>
        <m:r>
          <m:rPr>
            <m:sty m:val="p"/>
          </m:rPr>
          <m:t>=</m:t>
        </m:r>
        <m:d>
          <m:dPr>
            <m:begChr m:val="("/>
            <m:endChr m:val=")"/>
            <m:sepChr m:val=""/>
            <m:grow/>
          </m:dPr>
          <m:e>
            <m:sSub>
              <m:e>
                <m:r>
                  <m:t>e</m:t>
                </m:r>
              </m:e>
              <m:sub>
                <m:r>
                  <m:t>1</m:t>
                </m:r>
              </m:sub>
            </m:sSub>
            <m:r>
              <m:rPr>
                <m:sty m:val="p"/>
              </m:rPr>
              <m:t>,</m:t>
            </m:r>
            <m:sSub>
              <m:e>
                <m:r>
                  <m:t>e</m:t>
                </m:r>
              </m:e>
              <m:sub>
                <m:r>
                  <m:t>2</m:t>
                </m:r>
              </m:sub>
            </m:sSub>
            <m:r>
              <m:rPr>
                <m:sty m:val="p"/>
              </m:rPr>
              <m:t>,</m:t>
            </m:r>
            <m:sSub>
              <m:e>
                <m:r>
                  <m:t>e</m:t>
                </m:r>
              </m:e>
              <m:sub>
                <m:r>
                  <m:t>3</m:t>
                </m:r>
              </m:sub>
            </m:sSub>
            <m:r>
              <m:rPr>
                <m:sty m:val="p"/>
              </m:rPr>
              <m:t>,</m:t>
            </m:r>
            <m:sSub>
              <m:e>
                <m:r>
                  <m:t>e</m:t>
                </m:r>
              </m:e>
              <m:sub>
                <m:r>
                  <m:t>4</m:t>
                </m:r>
              </m:sub>
            </m:sSub>
          </m:e>
        </m:d>
      </m:oMath>
      <w:r>
        <w:t xml:space="preserve">,</w:t>
      </w:r>
    </w:p>
    <w:p>
      <w:pPr>
        <w:pStyle w:val="BodyText"/>
      </w:pPr>
      <m:oMathPara>
        <m:oMathParaPr>
          <m:jc m:val="center"/>
        </m:oMathParaPr>
        <m:oMath>
          <m:sSub>
            <m:e>
              <m:r>
                <m:t>U</m:t>
              </m:r>
            </m:e>
            <m:sub>
              <m:r>
                <m:t>p</m:t>
              </m:r>
            </m:sub>
          </m:sSub>
          <m:r>
            <m:rPr>
              <m:sty m:val="p"/>
            </m:rPr>
            <m:t>=</m:t>
          </m:r>
          <m:sSub>
            <m:e>
              <m:r>
                <m:t>U</m:t>
              </m:r>
            </m:e>
            <m:sub>
              <m:sSub>
                <m:e>
                  <m:r>
                    <m:t>e</m:t>
                  </m:r>
                </m:e>
                <m:sub>
                  <m:r>
                    <m:t>1</m:t>
                  </m:r>
                </m:sub>
              </m:sSub>
            </m:sub>
          </m:sSub>
          <m:sSub>
            <m:e>
              <m:r>
                <m:t>U</m:t>
              </m:r>
            </m:e>
            <m:sub>
              <m:sSub>
                <m:e>
                  <m:r>
                    <m:t>e</m:t>
                  </m:r>
                </m:e>
                <m:sub>
                  <m:r>
                    <m:t>2</m:t>
                  </m:r>
                </m:sub>
              </m:sSub>
            </m:sub>
          </m:sSub>
          <m:sSub>
            <m:e>
              <m:r>
                <m:t>U</m:t>
              </m:r>
            </m:e>
            <m:sub>
              <m:sSub>
                <m:e>
                  <m:r>
                    <m:t>e</m:t>
                  </m:r>
                </m:e>
                <m:sub>
                  <m:r>
                    <m:t>3</m:t>
                  </m:r>
                </m:sub>
              </m:sSub>
            </m:sub>
          </m:sSub>
          <m:sSub>
            <m:e>
              <m:r>
                <m:t>U</m:t>
              </m:r>
            </m:e>
            <m:sub>
              <m:sSub>
                <m:e>
                  <m:r>
                    <m:t>e</m:t>
                  </m:r>
                </m:e>
                <m:sub>
                  <m:r>
                    <m:t>4</m:t>
                  </m:r>
                </m:sub>
              </m:sSub>
            </m:sub>
          </m:sSub>
          <m:r>
            <m:rPr>
              <m:sty m:val="p"/>
            </m:rPr>
            <m:t>.</m:t>
          </m:r>
        </m:oMath>
      </m:oMathPara>
    </w:p>
    <w:p>
      <w:pPr>
        <w:pStyle w:val="FirstParagraph"/>
      </w:pPr>
      <w:r>
        <w:t xml:space="preserve">The Wilson action is</w:t>
      </w:r>
    </w:p>
    <w:p>
      <w:pPr>
        <w:pStyle w:val="BodyText"/>
      </w:pPr>
      <m:oMathPara>
        <m:oMathParaPr>
          <m:jc m:val="center"/>
        </m:oMathParaPr>
        <m:oMath>
          <m:sSub>
            <m:e>
              <m:r>
                <m:t>S</m:t>
              </m:r>
            </m:e>
            <m:sub>
              <m:r>
                <m:t>W</m:t>
              </m:r>
            </m:sub>
          </m:sSub>
          <m:d>
            <m:dPr>
              <m:begChr m:val="("/>
              <m:endChr m:val=")"/>
              <m:sepChr m:val=""/>
              <m:grow/>
            </m:dPr>
            <m:e>
              <m:r>
                <m:t>U</m:t>
              </m:r>
            </m:e>
          </m:d>
          <m:r>
            <m:rPr>
              <m:sty m:val="p"/>
            </m:rPr>
            <m:t>=</m:t>
          </m:r>
          <m:f>
            <m:fPr>
              <m:type m:val="bar"/>
            </m:fPr>
            <m:num>
              <m:sSub>
                <m:e>
                  <m:r>
                    <m:t>β</m:t>
                  </m:r>
                </m:e>
                <m:sub>
                  <m:r>
                    <m:t>W</m:t>
                  </m:r>
                </m:sub>
              </m:sSub>
            </m:num>
            <m:den>
              <m:r>
                <m:t>N</m:t>
              </m:r>
            </m:den>
          </m:f>
          <m:nary>
            <m:naryPr>
              <m:chr m:val="∑"/>
              <m:limLoc m:val="undOvr"/>
              <m:subHide m:val="off"/>
              <m:supHide m:val="on"/>
            </m:naryPr>
            <m:sub>
              <m:r>
                <m:t>p</m:t>
              </m:r>
              <m:r>
                <m:rPr>
                  <m:sty m:val="p"/>
                </m:rPr>
                <m:t>∈</m:t>
              </m:r>
              <m:sSub>
                <m:e>
                  <m:r>
                    <m:t>P</m:t>
                  </m:r>
                </m:e>
                <m:sub>
                  <m:r>
                    <m:t>a</m:t>
                  </m:r>
                  <m:r>
                    <m:rPr>
                      <m:sty m:val="p"/>
                    </m:rPr>
                    <m:t>,</m:t>
                  </m:r>
                  <m:r>
                    <m:t>L</m:t>
                  </m:r>
                </m:sub>
              </m:sSub>
            </m:sub>
            <m:sup>
              <m:r>
                <m:t>​</m:t>
              </m:r>
            </m:sup>
            <m:e>
              <m:r>
                <m:rPr>
                  <m:sty m:val="p"/>
                </m:rPr>
                <m:t>ReTr</m:t>
              </m:r>
            </m:e>
          </m:nary>
          <m:d>
            <m:dPr>
              <m:begChr m:val="("/>
              <m:endChr m:val=")"/>
              <m:sepChr m:val=""/>
              <m:grow/>
            </m:dPr>
            <m:e>
              <m:r>
                <m:t>I</m:t>
              </m:r>
              <m:r>
                <m:rPr>
                  <m:sty m:val="p"/>
                </m:rPr>
                <m:t>−</m:t>
              </m:r>
              <m:sSub>
                <m:e>
                  <m:r>
                    <m:t>U</m:t>
                  </m:r>
                </m:e>
                <m:sub>
                  <m:r>
                    <m:t>p</m:t>
                  </m:r>
                </m:sub>
              </m:sSub>
            </m:e>
          </m:d>
          <m:r>
            <m:rPr>
              <m:sty m:val="p"/>
            </m:rPr>
            <m:t>,</m:t>
          </m:r>
        </m:oMath>
      </m:oMathPara>
    </w:p>
    <w:p>
      <w:pPr>
        <w:pStyle w:val="FirstParagraph"/>
      </w:pPr>
      <w:r>
        <w:t xml:space="preserve">for</w:t>
      </w:r>
      <w:r>
        <w:t xml:space="preserve"> </w:t>
      </w:r>
      <m:oMath>
        <m:r>
          <m:t>G</m:t>
        </m:r>
        <m:r>
          <m:rPr>
            <m:sty m:val="p"/>
          </m:rPr>
          <m:t>=</m:t>
        </m:r>
        <m:r>
          <m:t>S</m:t>
        </m:r>
        <m:r>
          <m:t>U</m:t>
        </m:r>
        <m:d>
          <m:dPr>
            <m:begChr m:val="("/>
            <m:endChr m:val=")"/>
            <m:sepChr m:val=""/>
            <m:grow/>
          </m:dPr>
          <m:e>
            <m:r>
              <m:t>N</m:t>
            </m:r>
          </m:e>
        </m:d>
      </m:oMath>
      <w:r>
        <w:t xml:space="preserve">, with the corresponding invariant-character definition for general compact simple</w:t>
      </w:r>
      <w:r>
        <w:t xml:space="preserve"> </w:t>
      </w:r>
      <m:oMath>
        <m:r>
          <m:t>G</m:t>
        </m:r>
      </m:oMath>
      <w:r>
        <w:t xml:space="preserve">.</w:t>
      </w:r>
    </w:p>
    <w:p>
      <w:pPr>
        <w:pStyle w:val="BodyText"/>
      </w:pPr>
      <w:r>
        <w:t xml:space="preserve">Under a lattice gauge transformation</w:t>
      </w:r>
      <w:r>
        <w:t xml:space="preserve"> </w:t>
      </w:r>
      <m:oMath>
        <m:r>
          <m:t>h</m:t>
        </m:r>
        <m:r>
          <m:rPr>
            <m:sty m:val="p"/>
          </m:rPr>
          <m:t>=</m:t>
        </m:r>
        <m:d>
          <m:dPr>
            <m:begChr m:val="("/>
            <m:endChr m:val=")"/>
            <m:sepChr m:val=""/>
            <m:grow/>
          </m:dPr>
          <m:e>
            <m:sSub>
              <m:e>
                <m:r>
                  <m:t>h</m:t>
                </m:r>
              </m:e>
              <m:sub>
                <m:r>
                  <m:t>x</m:t>
                </m:r>
              </m:sub>
            </m:sSub>
          </m:e>
        </m:d>
      </m:oMath>
      <w:r>
        <w:t xml:space="preserve">,</w:t>
      </w:r>
    </w:p>
    <w:p>
      <w:pPr>
        <w:pStyle w:val="BodyText"/>
      </w:pPr>
      <m:oMathPara>
        <m:oMathParaPr>
          <m:jc m:val="center"/>
        </m:oMathParaPr>
        <m:oMath>
          <m:sSub>
            <m:e>
              <m:r>
                <m:t>U</m:t>
              </m:r>
            </m:e>
            <m:sub>
              <m:r>
                <m:t>x</m:t>
              </m:r>
              <m:r>
                <m:t>y</m:t>
              </m:r>
            </m:sub>
          </m:sSub>
          <m:r>
            <m:rPr>
              <m:sty m:val="p"/>
            </m:rPr>
            <m:t>↦</m:t>
          </m:r>
          <m:sSub>
            <m:e>
              <m:r>
                <m:t>h</m:t>
              </m:r>
            </m:e>
            <m:sub>
              <m:r>
                <m:t>x</m:t>
              </m:r>
            </m:sub>
          </m:sSub>
          <m:sSub>
            <m:e>
              <m:r>
                <m:t>U</m:t>
              </m:r>
            </m:e>
            <m:sub>
              <m:r>
                <m:t>x</m:t>
              </m:r>
              <m:r>
                <m:t>y</m:t>
              </m:r>
            </m:sub>
          </m:sSub>
          <m:sSubSup>
            <m:e>
              <m:r>
                <m:t>h</m:t>
              </m:r>
            </m:e>
            <m:sub>
              <m:r>
                <m:t>y</m:t>
              </m:r>
            </m:sub>
            <m:sup>
              <m:r>
                <m:rPr>
                  <m:sty m:val="p"/>
                </m:rPr>
                <m:t>−</m:t>
              </m:r>
              <m:r>
                <m:t>1</m:t>
              </m:r>
            </m:sup>
          </m:sSubSup>
          <m:r>
            <m:rPr>
              <m:sty m:val="p"/>
            </m:rPr>
            <m:t>,</m:t>
          </m:r>
        </m:oMath>
      </m:oMathPara>
    </w:p>
    <w:p>
      <w:pPr>
        <w:pStyle w:val="FirstParagraph"/>
      </w:pPr>
      <w:r>
        <w:t xml:space="preserve">and hence</w:t>
      </w:r>
    </w:p>
    <w:p>
      <w:pPr>
        <w:pStyle w:val="BodyText"/>
      </w:pPr>
      <m:oMathPara>
        <m:oMathParaPr>
          <m:jc m:val="center"/>
        </m:oMathParaPr>
        <m:oMath>
          <m:sSub>
            <m:e>
              <m:r>
                <m:t>U</m:t>
              </m:r>
            </m:e>
            <m:sub>
              <m:r>
                <m:t>p</m:t>
              </m:r>
            </m:sub>
          </m:sSub>
          <m:r>
            <m:rPr>
              <m:sty m:val="p"/>
            </m:rPr>
            <m:t>↦</m:t>
          </m:r>
          <m:sSub>
            <m:e>
              <m:r>
                <m:t>h</m:t>
              </m:r>
            </m:e>
            <m:sub>
              <m:r>
                <m:t>x</m:t>
              </m:r>
            </m:sub>
          </m:sSub>
          <m:sSub>
            <m:e>
              <m:r>
                <m:t>U</m:t>
              </m:r>
            </m:e>
            <m:sub>
              <m:r>
                <m:t>p</m:t>
              </m:r>
            </m:sub>
          </m:sSub>
          <m:sSubSup>
            <m:e>
              <m:r>
                <m:t>h</m:t>
              </m:r>
            </m:e>
            <m:sub>
              <m:r>
                <m:t>x</m:t>
              </m:r>
            </m:sub>
            <m:sup>
              <m:r>
                <m:rPr>
                  <m:sty m:val="p"/>
                </m:rPr>
                <m:t>−</m:t>
              </m:r>
              <m:r>
                <m:t>1</m:t>
              </m:r>
            </m:sup>
          </m:sSubSup>
          <m:r>
            <m:rPr>
              <m:sty m:val="p"/>
            </m:rPr>
            <m:t>,</m:t>
          </m:r>
          <m:r>
            <m:t>  </m:t>
          </m:r>
          <m:r>
            <m:rPr>
              <m:sty m:val="p"/>
            </m:rPr>
            <m:t>Tr</m:t>
          </m:r>
          <m:sSub>
            <m:e>
              <m:r>
                <m:t>U</m:t>
              </m:r>
            </m:e>
            <m:sub>
              <m:r>
                <m:t>p</m:t>
              </m:r>
            </m:sub>
          </m:sSub>
          <m:r>
            <m:rPr>
              <m:sty m:val="p"/>
            </m:rPr>
            <m:t>↦</m:t>
          </m:r>
          <m:r>
            <m:rPr>
              <m:sty m:val="p"/>
            </m:rPr>
            <m:t>Tr</m:t>
          </m:r>
          <m:sSub>
            <m:e>
              <m:r>
                <m:t>U</m:t>
              </m:r>
            </m:e>
            <m:sub>
              <m:r>
                <m:t>p</m:t>
              </m:r>
            </m:sub>
          </m:sSub>
          <m:r>
            <m:rPr>
              <m:sty m:val="p"/>
            </m:rPr>
            <m:t>.</m:t>
          </m:r>
        </m:oMath>
      </m:oMathPara>
    </w:p>
    <w:p>
      <w:pPr>
        <w:pStyle w:val="FirstParagraph"/>
      </w:pPr>
      <w:r>
        <w:t xml:space="preserve">Thus</w:t>
      </w:r>
      <w:r>
        <w:t xml:space="preserve"> </w:t>
      </w:r>
      <m:oMath>
        <m:sSub>
          <m:e>
            <m:r>
              <m:t>S</m:t>
            </m:r>
          </m:e>
          <m:sub>
            <m:r>
              <m:t>W</m:t>
            </m:r>
          </m:sub>
        </m:sSub>
      </m:oMath>
      <w:r>
        <w:t xml:space="preserve"> </w:t>
      </w:r>
      <w:r>
        <w:t xml:space="preserve">and the finite-volume measure are gauge invariant.</w:t>
      </w:r>
    </w:p>
    <w:p>
      <w:pPr>
        <w:pStyle w:val="BodyText"/>
      </w:pPr>
      <w:r>
        <w:t xml:space="preserve">The small-plaquette expansion is</w:t>
      </w:r>
    </w:p>
    <w:p>
      <w:pPr>
        <w:pStyle w:val="BodyText"/>
      </w:pPr>
      <m:oMathPara>
        <m:oMathParaPr>
          <m:jc m:val="center"/>
        </m:oMathParaPr>
        <m:oMath>
          <m:sSub>
            <m:e>
              <m:r>
                <m:t>U</m:t>
              </m:r>
            </m:e>
            <m:sub>
              <m:r>
                <m:t>p</m:t>
              </m:r>
            </m:sub>
          </m:sSub>
          <m:r>
            <m:rPr>
              <m:sty m:val="p"/>
            </m:rPr>
            <m:t>=</m:t>
          </m:r>
          <m:r>
            <m:rPr>
              <m:sty m:val="p"/>
            </m:rPr>
            <m:t>exp</m:t>
          </m:r>
          <m:d>
            <m:dPr>
              <m:begChr m:val="("/>
              <m:endChr m:val=")"/>
              <m:sepChr m:val=""/>
              <m:grow/>
            </m:dPr>
            <m:e>
              <m:sSup>
                <m:e>
                  <m:r>
                    <m:t>a</m:t>
                  </m:r>
                </m:e>
                <m:sup>
                  <m:r>
                    <m:t>2</m:t>
                  </m:r>
                </m:sup>
              </m:sSup>
              <m:sSub>
                <m:e>
                  <m:r>
                    <m:t>F</m:t>
                  </m:r>
                </m:e>
                <m:sub>
                  <m:r>
                    <m:t>μ</m:t>
                  </m:r>
                  <m:r>
                    <m:t>ν</m:t>
                  </m:r>
                </m:sub>
              </m:sSub>
              <m:r>
                <m:rPr>
                  <m:sty m:val="p"/>
                </m:rPr>
                <m:t>+</m:t>
              </m:r>
              <m:r>
                <m:t>O</m:t>
              </m:r>
              <m:d>
                <m:dPr>
                  <m:begChr m:val="("/>
                  <m:endChr m:val=")"/>
                  <m:sepChr m:val=""/>
                  <m:grow/>
                </m:dPr>
                <m:e>
                  <m:sSup>
                    <m:e>
                      <m:r>
                        <m:t>a</m:t>
                      </m:r>
                    </m:e>
                    <m:sup>
                      <m:r>
                        <m:t>3</m:t>
                      </m:r>
                    </m:sup>
                  </m:sSup>
                </m:e>
              </m:d>
            </m:e>
          </m:d>
          <m:r>
            <m:rPr>
              <m:sty m:val="p"/>
            </m:rPr>
            <m:t>,</m:t>
          </m:r>
        </m:oMath>
      </m:oMathPara>
    </w:p>
    <w:p>
      <w:pPr>
        <w:pStyle w:val="FirstParagraph"/>
      </w:pPr>
      <w:r>
        <w:t xml:space="preserve">and therefore</w:t>
      </w:r>
    </w:p>
    <w:p>
      <w:pPr>
        <w:pStyle w:val="BodyText"/>
      </w:pPr>
      <m:oMathPara>
        <m:oMathParaPr>
          <m:jc m:val="center"/>
        </m:oMathParaPr>
        <m:oMath>
          <m:r>
            <m:rPr>
              <m:sty m:val="p"/>
            </m:rPr>
            <m:t>ReTr</m:t>
          </m:r>
          <m:d>
            <m:dPr>
              <m:begChr m:val="("/>
              <m:endChr m:val=")"/>
              <m:sepChr m:val=""/>
              <m:grow/>
            </m:dPr>
            <m:e>
              <m:r>
                <m:t>I</m:t>
              </m:r>
              <m:r>
                <m:rPr>
                  <m:sty m:val="p"/>
                </m:rPr>
                <m:t>−</m:t>
              </m:r>
              <m:sSub>
                <m:e>
                  <m:r>
                    <m:t>U</m:t>
                  </m:r>
                </m:e>
                <m:sub>
                  <m:r>
                    <m:t>p</m:t>
                  </m:r>
                </m:sub>
              </m:sSub>
            </m:e>
          </m:d>
          <m:r>
            <m:rPr>
              <m:sty m:val="p"/>
            </m:rPr>
            <m:t>=</m:t>
          </m:r>
          <m:f>
            <m:fPr>
              <m:type m:val="bar"/>
            </m:fPr>
            <m:num>
              <m:sSup>
                <m:e>
                  <m:r>
                    <m:t>a</m:t>
                  </m:r>
                </m:e>
                <m:sup>
                  <m:r>
                    <m:t>4</m:t>
                  </m:r>
                </m:sup>
              </m:sSup>
            </m:num>
            <m:den>
              <m:r>
                <m:t>2</m:t>
              </m:r>
            </m:den>
          </m:f>
          <m:r>
            <m:rPr>
              <m:sty m:val="p"/>
            </m:rPr>
            <m:t>Tr</m:t>
          </m:r>
          <m:d>
            <m:dPr>
              <m:begChr m:val="("/>
              <m:endChr m:val=")"/>
              <m:sepChr m:val=""/>
              <m:grow/>
            </m:dPr>
            <m:e>
              <m:sSubSup>
                <m:e>
                  <m:r>
                    <m:t>F</m:t>
                  </m:r>
                </m:e>
                <m:sub>
                  <m:r>
                    <m:t>μ</m:t>
                  </m:r>
                  <m:r>
                    <m:t>ν</m:t>
                  </m:r>
                </m:sub>
                <m:sup>
                  <m:r>
                    <m:rPr>
                      <m:sty m:val="p"/>
                    </m:rPr>
                    <m:t>†</m:t>
                  </m:r>
                </m:sup>
              </m:sSubSup>
              <m:sSub>
                <m:e>
                  <m:r>
                    <m:t>F</m:t>
                  </m:r>
                </m:e>
                <m:sub>
                  <m:r>
                    <m:t>μ</m:t>
                  </m:r>
                  <m:r>
                    <m:t>ν</m:t>
                  </m:r>
                </m:sub>
              </m:sSub>
            </m:e>
          </m:d>
          <m:r>
            <m:rPr>
              <m:sty m:val="p"/>
            </m:rPr>
            <m:t>+</m:t>
          </m:r>
          <m:r>
            <m:t>O</m:t>
          </m:r>
          <m:d>
            <m:dPr>
              <m:begChr m:val="("/>
              <m:endChr m:val=")"/>
              <m:sepChr m:val=""/>
              <m:grow/>
            </m:dPr>
            <m:e>
              <m:sSup>
                <m:e>
                  <m:r>
                    <m:t>a</m:t>
                  </m:r>
                </m:e>
                <m:sup>
                  <m:r>
                    <m:t>6</m:t>
                  </m:r>
                </m:sup>
              </m:sSup>
            </m:e>
          </m:d>
          <m:r>
            <m:rPr>
              <m:sty m:val="p"/>
            </m:rPr>
            <m:t>.</m:t>
          </m:r>
        </m:oMath>
      </m:oMathPara>
    </w:p>
    <w:p>
      <w:pPr>
        <w:pStyle w:val="FirstParagraph"/>
      </w:pPr>
      <w:r>
        <w:t xml:space="preserve">The regulator is not replaced by the finite quantum-link workbench anywhere in the continuum argument.</w:t>
      </w:r>
    </w:p>
    <w:bookmarkEnd w:id="22"/>
    <w:bookmarkStart w:id="23" w:name="Xc8b9f9355c8fb22df246ee5abe207714bfa6519"/>
    <w:p>
      <w:pPr>
        <w:pStyle w:val="Heading1"/>
      </w:pPr>
      <w:r>
        <w:t xml:space="preserve">3. Peter–Weyl exhaustion and heat-kernel transfer</w:t>
      </w:r>
    </w:p>
    <w:p>
      <w:pPr>
        <w:pStyle w:val="FirstParagraph"/>
      </w:pPr>
      <w:r>
        <w:t xml:space="preserve">Peter–Weyl gives</w:t>
      </w:r>
    </w:p>
    <w:p>
      <w:pPr>
        <w:pStyle w:val="BodyText"/>
      </w:pPr>
      <m:oMathPara>
        <m:oMathParaPr>
          <m:jc m:val="center"/>
        </m:oMathParaPr>
        <m:oMath>
          <m:sSup>
            <m:e>
              <m:r>
                <m:t>L</m:t>
              </m:r>
            </m:e>
            <m:sup>
              <m:r>
                <m:t>2</m:t>
              </m:r>
            </m:sup>
          </m:sSup>
          <m:d>
            <m:dPr>
              <m:begChr m:val="("/>
              <m:endChr m:val=")"/>
              <m:sepChr m:val=""/>
              <m:grow/>
            </m:dPr>
            <m:e>
              <m:r>
                <m:t>G</m:t>
              </m:r>
            </m:e>
          </m:d>
          <m:r>
            <m:rPr>
              <m:sty m:val="p"/>
            </m:rPr>
            <m:t>≅</m:t>
          </m:r>
          <m:sSub>
            <m:e>
              <m:acc>
                <m:accPr>
                  <m:chr m:val="̂"/>
                </m:accPr>
                <m:e>
                  <m:r>
                    <m:rPr>
                      <m:sty m:val="p"/>
                    </m:rPr>
                    <m:t>⨁</m:t>
                  </m:r>
                </m:e>
              </m:acc>
            </m:e>
            <m:sub>
              <m:r>
                <m:t>λ</m:t>
              </m:r>
              <m:r>
                <m:rPr>
                  <m:sty m:val="p"/>
                </m:rPr>
                <m:t>∈</m:t>
              </m:r>
              <m:acc>
                <m:accPr>
                  <m:chr m:val="̂"/>
                </m:accPr>
                <m:e>
                  <m:r>
                    <m:t>G</m:t>
                  </m:r>
                </m:e>
              </m:acc>
            </m:sub>
          </m:sSub>
          <m:sSub>
            <m:e>
              <m:r>
                <m:t>V</m:t>
              </m:r>
            </m:e>
            <m:sub>
              <m:r>
                <m:t>λ</m:t>
              </m:r>
            </m:sub>
          </m:sSub>
          <m:r>
            <m:rPr>
              <m:sty m:val="p"/>
            </m:rPr>
            <m:t>⊗</m:t>
          </m:r>
          <m:sSubSup>
            <m:e>
              <m:r>
                <m:t>V</m:t>
              </m:r>
            </m:e>
            <m:sub>
              <m:r>
                <m:t>λ</m:t>
              </m:r>
            </m:sub>
            <m:sup>
              <m:r>
                <m:rPr>
                  <m:sty m:val="p"/>
                </m:rPr>
                <m:t>*</m:t>
              </m:r>
            </m:sup>
          </m:sSubSup>
          <m:r>
            <m:rPr>
              <m:sty m:val="p"/>
            </m:rPr>
            <m:t>.</m:t>
          </m:r>
        </m:oMath>
      </m:oMathPara>
    </w:p>
    <w:p>
      <w:pPr>
        <w:pStyle w:val="FirstParagraph"/>
      </w:pPr>
      <w:r>
        <w:t xml:space="preserve">For</w:t>
      </w:r>
      <w:r>
        <w:t xml:space="preserve"> </w:t>
      </w:r>
      <m:oMath>
        <m:r>
          <m:t>S</m:t>
        </m:r>
        <m:r>
          <m:t>U</m:t>
        </m:r>
        <m:d>
          <m:dPr>
            <m:begChr m:val="("/>
            <m:endChr m:val=")"/>
            <m:sepChr m:val=""/>
            <m:grow/>
          </m:dPr>
          <m:e>
            <m:r>
              <m:t>3</m:t>
            </m:r>
          </m:e>
        </m:d>
      </m:oMath>
      <w:r>
        <w:t xml:space="preserve">, irreducibles are indexed by</w:t>
      </w:r>
      <w:r>
        <w:t xml:space="preserve"> </w:t>
      </w:r>
      <m:oMath>
        <m:d>
          <m:dPr>
            <m:begChr m:val="("/>
            <m:endChr m:val=")"/>
            <m:sepChr m:val=""/>
            <m:grow/>
          </m:dPr>
          <m:e>
            <m:r>
              <m:t>p</m:t>
            </m:r>
            <m:r>
              <m:rPr>
                <m:sty m:val="p"/>
              </m:rPr>
              <m:t>,</m:t>
            </m:r>
            <m:r>
              <m:t>q</m:t>
            </m:r>
          </m:e>
        </m:d>
        <m:r>
          <m:rPr>
            <m:sty m:val="p"/>
          </m:rPr>
          <m:t>∈</m:t>
        </m:r>
        <m:sSup>
          <m:e>
            <m:r>
              <m:rPr>
                <m:sty m:val="p"/>
                <m:scr m:val="double-struck"/>
              </m:rPr>
              <m:t>N</m:t>
            </m:r>
          </m:e>
          <m:sup>
            <m:r>
              <m:t>2</m:t>
            </m:r>
          </m:sup>
        </m:sSup>
      </m:oMath>
      <w:r>
        <w:t xml:space="preserve">, with</w:t>
      </w:r>
    </w:p>
    <w:p>
      <w:pPr>
        <w:pStyle w:val="BodyText"/>
      </w:pPr>
      <m:oMathPara>
        <m:oMathParaPr>
          <m:jc m:val="center"/>
        </m:oMathParaPr>
        <m:oMath>
          <m:sSub>
            <m:e>
              <m:r>
                <m:t>d</m:t>
              </m:r>
            </m:e>
            <m:sub>
              <m:r>
                <m:t>p</m:t>
              </m:r>
              <m:r>
                <m:rPr>
                  <m:sty m:val="p"/>
                </m:rPr>
                <m:t>,</m:t>
              </m:r>
              <m:r>
                <m:t>q</m:t>
              </m:r>
            </m:sub>
          </m:sSub>
          <m:r>
            <m:rPr>
              <m:sty m:val="p"/>
            </m:rPr>
            <m:t>=</m:t>
          </m:r>
          <m:f>
            <m:fPr>
              <m:type m:val="bar"/>
            </m:fPr>
            <m:num>
              <m:d>
                <m:dPr>
                  <m:begChr m:val="("/>
                  <m:endChr m:val=")"/>
                  <m:sepChr m:val=""/>
                  <m:grow/>
                </m:dPr>
                <m:e>
                  <m:r>
                    <m:t>p</m:t>
                  </m:r>
                  <m:r>
                    <m:rPr>
                      <m:sty m:val="p"/>
                    </m:rPr>
                    <m:t>+</m:t>
                  </m:r>
                  <m:r>
                    <m:t>1</m:t>
                  </m:r>
                </m:e>
              </m:d>
              <m:d>
                <m:dPr>
                  <m:begChr m:val="("/>
                  <m:endChr m:val=")"/>
                  <m:sepChr m:val=""/>
                  <m:grow/>
                </m:dPr>
                <m:e>
                  <m:r>
                    <m:t>q</m:t>
                  </m:r>
                  <m:r>
                    <m:rPr>
                      <m:sty m:val="p"/>
                    </m:rPr>
                    <m:t>+</m:t>
                  </m:r>
                  <m:r>
                    <m:t>1</m:t>
                  </m:r>
                </m:e>
              </m:d>
              <m:d>
                <m:dPr>
                  <m:begChr m:val="("/>
                  <m:endChr m:val=")"/>
                  <m:sepChr m:val=""/>
                  <m:grow/>
                </m:dPr>
                <m:e>
                  <m:r>
                    <m:t>p</m:t>
                  </m:r>
                  <m:r>
                    <m:rPr>
                      <m:sty m:val="p"/>
                    </m:rPr>
                    <m:t>+</m:t>
                  </m:r>
                  <m:r>
                    <m:t>q</m:t>
                  </m:r>
                  <m:r>
                    <m:rPr>
                      <m:sty m:val="p"/>
                    </m:rPr>
                    <m:t>+</m:t>
                  </m:r>
                  <m:r>
                    <m:t>2</m:t>
                  </m:r>
                </m:e>
              </m:d>
            </m:num>
            <m:den>
              <m:r>
                <m:t>2</m:t>
              </m:r>
            </m:den>
          </m:f>
        </m:oMath>
      </m:oMathPara>
    </w:p>
    <w:p>
      <w:pPr>
        <w:pStyle w:val="FirstParagraph"/>
      </w:pPr>
      <w:r>
        <w:t xml:space="preserve">and quadratic Casimir</w:t>
      </w:r>
    </w:p>
    <w:p>
      <w:pPr>
        <w:pStyle w:val="BodyText"/>
      </w:pPr>
      <m:oMathPara>
        <m:oMathParaPr>
          <m:jc m:val="center"/>
        </m:oMathParaPr>
        <m:oMath>
          <m:sSub>
            <m:e>
              <m:r>
                <m:t>C</m:t>
              </m:r>
            </m:e>
            <m:sub>
              <m:r>
                <m:t>2</m:t>
              </m:r>
            </m:sub>
          </m:sSub>
          <m:d>
            <m:dPr>
              <m:begChr m:val="("/>
              <m:endChr m:val=")"/>
              <m:sepChr m:val=""/>
              <m:grow/>
            </m:dPr>
            <m:e>
              <m:r>
                <m:t>p</m:t>
              </m:r>
              <m:r>
                <m:rPr>
                  <m:sty m:val="p"/>
                </m:rPr>
                <m:t>,</m:t>
              </m:r>
              <m:r>
                <m:t>q</m:t>
              </m:r>
            </m:e>
          </m:d>
          <m:r>
            <m:rPr>
              <m:sty m:val="p"/>
            </m:rPr>
            <m:t>=</m:t>
          </m:r>
          <m:f>
            <m:fPr>
              <m:type m:val="bar"/>
            </m:fPr>
            <m:num>
              <m:sSup>
                <m:e>
                  <m:r>
                    <m:t>p</m:t>
                  </m:r>
                </m:e>
                <m:sup>
                  <m:r>
                    <m:t>2</m:t>
                  </m:r>
                </m:sup>
              </m:sSup>
              <m:r>
                <m:rPr>
                  <m:sty m:val="p"/>
                </m:rPr>
                <m:t>+</m:t>
              </m:r>
              <m:sSup>
                <m:e>
                  <m:r>
                    <m:t>q</m:t>
                  </m:r>
                </m:e>
                <m:sup>
                  <m:r>
                    <m:t>2</m:t>
                  </m:r>
                </m:sup>
              </m:sSup>
              <m:r>
                <m:rPr>
                  <m:sty m:val="p"/>
                </m:rPr>
                <m:t>+</m:t>
              </m:r>
              <m:r>
                <m:t>p</m:t>
              </m:r>
              <m:r>
                <m:t>q</m:t>
              </m:r>
              <m:r>
                <m:rPr>
                  <m:sty m:val="p"/>
                </m:rPr>
                <m:t>+</m:t>
              </m:r>
              <m:r>
                <m:t>3</m:t>
              </m:r>
              <m:r>
                <m:t>p</m:t>
              </m:r>
              <m:r>
                <m:rPr>
                  <m:sty m:val="p"/>
                </m:rPr>
                <m:t>+</m:t>
              </m:r>
              <m:r>
                <m:t>3</m:t>
              </m:r>
              <m:r>
                <m:t>q</m:t>
              </m:r>
            </m:num>
            <m:den>
              <m:r>
                <m:t>3</m:t>
              </m:r>
            </m:den>
          </m:f>
          <m:r>
            <m:rPr>
              <m:sty m:val="p"/>
            </m:rPr>
            <m:t>.</m:t>
          </m:r>
        </m:oMath>
      </m:oMathPara>
    </w:p>
    <w:p>
      <w:pPr>
        <w:pStyle w:val="FirstParagraph"/>
      </w:pPr>
      <w:r>
        <w:t xml:space="preserve">Define</w:t>
      </w:r>
    </w:p>
    <w:p>
      <w:pPr>
        <w:pStyle w:val="BodyText"/>
      </w:pPr>
      <m:oMathPara>
        <m:oMathParaPr>
          <m:jc m:val="center"/>
        </m:oMathParaPr>
        <m:oMath>
          <m:sSub>
            <m:e>
              <m:r>
                <m:rPr>
                  <m:sty m:val="p"/>
                  <m:scr m:val="script"/>
                </m:rPr>
                <m:t>H</m:t>
              </m:r>
            </m:e>
            <m:sub>
              <m:r>
                <m:t>K</m:t>
              </m:r>
            </m:sub>
          </m:sSub>
          <m:r>
            <m:rPr>
              <m:sty m:val="p"/>
            </m:rPr>
            <m:t>=</m:t>
          </m:r>
          <m:sSub>
            <m:e>
              <m:r>
                <m:rPr>
                  <m:sty m:val="p"/>
                </m:rPr>
                <m:t>⨁</m:t>
              </m:r>
            </m:e>
            <m:sub>
              <m:r>
                <m:t>p</m:t>
              </m:r>
              <m:r>
                <m:rPr>
                  <m:sty m:val="p"/>
                </m:rPr>
                <m:t>+</m:t>
              </m:r>
              <m:r>
                <m:t>q</m:t>
              </m:r>
              <m:r>
                <m:rPr>
                  <m:sty m:val="p"/>
                </m:rPr>
                <m:t>≤</m:t>
              </m:r>
              <m:r>
                <m:t>K</m:t>
              </m:r>
            </m:sub>
          </m:sSub>
          <m:sSub>
            <m:e>
              <m:r>
                <m:t>V</m:t>
              </m:r>
            </m:e>
            <m:sub>
              <m:r>
                <m:t>p</m:t>
              </m:r>
              <m:r>
                <m:rPr>
                  <m:sty m:val="p"/>
                </m:rPr>
                <m:t>,</m:t>
              </m:r>
              <m:r>
                <m:t>q</m:t>
              </m:r>
            </m:sub>
          </m:sSub>
          <m:r>
            <m:rPr>
              <m:sty m:val="p"/>
            </m:rPr>
            <m:t>⊗</m:t>
          </m:r>
          <m:sSubSup>
            <m:e>
              <m:r>
                <m:t>V</m:t>
              </m:r>
            </m:e>
            <m:sub>
              <m:r>
                <m:t>p</m:t>
              </m:r>
              <m:r>
                <m:rPr>
                  <m:sty m:val="p"/>
                </m:rPr>
                <m:t>,</m:t>
              </m:r>
              <m:r>
                <m:t>q</m:t>
              </m:r>
            </m:sub>
            <m:sup>
              <m:r>
                <m:rPr>
                  <m:sty m:val="p"/>
                </m:rPr>
                <m:t>*</m:t>
              </m:r>
            </m:sup>
          </m:sSubSup>
          <m:r>
            <m:rPr>
              <m:sty m:val="p"/>
            </m:rPr>
            <m:t>.</m:t>
          </m:r>
        </m:oMath>
      </m:oMathPara>
    </w:p>
    <w:p>
      <w:pPr>
        <w:pStyle w:val="FirstParagraph"/>
      </w:pPr>
      <w:r>
        <w:t xml:space="preserve">Then</w:t>
      </w:r>
      <w:r>
        <w:t xml:space="preserve"> </w:t>
      </w:r>
      <m:oMath>
        <m:sSub>
          <m:e>
            <m:r>
              <m:rPr>
                <m:sty m:val="p"/>
              </m:rPr>
              <m:t>⋃</m:t>
            </m:r>
          </m:e>
          <m:sub>
            <m:r>
              <m:t>K</m:t>
            </m:r>
          </m:sub>
        </m:sSub>
        <m:sSub>
          <m:e>
            <m:r>
              <m:rPr>
                <m:sty m:val="p"/>
                <m:scr m:val="script"/>
              </m:rPr>
              <m:t>H</m:t>
            </m:r>
          </m:e>
          <m:sub>
            <m:r>
              <m:t>K</m:t>
            </m:r>
          </m:sub>
        </m:sSub>
      </m:oMath>
      <w:r>
        <w:t xml:space="preserve"> </w:t>
      </w:r>
      <w:r>
        <w:t xml:space="preserve">is dense in</w:t>
      </w:r>
      <w:r>
        <w:t xml:space="preserve"> </w:t>
      </w:r>
      <m:oMath>
        <m:sSup>
          <m:e>
            <m:r>
              <m:t>L</m:t>
            </m:r>
          </m:e>
          <m:sup>
            <m:r>
              <m:t>2</m:t>
            </m:r>
          </m:sup>
        </m:sSup>
        <m:d>
          <m:dPr>
            <m:begChr m:val="("/>
            <m:endChr m:val=")"/>
            <m:sepChr m:val=""/>
            <m:grow/>
          </m:dPr>
          <m:e>
            <m:r>
              <m:t>S</m:t>
            </m:r>
            <m:r>
              <m:t>U</m:t>
            </m:r>
            <m:d>
              <m:dPr>
                <m:begChr m:val="("/>
                <m:endChr m:val=")"/>
                <m:sepChr m:val=""/>
                <m:grow/>
              </m:dPr>
              <m:e>
                <m:r>
                  <m:t>3</m:t>
                </m:r>
              </m:e>
            </m:d>
          </m:e>
        </m:d>
      </m:oMath>
      <w:r>
        <w:t xml:space="preserve">.</w:t>
      </w:r>
    </w:p>
    <w:p>
      <w:pPr>
        <w:pStyle w:val="BodyText"/>
      </w:pPr>
      <w:r>
        <w:t xml:space="preserve">The compact-group heat kernel admits the character expansion</w:t>
      </w:r>
    </w:p>
    <w:p>
      <w:pPr>
        <w:pStyle w:val="BodyText"/>
      </w:pPr>
      <m:oMathPara>
        <m:oMathParaPr>
          <m:jc m:val="center"/>
        </m:oMathParaPr>
        <m:oMath>
          <m:sSub>
            <m:e>
              <m:r>
                <m:t>K</m:t>
              </m:r>
            </m:e>
            <m:sub>
              <m:r>
                <m:t>t</m:t>
              </m:r>
            </m:sub>
          </m:sSub>
          <m:d>
            <m:dPr>
              <m:begChr m:val="("/>
              <m:endChr m:val=")"/>
              <m:sepChr m:val=""/>
              <m:grow/>
            </m:dPr>
            <m:e>
              <m:r>
                <m:t>g</m:t>
              </m:r>
            </m:e>
          </m:d>
          <m:r>
            <m:rPr>
              <m:sty m:val="p"/>
            </m:rPr>
            <m:t>=</m:t>
          </m:r>
          <m:nary>
            <m:naryPr>
              <m:chr m:val="∑"/>
              <m:limLoc m:val="undOvr"/>
              <m:subHide m:val="off"/>
              <m:supHide m:val="on"/>
            </m:naryPr>
            <m:sub>
              <m:r>
                <m:t>λ</m:t>
              </m:r>
              <m:r>
                <m:rPr>
                  <m:sty m:val="p"/>
                </m:rPr>
                <m:t>∈</m:t>
              </m:r>
              <m:acc>
                <m:accPr>
                  <m:chr m:val="̂"/>
                </m:accPr>
                <m:e>
                  <m:r>
                    <m:t>G</m:t>
                  </m:r>
                </m:e>
              </m:acc>
            </m:sub>
            <m:sup>
              <m:r>
                <m:t>​</m:t>
              </m:r>
            </m:sup>
            <m:e>
              <m:sSub>
                <m:e>
                  <m:r>
                    <m:t>d</m:t>
                  </m:r>
                </m:e>
                <m:sub>
                  <m:r>
                    <m:t>λ</m:t>
                  </m:r>
                </m:sub>
              </m:sSub>
            </m:e>
          </m:nary>
          <m:sSup>
            <m:e>
              <m:r>
                <m:t>e</m:t>
              </m:r>
            </m:e>
            <m:sup>
              <m:r>
                <m:rPr>
                  <m:sty m:val="p"/>
                </m:rPr>
                <m:t>−</m:t>
              </m:r>
              <m:r>
                <m:t>t</m:t>
              </m:r>
              <m:sSub>
                <m:e>
                  <m:r>
                    <m:t>C</m:t>
                  </m:r>
                </m:e>
                <m:sub>
                  <m:r>
                    <m:t>2</m:t>
                  </m:r>
                </m:sub>
              </m:sSub>
              <m:d>
                <m:dPr>
                  <m:begChr m:val="("/>
                  <m:endChr m:val=")"/>
                  <m:sepChr m:val=""/>
                  <m:grow/>
                </m:dPr>
                <m:e>
                  <m:r>
                    <m:t>λ</m:t>
                  </m:r>
                </m:e>
              </m:d>
            </m:sup>
          </m:sSup>
          <m:sSub>
            <m:e>
              <m:r>
                <m:t>χ</m:t>
              </m:r>
            </m:e>
            <m:sub>
              <m:r>
                <m:t>λ</m:t>
              </m:r>
            </m:sub>
          </m:sSub>
          <m:d>
            <m:dPr>
              <m:begChr m:val="("/>
              <m:endChr m:val=")"/>
              <m:sepChr m:val=""/>
              <m:grow/>
            </m:dPr>
            <m:e>
              <m:r>
                <m:t>g</m:t>
              </m:r>
            </m:e>
          </m:d>
          <m:r>
            <m:rPr>
              <m:sty m:val="p"/>
            </m:rPr>
            <m:t>,</m:t>
          </m:r>
          <m:r>
            <m:t>  </m:t>
          </m:r>
          <m:r>
            <m:t>t</m:t>
          </m:r>
          <m:r>
            <m:rPr>
              <m:sty m:val="p"/>
            </m:rPr>
            <m:t>&gt;</m:t>
          </m:r>
          <m:r>
            <m:t>0</m:t>
          </m:r>
          <m:r>
            <m:rPr>
              <m:sty m:val="p"/>
            </m:rPr>
            <m:t>,</m:t>
          </m:r>
        </m:oMath>
      </m:oMathPara>
    </w:p>
    <w:p>
      <w:pPr>
        <w:pStyle w:val="FirstParagraph"/>
      </w:pPr>
      <w:r>
        <w:t xml:space="preserve">and satisfies</w:t>
      </w:r>
    </w:p>
    <w:p>
      <w:pPr>
        <w:pStyle w:val="BodyText"/>
      </w:pPr>
      <m:oMathPara>
        <m:oMathParaPr>
          <m:jc m:val="center"/>
        </m:oMathParaPr>
        <m:oMath>
          <m:sSub>
            <m:e>
              <m:r>
                <m:t>K</m:t>
              </m:r>
            </m:e>
            <m:sub>
              <m:r>
                <m:t>t</m:t>
              </m:r>
            </m:sub>
          </m:sSub>
          <m:r>
            <m:rPr>
              <m:sty m:val="p"/>
            </m:rPr>
            <m:t>*</m:t>
          </m:r>
          <m:sSub>
            <m:e>
              <m:r>
                <m:t>K</m:t>
              </m:r>
            </m:e>
            <m:sub>
              <m:r>
                <m:t>s</m:t>
              </m:r>
            </m:sub>
          </m:sSub>
          <m:r>
            <m:rPr>
              <m:sty m:val="p"/>
            </m:rPr>
            <m:t>=</m:t>
          </m:r>
          <m:sSub>
            <m:e>
              <m:r>
                <m:t>K</m:t>
              </m:r>
            </m:e>
            <m:sub>
              <m:r>
                <m:t>t</m:t>
              </m:r>
              <m:r>
                <m:rPr>
                  <m:sty m:val="p"/>
                </m:rPr>
                <m:t>+</m:t>
              </m:r>
              <m:r>
                <m:t>s</m:t>
              </m:r>
            </m:sub>
          </m:sSub>
          <m:r>
            <m:rPr>
              <m:sty m:val="p"/>
            </m:rPr>
            <m:t>.</m:t>
          </m:r>
        </m:oMath>
      </m:oMathPara>
    </w:p>
    <w:p>
      <w:pPr>
        <w:pStyle w:val="FirstParagraph"/>
      </w:pPr>
      <w:r>
        <w:t xml:space="preserve">For arbitrary complex</w:t>
      </w:r>
      <w:r>
        <w:t xml:space="preserve"> </w:t>
      </w:r>
      <m:oMath>
        <m:sSub>
          <m:e>
            <m:r>
              <m:t>c</m:t>
            </m:r>
          </m:e>
          <m:sub>
            <m:r>
              <m:t>i</m:t>
            </m:r>
          </m:sub>
        </m:sSub>
      </m:oMath>
      <w:r>
        <w:t xml:space="preserve"> </w:t>
      </w:r>
      <w:r>
        <w:t xml:space="preserve">and</w:t>
      </w:r>
      <w:r>
        <w:t xml:space="preserve"> </w:t>
      </w:r>
      <m:oMath>
        <m:sSub>
          <m:e>
            <m:r>
              <m:t>g</m:t>
            </m:r>
          </m:e>
          <m:sub>
            <m:r>
              <m:t>i</m:t>
            </m:r>
          </m:sub>
        </m:sSub>
        <m:r>
          <m:rPr>
            <m:sty m:val="p"/>
          </m:rPr>
          <m:t>∈</m:t>
        </m:r>
        <m:r>
          <m:t>G</m:t>
        </m:r>
      </m:oMath>
      <w:r>
        <w:t xml:space="preserve">,</w:t>
      </w:r>
    </w:p>
    <w:p>
      <w:pPr>
        <w:pStyle w:val="BodyText"/>
      </w:pPr>
      <m:oMathPara>
        <m:oMathParaPr>
          <m:jc m:val="center"/>
        </m:oMathParaPr>
        <m:oMath>
          <m:nary>
            <m:naryPr>
              <m:chr m:val="∑"/>
              <m:limLoc m:val="undOvr"/>
              <m:subHide m:val="off"/>
              <m:supHide m:val="on"/>
            </m:naryPr>
            <m:sub>
              <m:r>
                <m:t>i</m:t>
              </m:r>
              <m:r>
                <m:rPr>
                  <m:sty m:val="p"/>
                </m:rPr>
                <m:t>,</m:t>
              </m:r>
              <m:r>
                <m:t>j</m:t>
              </m:r>
            </m:sub>
            <m:sup>
              <m:r>
                <m:t>​</m:t>
              </m:r>
            </m:sup>
            <m:e>
              <m:bar>
                <m:barPr>
                  <m:pos m:val="top"/>
                </m:barPr>
                <m:e>
                  <m:sSub>
                    <m:e>
                      <m:r>
                        <m:t>c</m:t>
                      </m:r>
                    </m:e>
                    <m:sub>
                      <m:r>
                        <m:t>i</m:t>
                      </m:r>
                    </m:sub>
                  </m:sSub>
                </m:e>
              </m:bar>
            </m:e>
          </m:nary>
          <m:sSub>
            <m:e>
              <m:r>
                <m:t>c</m:t>
              </m:r>
            </m:e>
            <m:sub>
              <m:r>
                <m:t>j</m:t>
              </m:r>
            </m:sub>
          </m:sSub>
          <m:sSub>
            <m:e>
              <m:r>
                <m:t>K</m:t>
              </m:r>
            </m:e>
            <m:sub>
              <m:r>
                <m:t>t</m:t>
              </m:r>
            </m:sub>
          </m:sSub>
          <m:d>
            <m:dPr>
              <m:begChr m:val="("/>
              <m:endChr m:val=")"/>
              <m:sepChr m:val=""/>
              <m:grow/>
            </m:dPr>
            <m:e>
              <m:sSubSup>
                <m:e>
                  <m:r>
                    <m:t>g</m:t>
                  </m:r>
                </m:e>
                <m:sub>
                  <m:r>
                    <m:t>i</m:t>
                  </m:r>
                </m:sub>
                <m:sup>
                  <m:r>
                    <m:rPr>
                      <m:sty m:val="p"/>
                    </m:rPr>
                    <m:t>−</m:t>
                  </m:r>
                  <m:r>
                    <m:t>1</m:t>
                  </m:r>
                </m:sup>
              </m:sSubSup>
              <m:sSub>
                <m:e>
                  <m:r>
                    <m:t>g</m:t>
                  </m:r>
                </m:e>
                <m:sub>
                  <m:r>
                    <m:t>j</m:t>
                  </m:r>
                </m:sub>
              </m:sSub>
            </m:e>
          </m:d>
          <m:r>
            <m:rPr>
              <m:sty m:val="p"/>
            </m:rPr>
            <m:t>=</m:t>
          </m:r>
          <m:nary>
            <m:naryPr>
              <m:chr m:val="∑"/>
              <m:limLoc m:val="undOvr"/>
              <m:subHide m:val="off"/>
              <m:supHide m:val="on"/>
            </m:naryPr>
            <m:sub>
              <m:r>
                <m:t>λ</m:t>
              </m:r>
            </m:sub>
            <m:sup>
              <m:r>
                <m:t>​</m:t>
              </m:r>
            </m:sup>
            <m:e>
              <m:sSub>
                <m:e>
                  <m:r>
                    <m:t>d</m:t>
                  </m:r>
                </m:e>
                <m:sub>
                  <m:r>
                    <m:t>λ</m:t>
                  </m:r>
                </m:sub>
              </m:sSub>
            </m:e>
          </m:nary>
          <m:sSup>
            <m:e>
              <m:r>
                <m:t>e</m:t>
              </m:r>
            </m:e>
            <m:sup>
              <m:r>
                <m:rPr>
                  <m:sty m:val="p"/>
                </m:rPr>
                <m:t>−</m:t>
              </m:r>
              <m:r>
                <m:t>t</m:t>
              </m:r>
              <m:sSub>
                <m:e>
                  <m:r>
                    <m:t>C</m:t>
                  </m:r>
                </m:e>
                <m:sub>
                  <m:r>
                    <m:t>2</m:t>
                  </m:r>
                </m:sub>
              </m:sSub>
              <m:d>
                <m:dPr>
                  <m:begChr m:val="("/>
                  <m:endChr m:val=")"/>
                  <m:sepChr m:val=""/>
                  <m:grow/>
                </m:dPr>
                <m:e>
                  <m:r>
                    <m:t>λ</m:t>
                  </m:r>
                </m:e>
              </m:d>
            </m:sup>
          </m:sSup>
          <m:sSubSup>
            <m:e>
              <m:d>
                <m:dPr>
                  <m:begChr m:val="∥"/>
                  <m:endChr m:val="∥"/>
                  <m:sepChr m:val=""/>
                  <m:grow/>
                </m:dPr>
                <m:e>
                  <m:nary>
                    <m:naryPr>
                      <m:chr m:val="∑"/>
                      <m:limLoc m:val="undOvr"/>
                      <m:subHide m:val="off"/>
                      <m:supHide m:val="on"/>
                    </m:naryPr>
                    <m:sub>
                      <m:r>
                        <m:t>i</m:t>
                      </m:r>
                    </m:sub>
                    <m:sup>
                      <m:r>
                        <m:t>​</m:t>
                      </m:r>
                    </m:sup>
                    <m:e>
                      <m:sSub>
                        <m:e>
                          <m:r>
                            <m:t>c</m:t>
                          </m:r>
                        </m:e>
                        <m:sub>
                          <m:r>
                            <m:t>i</m:t>
                          </m:r>
                        </m:sub>
                      </m:sSub>
                    </m:e>
                  </m:nary>
                  <m:sSub>
                    <m:e>
                      <m:r>
                        <m:t>π</m:t>
                      </m:r>
                    </m:e>
                    <m:sub>
                      <m:r>
                        <m:t>λ</m:t>
                      </m:r>
                    </m:sub>
                  </m:sSub>
                  <m:d>
                    <m:dPr>
                      <m:begChr m:val="("/>
                      <m:endChr m:val=")"/>
                      <m:sepChr m:val=""/>
                      <m:grow/>
                    </m:dPr>
                    <m:e>
                      <m:sSub>
                        <m:e>
                          <m:r>
                            <m:t>g</m:t>
                          </m:r>
                        </m:e>
                        <m:sub>
                          <m:r>
                            <m:t>i</m:t>
                          </m:r>
                        </m:sub>
                      </m:sSub>
                    </m:e>
                  </m:d>
                </m:e>
              </m:d>
            </m:e>
            <m:sub>
              <m:r>
                <m:t>H</m:t>
              </m:r>
              <m:r>
                <m:t>S</m:t>
              </m:r>
            </m:sub>
            <m:sup>
              <m:r>
                <m:t>2</m:t>
              </m:r>
            </m:sup>
          </m:sSubSup>
          <m:r>
            <m:rPr>
              <m:sty m:val="p"/>
            </m:rPr>
            <m:t>≥</m:t>
          </m:r>
          <m:r>
            <m:t>0</m:t>
          </m:r>
          <m:r>
            <m:rPr>
              <m:sty m:val="p"/>
            </m:rPr>
            <m:t>.</m:t>
          </m:r>
        </m:oMath>
      </m:oMathPara>
    </w:p>
    <w:p>
      <w:pPr>
        <w:pStyle w:val="FirstParagraph"/>
      </w:pPr>
      <w:r>
        <w:t xml:space="preserve">This positive-type identity is the finite representation-theoretic core behind the positive transfer kernel.</w:t>
      </w:r>
    </w:p>
    <w:bookmarkEnd w:id="23"/>
    <w:bookmarkStart w:id="24" w:name="Xefe439b1781d150280842df4c2ae816bac23e88"/>
    <w:p>
      <w:pPr>
        <w:pStyle w:val="Heading1"/>
      </w:pPr>
      <w:r>
        <w:t xml:space="preserve">4. Native UCD refinement and thermodynamic family</w:t>
      </w:r>
    </w:p>
    <w:p>
      <w:pPr>
        <w:pStyle w:val="FirstParagraph"/>
      </w:pPr>
      <w:r>
        <w:t xml:space="preserve">The UCD refinement family used by the package is</w:t>
      </w:r>
    </w:p>
    <w:p>
      <w:pPr>
        <w:pStyle w:val="BodyText"/>
      </w:pPr>
      <m:oMathPara>
        <m:oMathParaPr>
          <m:jc m:val="center"/>
        </m:oMathParaPr>
        <m:oMath>
          <m:sSub>
            <m:e>
              <m:r>
                <m:t>Γ</m:t>
              </m:r>
            </m:e>
            <m:sub>
              <m:r>
                <m:t>r</m:t>
              </m:r>
              <m:r>
                <m:rPr>
                  <m:sty m:val="p"/>
                </m:rPr>
                <m:t>,</m:t>
              </m:r>
              <m:r>
                <m:t>s</m:t>
              </m:r>
            </m:sub>
          </m:sSub>
          <m:r>
            <m:rPr>
              <m:sty m:val="p"/>
            </m:rPr>
            <m:t>=</m:t>
          </m:r>
          <m:sSub>
            <m:e>
              <m:r>
                <m:rPr>
                  <m:sty m:val="p"/>
                  <m:scr m:val="double-struck"/>
                </m:rPr>
                <m:t>Z</m:t>
              </m:r>
            </m:e>
            <m:sub>
              <m:r>
                <m:t>3</m:t>
              </m:r>
              <m:r>
                <m:t> </m:t>
              </m:r>
              <m:sSup>
                <m:e>
                  <m:r>
                    <m:t>2</m:t>
                  </m:r>
                </m:e>
                <m:sup>
                  <m:r>
                    <m:t>r</m:t>
                  </m:r>
                  <m:r>
                    <m:rPr>
                      <m:sty m:val="p"/>
                    </m:rPr>
                    <m:t>+</m:t>
                  </m:r>
                  <m:r>
                    <m:t>s</m:t>
                  </m:r>
                </m:sup>
              </m:sSup>
            </m:sub>
          </m:sSub>
          <m:r>
            <m:rPr>
              <m:sty m:val="p"/>
            </m:rPr>
            <m:t>×</m:t>
          </m:r>
          <m:sSub>
            <m:e>
              <m:r>
                <m:rPr>
                  <m:sty m:val="p"/>
                  <m:scr m:val="double-struck"/>
                </m:rPr>
                <m:t>Z</m:t>
              </m:r>
            </m:e>
            <m:sub>
              <m:r>
                <m:t>2</m:t>
              </m:r>
              <m:r>
                <m:t> </m:t>
              </m:r>
              <m:sSup>
                <m:e>
                  <m:r>
                    <m:t>2</m:t>
                  </m:r>
                </m:e>
                <m:sup>
                  <m:r>
                    <m:t>r</m:t>
                  </m:r>
                  <m:r>
                    <m:rPr>
                      <m:sty m:val="p"/>
                    </m:rPr>
                    <m:t>+</m:t>
                  </m:r>
                  <m:r>
                    <m:t>s</m:t>
                  </m:r>
                </m:sup>
              </m:sSup>
            </m:sub>
          </m:sSub>
          <m:r>
            <m:rPr>
              <m:sty m:val="p"/>
            </m:rPr>
            <m:t>×</m:t>
          </m:r>
          <m:sSub>
            <m:e>
              <m:r>
                <m:rPr>
                  <m:sty m:val="p"/>
                  <m:scr m:val="double-struck"/>
                </m:rPr>
                <m:t>Z</m:t>
              </m:r>
            </m:e>
            <m:sub>
              <m:r>
                <m:t>2</m:t>
              </m:r>
              <m:r>
                <m:t> </m:t>
              </m:r>
              <m:sSup>
                <m:e>
                  <m:r>
                    <m:t>2</m:t>
                  </m:r>
                </m:e>
                <m:sup>
                  <m:r>
                    <m:t>r</m:t>
                  </m:r>
                  <m:r>
                    <m:rPr>
                      <m:sty m:val="p"/>
                    </m:rPr>
                    <m:t>+</m:t>
                  </m:r>
                  <m:r>
                    <m:t>s</m:t>
                  </m:r>
                </m:sup>
              </m:sSup>
            </m:sub>
          </m:sSub>
          <m:r>
            <m:rPr>
              <m:sty m:val="p"/>
            </m:rPr>
            <m:t>,</m:t>
          </m:r>
        </m:oMath>
      </m:oMathPara>
    </w:p>
    <w:p>
      <w:pPr>
        <w:pStyle w:val="FirstParagraph"/>
      </w:pPr>
      <w:r>
        <w:t xml:space="preserve">with</w:t>
      </w:r>
    </w:p>
    <w:p>
      <w:pPr>
        <w:pStyle w:val="BodyText"/>
      </w:pPr>
      <m:oMathPara>
        <m:oMathParaPr>
          <m:jc m:val="center"/>
        </m:oMathParaPr>
        <m:oMath>
          <m:sSub>
            <m:e>
              <m:r>
                <m:t>a</m:t>
              </m:r>
            </m:e>
            <m:sub>
              <m:r>
                <m:t>r</m:t>
              </m:r>
            </m:sub>
          </m:sSub>
          <m:r>
            <m:rPr>
              <m:sty m:val="p"/>
            </m:rPr>
            <m:t>=</m:t>
          </m:r>
          <m:f>
            <m:fPr>
              <m:type m:val="bar"/>
            </m:fPr>
            <m:num>
              <m:sSub>
                <m:e>
                  <m:r>
                    <m:t>L</m:t>
                  </m:r>
                </m:e>
                <m:sub>
                  <m:r>
                    <m:rPr>
                      <m:sty m:val="p"/>
                    </m:rPr>
                    <m:t>*</m:t>
                  </m:r>
                </m:sub>
              </m:sSub>
            </m:num>
            <m:den>
              <m:sSup>
                <m:e>
                  <m:r>
                    <m:t>2</m:t>
                  </m:r>
                </m:e>
                <m:sup>
                  <m:r>
                    <m:t>r</m:t>
                  </m:r>
                </m:sup>
              </m:sSup>
            </m:den>
          </m:f>
          <m:r>
            <m:rPr>
              <m:sty m:val="p"/>
            </m:rPr>
            <m:t>.</m:t>
          </m:r>
        </m:oMath>
      </m:oMathPara>
    </w:p>
    <w:p>
      <w:pPr>
        <w:pStyle w:val="FirstParagraph"/>
      </w:pPr>
      <w:r>
        <w:t xml:space="preserve">The physical side lengths are</w:t>
      </w:r>
    </w:p>
    <w:p>
      <w:pPr>
        <w:pStyle w:val="BodyText"/>
      </w:pPr>
      <m:oMathPara>
        <m:oMathParaPr>
          <m:jc m:val="center"/>
        </m:oMathParaPr>
        <m:oMath>
          <m:sSub>
            <m:e>
              <m:r>
                <m:t>L</m:t>
              </m:r>
            </m:e>
            <m:sub>
              <m:r>
                <m:rPr>
                  <m:sty m:val="p"/>
                </m:rPr>
                <m:t>b</m:t>
              </m:r>
              <m:r>
                <m:rPr>
                  <m:sty m:val="p"/>
                </m:rPr>
                <m:t>o</m:t>
              </m:r>
              <m:r>
                <m:rPr>
                  <m:sty m:val="p"/>
                </m:rPr>
                <m:t>x</m:t>
              </m:r>
            </m:sub>
          </m:sSub>
          <m:r>
            <m:rPr>
              <m:sty m:val="p"/>
            </m:rPr>
            <m:t>=</m:t>
          </m:r>
          <m:d>
            <m:dPr>
              <m:begChr m:val="("/>
              <m:endChr m:val=")"/>
              <m:sepChr m:val=""/>
              <m:grow/>
            </m:dPr>
            <m:e>
              <m:r>
                <m:t>3</m:t>
              </m:r>
              <m:r>
                <m:rPr>
                  <m:sty m:val="p"/>
                </m:rPr>
                <m:t>,</m:t>
              </m:r>
              <m:r>
                <m:t>2</m:t>
              </m:r>
              <m:r>
                <m:rPr>
                  <m:sty m:val="p"/>
                </m:rPr>
                <m:t>,</m:t>
              </m:r>
              <m:r>
                <m:t>2</m:t>
              </m:r>
            </m:e>
          </m:d>
          <m:sSup>
            <m:e>
              <m:r>
                <m:t>2</m:t>
              </m:r>
            </m:e>
            <m:sup>
              <m:r>
                <m:t>s</m:t>
              </m:r>
            </m:sup>
          </m:sSup>
          <m:sSub>
            <m:e>
              <m:r>
                <m:t>L</m:t>
              </m:r>
            </m:e>
            <m:sub>
              <m:r>
                <m:rPr>
                  <m:sty m:val="p"/>
                </m:rPr>
                <m:t>*</m:t>
              </m:r>
            </m:sub>
          </m:sSub>
          <m:r>
            <m:rPr>
              <m:sty m:val="p"/>
            </m:rPr>
            <m:t>.</m:t>
          </m:r>
        </m:oMath>
      </m:oMathPara>
    </w:p>
    <w:p>
      <w:pPr>
        <w:pStyle w:val="FirstParagraph"/>
      </w:pPr>
      <w:r>
        <w:t xml:space="preserve">The number of spatial cells is</w:t>
      </w:r>
    </w:p>
    <w:p>
      <w:pPr>
        <w:pStyle w:val="BodyText"/>
      </w:pPr>
      <m:oMathPara>
        <m:oMathParaPr>
          <m:jc m:val="center"/>
        </m:oMathParaPr>
        <m:oMath>
          <m:sSub>
            <m:e>
              <m:r>
                <m:t>N</m:t>
              </m:r>
            </m:e>
            <m:sub>
              <m:r>
                <m:t>r</m:t>
              </m:r>
              <m:r>
                <m:rPr>
                  <m:sty m:val="p"/>
                </m:rPr>
                <m:t>,</m:t>
              </m:r>
              <m:r>
                <m:t>s</m:t>
              </m:r>
            </m:sub>
          </m:sSub>
          <m:r>
            <m:rPr>
              <m:sty m:val="p"/>
            </m:rPr>
            <m:t>=</m:t>
          </m:r>
          <m:r>
            <m:t>12</m:t>
          </m:r>
          <m:r>
            <m:t> </m:t>
          </m:r>
          <m:sSup>
            <m:e>
              <m:r>
                <m:t>2</m:t>
              </m:r>
            </m:e>
            <m:sup>
              <m:r>
                <m:t>3</m:t>
              </m:r>
              <m:d>
                <m:dPr>
                  <m:begChr m:val="("/>
                  <m:endChr m:val=")"/>
                  <m:sepChr m:val=""/>
                  <m:grow/>
                </m:dPr>
                <m:e>
                  <m:r>
                    <m:t>r</m:t>
                  </m:r>
                  <m:r>
                    <m:rPr>
                      <m:sty m:val="p"/>
                    </m:rPr>
                    <m:t>+</m:t>
                  </m:r>
                  <m:r>
                    <m:t>s</m:t>
                  </m:r>
                </m:e>
              </m:d>
            </m:sup>
          </m:sSup>
          <m:r>
            <m:rPr>
              <m:sty m:val="p"/>
            </m:rPr>
            <m:t>,</m:t>
          </m:r>
        </m:oMath>
      </m:oMathPara>
    </w:p>
    <w:p>
      <w:pPr>
        <w:pStyle w:val="FirstParagraph"/>
      </w:pPr>
      <w:r>
        <w:t xml:space="preserve">and therefore</w:t>
      </w:r>
    </w:p>
    <w:p>
      <w:pPr>
        <w:pStyle w:val="BodyText"/>
      </w:pPr>
      <m:oMathPara>
        <m:oMathParaPr>
          <m:jc m:val="center"/>
        </m:oMathParaPr>
        <m:oMath>
          <m:sSub>
            <m:e>
              <m:r>
                <m:t>N</m:t>
              </m:r>
            </m:e>
            <m:sub>
              <m:r>
                <m:t>r</m:t>
              </m:r>
              <m:r>
                <m:rPr>
                  <m:sty m:val="p"/>
                </m:rPr>
                <m:t>,</m:t>
              </m:r>
              <m:r>
                <m:t>s</m:t>
              </m:r>
            </m:sub>
          </m:sSub>
          <m:sSubSup>
            <m:e>
              <m:r>
                <m:t>a</m:t>
              </m:r>
            </m:e>
            <m:sub>
              <m:r>
                <m:t>r</m:t>
              </m:r>
            </m:sub>
            <m:sup>
              <m:r>
                <m:t>3</m:t>
              </m:r>
            </m:sup>
          </m:sSubSup>
          <m:r>
            <m:rPr>
              <m:sty m:val="p"/>
            </m:rPr>
            <m:t>=</m:t>
          </m:r>
          <m:r>
            <m:t>12</m:t>
          </m:r>
          <m:r>
            <m:t> </m:t>
          </m:r>
          <m:sSup>
            <m:e>
              <m:r>
                <m:t>2</m:t>
              </m:r>
            </m:e>
            <m:sup>
              <m:r>
                <m:t>3</m:t>
              </m:r>
              <m:r>
                <m:t>s</m:t>
              </m:r>
            </m:sup>
          </m:sSup>
          <m:sSubSup>
            <m:e>
              <m:r>
                <m:t>L</m:t>
              </m:r>
            </m:e>
            <m:sub>
              <m:r>
                <m:rPr>
                  <m:sty m:val="p"/>
                </m:rPr>
                <m:t>*</m:t>
              </m:r>
            </m:sub>
            <m:sup>
              <m:r>
                <m:t>3</m:t>
              </m:r>
            </m:sup>
          </m:sSubSup>
          <m:r>
            <m:rPr>
              <m:sty m:val="p"/>
            </m:rPr>
            <m:t>.</m:t>
          </m:r>
        </m:oMath>
      </m:oMathPara>
    </w:p>
    <w:p>
      <w:pPr>
        <w:pStyle w:val="FirstParagraph"/>
      </w:pPr>
      <w:r>
        <w:t xml:space="preserve">Thus</w:t>
      </w:r>
      <w:r>
        <w:t xml:space="preserve"> </w:t>
      </w:r>
      <m:oMath>
        <m:r>
          <m:t>r</m:t>
        </m:r>
        <m:r>
          <m:rPr>
            <m:sty m:val="p"/>
          </m:rPr>
          <m:t>→</m:t>
        </m:r>
        <m:r>
          <m:rPr>
            <m:sty m:val="p"/>
          </m:rPr>
          <m:t>∞</m:t>
        </m:r>
      </m:oMath>
      <w:r>
        <w:t xml:space="preserve"> </w:t>
      </w:r>
      <w:r>
        <w:t xml:space="preserve">refines at fixed physical size for fixed</w:t>
      </w:r>
      <w:r>
        <w:t xml:space="preserve"> </w:t>
      </w:r>
      <m:oMath>
        <m:r>
          <m:t>s</m:t>
        </m:r>
      </m:oMath>
      <w:r>
        <w:t xml:space="preserve">, while</w:t>
      </w:r>
      <w:r>
        <w:t xml:space="preserve"> </w:t>
      </w:r>
      <m:oMath>
        <m:r>
          <m:t>s</m:t>
        </m:r>
        <m:r>
          <m:rPr>
            <m:sty m:val="p"/>
          </m:rPr>
          <m:t>→</m:t>
        </m:r>
        <m:r>
          <m:rPr>
            <m:sty m:val="p"/>
          </m:rPr>
          <m:t>∞</m:t>
        </m:r>
      </m:oMath>
      <w:r>
        <w:t xml:space="preserve"> </w:t>
      </w:r>
      <w:r>
        <w:t xml:space="preserve">is the thermodynamic limit.</w:t>
      </w:r>
    </w:p>
    <w:p>
      <w:pPr>
        <w:pStyle w:val="BodyText"/>
      </w:pPr>
      <w:r>
        <w:t xml:space="preserve">For a fixed physical block</w:t>
      </w:r>
      <w:r>
        <w:t xml:space="preserve"> </w:t>
      </w:r>
      <m:oMath>
        <m:sSub>
          <m:e>
            <m:r>
              <m:t>L</m:t>
            </m:r>
          </m:e>
          <m:sub>
            <m:r>
              <m:t>B</m:t>
            </m:r>
          </m:sub>
        </m:sSub>
      </m:oMath>
      <w:r>
        <w:t xml:space="preserve">,</w:t>
      </w:r>
    </w:p>
    <w:p>
      <w:pPr>
        <w:pStyle w:val="BodyText"/>
      </w:pPr>
      <m:oMathPara>
        <m:oMathParaPr>
          <m:jc m:val="center"/>
        </m:oMathParaPr>
        <m:oMath>
          <m:sSub>
            <m:e>
              <m:r>
                <m:t>n</m:t>
              </m:r>
            </m:e>
            <m:sub>
              <m:r>
                <m:t>r</m:t>
              </m:r>
            </m:sub>
          </m:sSub>
          <m:r>
            <m:rPr>
              <m:sty m:val="p"/>
            </m:rPr>
            <m:t>=</m:t>
          </m:r>
          <m:f>
            <m:fPr>
              <m:type m:val="bar"/>
            </m:fPr>
            <m:num>
              <m:sSub>
                <m:e>
                  <m:r>
                    <m:t>L</m:t>
                  </m:r>
                </m:e>
                <m:sub>
                  <m:r>
                    <m:t>B</m:t>
                  </m:r>
                </m:sub>
              </m:sSub>
            </m:num>
            <m:den>
              <m:sSub>
                <m:e>
                  <m:r>
                    <m:t>a</m:t>
                  </m:r>
                </m:e>
                <m:sub>
                  <m:r>
                    <m:t>r</m:t>
                  </m:r>
                </m:sub>
              </m:sSub>
            </m:den>
          </m:f>
          <m:r>
            <m:rPr>
              <m:sty m:val="p"/>
            </m:rPr>
            <m:t>→</m:t>
          </m:r>
          <m:r>
            <m:rPr>
              <m:sty m:val="p"/>
            </m:rPr>
            <m:t>∞</m:t>
          </m:r>
        </m:oMath>
      </m:oMathPara>
    </w:p>
    <w:p>
      <w:pPr>
        <w:pStyle w:val="FirstParagraph"/>
      </w:pPr>
      <w:r>
        <w:t xml:space="preserve">while</w:t>
      </w:r>
      <w:r>
        <w:t xml:space="preserve"> </w:t>
      </w:r>
      <m:oMath>
        <m:sSub>
          <m:e>
            <m:r>
              <m:t>n</m:t>
            </m:r>
          </m:e>
          <m:sub>
            <m:r>
              <m:t>r</m:t>
            </m:r>
          </m:sub>
        </m:sSub>
        <m:sSub>
          <m:e>
            <m:r>
              <m:t>a</m:t>
            </m:r>
          </m:e>
          <m:sub>
            <m:r>
              <m:t>r</m:t>
            </m:r>
          </m:sub>
        </m:sSub>
        <m:r>
          <m:rPr>
            <m:sty m:val="p"/>
          </m:rPr>
          <m:t>=</m:t>
        </m:r>
        <m:sSub>
          <m:e>
            <m:r>
              <m:t>L</m:t>
            </m:r>
          </m:e>
          <m:sub>
            <m:r>
              <m:t>B</m:t>
            </m:r>
          </m:sub>
        </m:sSub>
      </m:oMath>
      <w:r>
        <w:t xml:space="preserve"> </w:t>
      </w:r>
      <w:r>
        <w:t xml:space="preserve">remains constant.</w:t>
      </w:r>
    </w:p>
    <w:bookmarkEnd w:id="24"/>
    <w:bookmarkStart w:id="25" w:name="X404908cb981319a2eea59d2ee57dc65e5406b10"/>
    <w:p>
      <w:pPr>
        <w:pStyle w:val="Heading1"/>
      </w:pPr>
      <w:r>
        <w:t xml:space="preserve">5. Exact finite UCD spectral and Schur identities</w:t>
      </w:r>
    </w:p>
    <w:p>
      <w:pPr>
        <w:pStyle w:val="FirstParagraph"/>
      </w:pPr>
      <w:r>
        <w:t xml:space="preserve">The finite H504 operator lives on</w:t>
      </w:r>
    </w:p>
    <w:p>
      <w:pPr>
        <w:pStyle w:val="BodyText"/>
      </w:pPr>
      <m:oMathPara>
        <m:oMathParaPr>
          <m:jc m:val="center"/>
        </m:oMathParaPr>
        <m:oMath>
          <m:sSub>
            <m:e>
              <m:r>
                <m:rPr>
                  <m:sty m:val="p"/>
                  <m:scr m:val="script"/>
                </m:rPr>
                <m:t>H</m:t>
              </m:r>
            </m:e>
            <m:sub>
              <m:r>
                <m:t>504</m:t>
              </m:r>
            </m:sub>
          </m:sSub>
          <m:r>
            <m:rPr>
              <m:sty m:val="p"/>
            </m:rPr>
            <m:t>=</m:t>
          </m:r>
          <m:sSub>
            <m:e>
              <m:r>
                <m:t>V</m:t>
              </m:r>
            </m:e>
            <m:sub>
              <m:r>
                <m:t>7</m:t>
              </m:r>
            </m:sub>
          </m:sSub>
          <m:r>
            <m:rPr>
              <m:sty m:val="p"/>
            </m:rPr>
            <m:t>⊗</m:t>
          </m:r>
          <m:r>
            <m:rPr>
              <m:sty m:val="p"/>
              <m:scr m:val="double-struck"/>
            </m:rPr>
            <m:t>C</m:t>
          </m:r>
          <m:d>
            <m:dPr>
              <m:begChr m:val="["/>
              <m:endChr m:val="]"/>
              <m:sepChr m:val=""/>
              <m:grow/>
            </m:dPr>
            <m:e>
              <m:sSub>
                <m:e>
                  <m:r>
                    <m:rPr>
                      <m:sty m:val="p"/>
                      <m:scr m:val="double-struck"/>
                    </m:rPr>
                    <m:t>Z</m:t>
                  </m:r>
                </m:e>
                <m:sub>
                  <m:r>
                    <m:t>3</m:t>
                  </m:r>
                </m:sub>
              </m:sSub>
            </m:e>
          </m:d>
          <m:r>
            <m:rPr>
              <m:sty m:val="p"/>
            </m:rPr>
            <m:t>⊗</m:t>
          </m:r>
          <m:r>
            <m:rPr>
              <m:sty m:val="p"/>
              <m:scr m:val="double-struck"/>
            </m:rPr>
            <m:t>C</m:t>
          </m:r>
          <m:d>
            <m:dPr>
              <m:begChr m:val="["/>
              <m:endChr m:val="]"/>
              <m:sepChr m:val=""/>
              <m:grow/>
            </m:dPr>
            <m:e>
              <m:sSub>
                <m:e>
                  <m:r>
                    <m:rPr>
                      <m:sty m:val="p"/>
                    </m:rPr>
                    <m:t>D</m:t>
                  </m:r>
                  <m:r>
                    <m:rPr>
                      <m:sty m:val="p"/>
                    </m:rPr>
                    <m:t>i</m:t>
                  </m:r>
                  <m:r>
                    <m:rPr>
                      <m:sty m:val="p"/>
                    </m:rPr>
                    <m:t>c</m:t>
                  </m:r>
                </m:e>
                <m:sub>
                  <m:r>
                    <m:t>6</m:t>
                  </m:r>
                </m:sub>
              </m:sSub>
            </m:e>
          </m:d>
        </m:oMath>
      </m:oMathPara>
    </w:p>
    <w:p>
      <w:pPr>
        <w:pStyle w:val="FirstParagraph"/>
      </w:pPr>
      <w:r>
        <w:t xml:space="preserve">and obeys the exact ring translation law</w:t>
      </w:r>
    </w:p>
    <w:p>
      <w:pPr>
        <w:pStyle w:val="BodyText"/>
      </w:pPr>
      <m:oMathPara>
        <m:oMathParaPr>
          <m:jc m:val="center"/>
        </m:oMathParaPr>
        <m:oMath>
          <m:borderBox>
            <m:e>
              <m:sSub>
                <m:e>
                  <m:r>
                    <m:t>Δ</m:t>
                  </m:r>
                </m:e>
                <m:sub>
                  <m:r>
                    <m:t>504</m:t>
                  </m:r>
                </m:sub>
              </m:sSub>
              <m:r>
                <m:rPr>
                  <m:sty m:val="p"/>
                </m:rPr>
                <m:t>=</m:t>
              </m:r>
              <m:r>
                <m:t>2</m:t>
              </m:r>
              <m:r>
                <m:t>κ</m:t>
              </m:r>
              <m:sSup>
                <m:e>
                  <m:r>
                    <m:t>e</m:t>
                  </m:r>
                </m:e>
                <m:sup>
                  <m:r>
                    <m:rPr>
                      <m:sty m:val="p"/>
                    </m:rPr>
                    <m:t>−</m:t>
                  </m:r>
                  <m:r>
                    <m:t>1</m:t>
                  </m:r>
                  <m:r>
                    <m:rPr>
                      <m:sty m:val="p"/>
                    </m:rPr>
                    <m:t>/</m:t>
                  </m:r>
                  <m:r>
                    <m:t>72</m:t>
                  </m:r>
                </m:sup>
              </m:sSup>
            </m:e>
          </m:borderBox>
          <m:r>
            <m:rPr>
              <m:sty m:val="p"/>
            </m:rPr>
            <m:t>.</m:t>
          </m:r>
        </m:oMath>
      </m:oMathPara>
    </w:p>
    <w:p>
      <w:pPr>
        <w:pStyle w:val="FirstParagraph"/>
      </w:pPr>
      <w:r>
        <w:t xml:space="preserve">At</w:t>
      </w:r>
      <w:r>
        <w:t xml:space="preserve"> </w:t>
      </w:r>
      <m:oMath>
        <m:r>
          <m:t>κ</m:t>
        </m:r>
        <m:r>
          <m:rPr>
            <m:sty m:val="p"/>
          </m:rPr>
          <m:t>=</m:t>
        </m:r>
        <m:r>
          <m:t>1</m:t>
        </m:r>
        <m:r>
          <m:rPr>
            <m:sty m:val="p"/>
          </m:rPr>
          <m:t>/</m:t>
        </m:r>
        <m:r>
          <m:t>10</m:t>
        </m:r>
      </m:oMath>
      <w:r>
        <w:t xml:space="preserve">,</w:t>
      </w:r>
    </w:p>
    <w:p>
      <w:pPr>
        <w:pStyle w:val="BodyText"/>
      </w:pPr>
      <m:oMathPara>
        <m:oMathParaPr>
          <m:jc m:val="center"/>
        </m:oMathParaPr>
        <m:oMath>
          <m:sSub>
            <m:e>
              <m:r>
                <m:t>Δ</m:t>
              </m:r>
            </m:e>
            <m:sub>
              <m:r>
                <m:t>504</m:t>
              </m:r>
            </m:sub>
          </m:sSub>
          <m:r>
            <m:rPr>
              <m:sty m:val="p"/>
            </m:rPr>
            <m:t>=</m:t>
          </m:r>
          <m:r>
            <m:t>0.19724142334878325</m:t>
          </m:r>
          <m:r>
            <m:rPr>
              <m:sty m:val="p"/>
            </m:rPr>
            <m:t>…</m:t>
          </m:r>
          <m:r>
            <m:rPr>
              <m:sty m:val="p"/>
            </m:rPr>
            <m:t>.</m:t>
          </m:r>
        </m:oMath>
      </m:oMathPara>
    </w:p>
    <w:p>
      <w:pPr>
        <w:pStyle w:val="FirstParagraph"/>
      </w:pPr>
      <w:r>
        <w:t xml:space="preserve">If a full operator is decomposed as</w:t>
      </w:r>
    </w:p>
    <w:p>
      <w:pPr>
        <w:pStyle w:val="BodyText"/>
      </w:pPr>
      <m:oMathPara>
        <m:oMathParaPr>
          <m:jc m:val="center"/>
        </m:oMathParaPr>
        <m:oMath>
          <m:r>
            <m:t>H</m:t>
          </m:r>
          <m:r>
            <m:rPr>
              <m:sty m:val="p"/>
            </m:rPr>
            <m:t>=</m:t>
          </m:r>
          <m:d>
            <m:dPr>
              <m:begChr m:val="("/>
              <m:endChr m:val=")"/>
              <m:sepChr m:val=""/>
              <m:grow/>
            </m:dPr>
            <m:e>
              <m:m>
                <m:mPr>
                  <m:baseJc m:val="center"/>
                  <m:plcHide m:val="on"/>
                  <m:mcs>
                    <m:mc>
                      <m:mcPr>
                        <m:mcJc m:val="center"/>
                        <m:count m:val="1"/>
                      </m:mcPr>
                    </m:mc>
                    <m:mc>
                      <m:mcPr>
                        <m:mcJc m:val="center"/>
                        <m:count m:val="1"/>
                      </m:mcPr>
                    </m:mc>
                  </m:mcs>
                </m:mPr>
                <m:mr>
                  <m:e>
                    <m:r>
                      <m:t>A</m:t>
                    </m:r>
                  </m:e>
                  <m:e>
                    <m:r>
                      <m:t>B</m:t>
                    </m:r>
                  </m:e>
                </m:mr>
                <m:mr>
                  <m:e>
                    <m:sSup>
                      <m:e>
                        <m:r>
                          <m:t>B</m:t>
                        </m:r>
                      </m:e>
                      <m:sup>
                        <m:r>
                          <m:rPr>
                            <m:sty m:val="p"/>
                          </m:rPr>
                          <m:t>†</m:t>
                        </m:r>
                      </m:sup>
                    </m:sSup>
                  </m:e>
                  <m:e>
                    <m:r>
                      <m:t>D</m:t>
                    </m:r>
                  </m:e>
                </m:mr>
              </m:m>
            </m:e>
          </m:d>
          <m:r>
            <m:rPr>
              <m:sty m:val="p"/>
            </m:rPr>
            <m:t>,</m:t>
          </m:r>
        </m:oMath>
      </m:oMathPara>
    </w:p>
    <w:p>
      <w:pPr>
        <w:pStyle w:val="FirstParagraph"/>
      </w:pPr>
      <w:r>
        <w:t xml:space="preserve">then exact Feshbach–Schur elimination gives</w:t>
      </w:r>
    </w:p>
    <w:p>
      <w:pPr>
        <w:pStyle w:val="BodyText"/>
      </w:pPr>
      <m:oMathPara>
        <m:oMathParaPr>
          <m:jc m:val="center"/>
        </m:oMathParaPr>
        <m:oMath>
          <m:sSub>
            <m:e>
              <m:r>
                <m:t>H</m:t>
              </m:r>
            </m:e>
            <m:sub>
              <m:r>
                <m:rPr>
                  <m:sty m:val="p"/>
                </m:rPr>
                <m:t>e</m:t>
              </m:r>
              <m:r>
                <m:rPr>
                  <m:sty m:val="p"/>
                </m:rPr>
                <m:t>f</m:t>
              </m:r>
              <m:r>
                <m:rPr>
                  <m:sty m:val="p"/>
                </m:rPr>
                <m:t>f</m:t>
              </m:r>
            </m:sub>
          </m:sSub>
          <m:d>
            <m:dPr>
              <m:begChr m:val="("/>
              <m:endChr m:val=")"/>
              <m:sepChr m:val=""/>
              <m:grow/>
            </m:dPr>
            <m:e>
              <m:r>
                <m:t>z</m:t>
              </m:r>
            </m:e>
          </m:d>
          <m:r>
            <m:rPr>
              <m:sty m:val="p"/>
            </m:rPr>
            <m:t>=</m:t>
          </m:r>
          <m:r>
            <m:t>A</m:t>
          </m:r>
          <m:r>
            <m:rPr>
              <m:sty m:val="p"/>
            </m:rPr>
            <m:t>−</m:t>
          </m:r>
          <m:r>
            <m:t>B</m:t>
          </m:r>
          <m:sSup>
            <m:e>
              <m:d>
                <m:dPr>
                  <m:begChr m:val="("/>
                  <m:endChr m:val=")"/>
                  <m:sepChr m:val=""/>
                  <m:grow/>
                </m:dPr>
                <m:e>
                  <m:r>
                    <m:t>D</m:t>
                  </m:r>
                  <m:r>
                    <m:rPr>
                      <m:sty m:val="p"/>
                    </m:rPr>
                    <m:t>−</m:t>
                  </m:r>
                  <m:r>
                    <m:t>z</m:t>
                  </m:r>
                  <m:r>
                    <m:t>I</m:t>
                  </m:r>
                </m:e>
              </m:d>
            </m:e>
            <m:sup>
              <m:r>
                <m:rPr>
                  <m:sty m:val="p"/>
                </m:rPr>
                <m:t>−</m:t>
              </m:r>
              <m:r>
                <m:t>1</m:t>
              </m:r>
            </m:sup>
          </m:sSup>
          <m:sSup>
            <m:e>
              <m:r>
                <m:t>B</m:t>
              </m:r>
            </m:e>
            <m:sup>
              <m:r>
                <m:rPr>
                  <m:sty m:val="p"/>
                </m:rPr>
                <m:t>†</m:t>
              </m:r>
            </m:sup>
          </m:sSup>
          <m:r>
            <m:rPr>
              <m:sty m:val="p"/>
            </m:rPr>
            <m:t>.</m:t>
          </m:r>
        </m:oMath>
      </m:oMathPara>
    </w:p>
    <w:p>
      <w:pPr>
        <w:pStyle w:val="FirstParagraph"/>
      </w:pPr>
      <w:r>
        <w:t xml:space="preserve">The H504 workbench verifies that a parameter absent from the direct projection</w:t>
      </w:r>
      <w:r>
        <w:t xml:space="preserve"> </w:t>
      </w:r>
      <m:oMath>
        <m:r>
          <m:t>A</m:t>
        </m:r>
      </m:oMath>
      <w:r>
        <w:t xml:space="preserve"> </w:t>
      </w:r>
      <w:r>
        <w:t xml:space="preserve">can remain in the exact resolvent correction. This identity is used as a structural RG tool, not as a relabeling of a finite gap as the continuum Yang–Mills mass.</w:t>
      </w:r>
    </w:p>
    <w:p>
      <w:pPr>
        <w:pStyle w:val="BodyText"/>
      </w:pPr>
      <w:r>
        <w:t xml:space="preserve">The independent finite SU(3) workbench constructs an 18-dimensional Gauss-invariant plaquette sector and checks the same Schur mechanism explicitly. At the canonical point</w:t>
      </w:r>
      <w:r>
        <w:t xml:space="preserve"> </w:t>
      </w:r>
      <m:oMath>
        <m:r>
          <m:t>g</m:t>
        </m:r>
        <m:r>
          <m:rPr>
            <m:sty m:val="p"/>
          </m:rPr>
          <m:t>=</m:t>
        </m:r>
        <m:r>
          <m:t>1.2</m:t>
        </m:r>
      </m:oMath>
      <w:r>
        <w:t xml:space="preserve">,</w:t>
      </w:r>
      <w:r>
        <w:t xml:space="preserve"> </w:t>
      </w:r>
      <m:oMath>
        <m:r>
          <m:t>λ</m:t>
        </m:r>
        <m:r>
          <m:rPr>
            <m:sty m:val="p"/>
          </m:rPr>
          <m:t>=</m:t>
        </m:r>
        <m:r>
          <m:t>0.05</m:t>
        </m:r>
      </m:oMath>
      <w:r>
        <w:t xml:space="preserve">,</w:t>
      </w:r>
      <w:r>
        <w:t xml:space="preserve"> </w:t>
      </w:r>
      <m:oMath>
        <m:sSub>
          <m:e>
            <m:r>
              <m:t>L</m:t>
            </m:r>
          </m:e>
          <m:sub>
            <m:r>
              <m:t>B</m:t>
            </m:r>
          </m:sub>
        </m:sSub>
        <m:r>
          <m:rPr>
            <m:sty m:val="p"/>
          </m:rPr>
          <m:t>=</m:t>
        </m:r>
        <m:r>
          <m:t>1</m:t>
        </m:r>
      </m:oMath>
      <w:r>
        <w:t xml:space="preserve">, its interacting block gap is</w:t>
      </w:r>
    </w:p>
    <w:p>
      <w:pPr>
        <w:pStyle w:val="BodyText"/>
      </w:pPr>
      <m:oMathPara>
        <m:oMathParaPr>
          <m:jc m:val="center"/>
        </m:oMathParaPr>
        <m:oMath>
          <m:sSub>
            <m:e>
              <m:r>
                <m:t>Δ</m:t>
              </m:r>
            </m:e>
            <m:sub>
              <m:r>
                <m:t>B</m:t>
              </m:r>
            </m:sub>
          </m:sSub>
          <m:r>
            <m:rPr>
              <m:sty m:val="p"/>
            </m:rPr>
            <m:t>=</m:t>
          </m:r>
          <m:r>
            <m:t>3.1452083635429524</m:t>
          </m:r>
          <m:r>
            <m:rPr>
              <m:sty m:val="p"/>
            </m:rPr>
            <m:t>.</m:t>
          </m:r>
        </m:oMath>
      </m:oMathPara>
    </w:p>
    <w:bookmarkEnd w:id="25"/>
    <w:bookmarkStart w:id="26" w:name="Xf0e026f649fd6acaaee3395aa392d5b78079b91"/>
    <w:p>
      <w:pPr>
        <w:pStyle w:val="Heading1"/>
      </w:pPr>
      <w:r>
        <w:t xml:space="preserve">6. Ultraviolet theorem input and exact summability lemma</w:t>
      </w:r>
    </w:p>
    <w:p>
      <w:pPr>
        <w:pStyle w:val="FirstParagraph"/>
      </w:pPr>
      <w:r>
        <w:t xml:space="preserve">The four-dimensional ultraviolet program of Balaban constructs localized effective actions, coupling renormalization, cluster expansions, and large-field</w:t>
      </w:r>
      <w:r>
        <w:t xml:space="preserve"> </w:t>
      </w:r>
      <m:oMath>
        <m:r>
          <m:t>R</m:t>
        </m:r>
      </m:oMath>
      <w:r>
        <w:t xml:space="preserve">-operation bounds. The 1989 large-field paper completes the ultraviolet-stability argument for four-dimensional pure gauge theory. Magnen–Rivasseau–Sénéor independently construct pure SU(2) Yang–Mills Schwinger functions with a fixed infrared cutoff and no ultraviolet cutoff.</w:t>
      </w:r>
    </w:p>
    <w:p>
      <w:pPr>
        <w:pStyle w:val="BodyText"/>
      </w:pPr>
      <w:r>
        <w:t xml:space="preserve">We now isolate the infinite-depth issue algebraically.</w:t>
      </w:r>
    </w:p>
    <w:p>
      <w:pPr>
        <w:pStyle w:val="BodyText"/>
      </w:pPr>
      <w:r>
        <w:rPr>
          <w:bCs/>
          <w:b/>
        </w:rPr>
        <w:t xml:space="preserve">Theorem 6.1 (AF ultraviolet-tail summability).</w:t>
      </w:r>
      <w:r>
        <w:t xml:space="preserve"> </w:t>
      </w:r>
      <w:r>
        <w:t xml:space="preserve">Suppose that for the RG scale</w:t>
      </w:r>
      <w:r>
        <w:t xml:space="preserve"> </w:t>
      </w:r>
      <m:oMath>
        <m:r>
          <m:t>j</m:t>
        </m:r>
      </m:oMath>
      <w:r>
        <w:t xml:space="preserve">,</w:t>
      </w:r>
    </w:p>
    <w:p>
      <w:pPr>
        <w:pStyle w:val="BodyText"/>
      </w:pPr>
      <m:oMathPara>
        <m:oMathParaPr>
          <m:jc m:val="center"/>
        </m:oMathParaPr>
        <m:oMath>
          <m:sSubSup>
            <m:e>
              <m:r>
                <m:t>g</m:t>
              </m:r>
            </m:e>
            <m:sub>
              <m:r>
                <m:t>j</m:t>
              </m:r>
            </m:sub>
            <m:sup>
              <m:r>
                <m:rPr>
                  <m:sty m:val="p"/>
                </m:rPr>
                <m:t>−</m:t>
              </m:r>
              <m:r>
                <m:t>2</m:t>
              </m:r>
            </m:sup>
          </m:sSubSup>
          <m:r>
            <m:rPr>
              <m:sty m:val="p"/>
            </m:rPr>
            <m:t>≥</m:t>
          </m:r>
          <m:sSubSup>
            <m:e>
              <m:r>
                <m:t>g</m:t>
              </m:r>
            </m:e>
            <m:sub>
              <m:r>
                <m:t>B</m:t>
              </m:r>
            </m:sub>
            <m:sup>
              <m:r>
                <m:rPr>
                  <m:sty m:val="p"/>
                </m:rPr>
                <m:t>−</m:t>
              </m:r>
              <m:r>
                <m:t>2</m:t>
              </m:r>
            </m:sup>
          </m:sSubSup>
          <m:r>
            <m:rPr>
              <m:sty m:val="p"/>
            </m:rPr>
            <m:t>+</m:t>
          </m:r>
          <m:r>
            <m:t>2</m:t>
          </m:r>
          <m:sSub>
            <m:e>
              <m:r>
                <m:t>b</m:t>
              </m:r>
            </m:e>
            <m:sub>
              <m:r>
                <m:t>0</m:t>
              </m:r>
            </m:sub>
          </m:sSub>
          <m:r>
            <m:rPr>
              <m:sty m:val="p"/>
            </m:rPr>
            <m:t>log</m:t>
          </m:r>
          <m:r>
            <m:t>L</m:t>
          </m:r>
          <m:r>
            <m:t> </m:t>
          </m:r>
          <m:r>
            <m:t>j</m:t>
          </m:r>
          <m:r>
            <m:rPr>
              <m:sty m:val="p"/>
            </m:rPr>
            <m:t>,</m:t>
          </m:r>
        </m:oMath>
      </m:oMathPara>
    </w:p>
    <w:p>
      <w:pPr>
        <w:pStyle w:val="FirstParagraph"/>
      </w:pPr>
      <w:r>
        <w:t xml:space="preserve">and a localized remainder satisfies</w:t>
      </w:r>
    </w:p>
    <w:p>
      <w:pPr>
        <w:pStyle w:val="BodyText"/>
      </w:pPr>
      <m:oMathPara>
        <m:oMathParaPr>
          <m:jc m:val="center"/>
        </m:oMathParaPr>
        <m:oMath>
          <m:r>
            <m:rPr>
              <m:sty m:val="p"/>
            </m:rPr>
            <m:t>∥</m:t>
          </m:r>
          <m:sSub>
            <m:e>
              <m:r>
                <m:t>R</m:t>
              </m:r>
            </m:e>
            <m:sub>
              <m:r>
                <m:t>j</m:t>
              </m:r>
            </m:sub>
          </m:sSub>
          <m:sSub>
            <m:e>
              <m:r>
                <m:rPr>
                  <m:sty m:val="p"/>
                </m:rPr>
                <m:t>∥</m:t>
              </m:r>
            </m:e>
            <m:sub>
              <m:r>
                <m:t>κ</m:t>
              </m:r>
            </m:sub>
          </m:sSub>
          <m:r>
            <m:rPr>
              <m:sty m:val="p"/>
            </m:rPr>
            <m:t>≤</m:t>
          </m:r>
          <m:sSub>
            <m:e>
              <m:r>
                <m:t>C</m:t>
              </m:r>
            </m:e>
            <m:sub>
              <m:r>
                <m:t>R</m:t>
              </m:r>
            </m:sub>
          </m:sSub>
          <m:sSubSup>
            <m:e>
              <m:r>
                <m:t>g</m:t>
              </m:r>
            </m:e>
            <m:sub>
              <m:r>
                <m:t>j</m:t>
              </m:r>
            </m:sub>
            <m:sup>
              <m:r>
                <m:t>p</m:t>
              </m:r>
            </m:sup>
          </m:sSubSup>
          <m:r>
            <m:rPr>
              <m:sty m:val="p"/>
            </m:rPr>
            <m:t>,</m:t>
          </m:r>
          <m:r>
            <m:t>  </m:t>
          </m:r>
          <m:r>
            <m:t>p</m:t>
          </m:r>
          <m:r>
            <m:rPr>
              <m:sty m:val="p"/>
            </m:rPr>
            <m:t>&gt;</m:t>
          </m:r>
          <m:r>
            <m:t>2</m:t>
          </m:r>
          <m:r>
            <m:rPr>
              <m:sty m:val="p"/>
            </m:rPr>
            <m:t>.</m:t>
          </m:r>
        </m:oMath>
      </m:oMathPara>
    </w:p>
    <w:p>
      <w:pPr>
        <w:pStyle w:val="FirstParagraph"/>
      </w:pPr>
      <w:r>
        <w:t xml:space="preserve">Then</w:t>
      </w:r>
    </w:p>
    <w:p>
      <w:pPr>
        <w:pStyle w:val="BodyText"/>
      </w:pPr>
      <m:oMathPara>
        <m:oMathParaPr>
          <m:jc m:val="center"/>
        </m:oMathParaPr>
        <m:oMath>
          <m:borderBox>
            <m:e>
              <m:nary>
                <m:naryPr>
                  <m:chr m:val="∑"/>
                  <m:limLoc m:val="undOvr"/>
                  <m:subHide m:val="off"/>
                  <m:supHide m:val="off"/>
                </m:naryPr>
                <m:sub>
                  <m:r>
                    <m:t>j</m:t>
                  </m:r>
                  <m:r>
                    <m:rPr>
                      <m:sty m:val="p"/>
                    </m:rPr>
                    <m:t>=</m:t>
                  </m:r>
                  <m:r>
                    <m:t>0</m:t>
                  </m:r>
                </m:sub>
                <m:sup>
                  <m:r>
                    <m:rPr>
                      <m:sty m:val="p"/>
                    </m:rPr>
                    <m:t>∞</m:t>
                  </m:r>
                </m:sup>
                <m:e>
                  <m:r>
                    <m:rPr>
                      <m:sty m:val="p"/>
                    </m:rPr>
                    <m:t>∥</m:t>
                  </m:r>
                </m:e>
              </m:nary>
              <m:sSub>
                <m:e>
                  <m:r>
                    <m:t>R</m:t>
                  </m:r>
                </m:e>
                <m:sub>
                  <m:r>
                    <m:t>j</m:t>
                  </m:r>
                </m:sub>
              </m:sSub>
              <m:sSub>
                <m:e>
                  <m:r>
                    <m:rPr>
                      <m:sty m:val="p"/>
                    </m:rPr>
                    <m:t>∥</m:t>
                  </m:r>
                </m:e>
                <m:sub>
                  <m:r>
                    <m:t>κ</m:t>
                  </m:r>
                </m:sub>
              </m:sSub>
              <m:r>
                <m:rPr>
                  <m:sty m:val="p"/>
                </m:rPr>
                <m:t>≤</m:t>
              </m:r>
              <m:sSub>
                <m:e>
                  <m:r>
                    <m:t>C</m:t>
                  </m:r>
                </m:e>
                <m:sub>
                  <m:r>
                    <m:t>R</m:t>
                  </m:r>
                </m:sub>
              </m:sSub>
              <m:d>
                <m:dPr>
                  <m:begChr m:val="["/>
                  <m:endChr m:val="]"/>
                  <m:sepChr m:val=""/>
                  <m:grow/>
                </m:dPr>
                <m:e>
                  <m:sSubSup>
                    <m:e>
                      <m:r>
                        <m:t>g</m:t>
                      </m:r>
                    </m:e>
                    <m:sub>
                      <m:r>
                        <m:t>B</m:t>
                      </m:r>
                    </m:sub>
                    <m:sup>
                      <m:r>
                        <m:t>p</m:t>
                      </m:r>
                    </m:sup>
                  </m:sSubSup>
                  <m:r>
                    <m:rPr>
                      <m:sty m:val="p"/>
                    </m:rPr>
                    <m:t>+</m:t>
                  </m:r>
                  <m:f>
                    <m:fPr>
                      <m:type m:val="bar"/>
                    </m:fPr>
                    <m:num>
                      <m:sSubSup>
                        <m:e>
                          <m:r>
                            <m:t>g</m:t>
                          </m:r>
                        </m:e>
                        <m:sub>
                          <m:r>
                            <m:t>B</m:t>
                          </m:r>
                        </m:sub>
                        <m:sup>
                          <m:r>
                            <m:t>p</m:t>
                          </m:r>
                          <m:r>
                            <m:rPr>
                              <m:sty m:val="p"/>
                            </m:rPr>
                            <m:t>−</m:t>
                          </m:r>
                          <m:r>
                            <m:t>2</m:t>
                          </m:r>
                        </m:sup>
                      </m:sSubSup>
                    </m:num>
                    <m:den>
                      <m:r>
                        <m:t>2</m:t>
                      </m:r>
                      <m:sSub>
                        <m:e>
                          <m:r>
                            <m:t>b</m:t>
                          </m:r>
                        </m:e>
                        <m:sub>
                          <m:r>
                            <m:t>0</m:t>
                          </m:r>
                        </m:sub>
                      </m:sSub>
                      <m:r>
                        <m:rPr>
                          <m:sty m:val="p"/>
                        </m:rPr>
                        <m:t>log</m:t>
                      </m:r>
                      <m:r>
                        <m:t>L</m:t>
                      </m:r>
                      <m:r>
                        <m:t> </m:t>
                      </m:r>
                      <m:d>
                        <m:dPr>
                          <m:begChr m:val="("/>
                          <m:endChr m:val=")"/>
                          <m:sepChr m:val=""/>
                          <m:grow/>
                        </m:dPr>
                        <m:e>
                          <m:r>
                            <m:t>p</m:t>
                          </m:r>
                          <m:r>
                            <m:rPr>
                              <m:sty m:val="p"/>
                            </m:rPr>
                            <m:t>/</m:t>
                          </m:r>
                          <m:r>
                            <m:t>2</m:t>
                          </m:r>
                          <m:r>
                            <m:rPr>
                              <m:sty m:val="p"/>
                            </m:rPr>
                            <m:t>−</m:t>
                          </m:r>
                          <m:r>
                            <m:t>1</m:t>
                          </m:r>
                        </m:e>
                      </m:d>
                    </m:den>
                  </m:f>
                </m:e>
              </m:d>
              <m:r>
                <m:rPr>
                  <m:sty m:val="p"/>
                </m:rPr>
                <m:t>.</m:t>
              </m:r>
            </m:e>
          </m:borderBox>
        </m:oMath>
      </m:oMathPara>
    </w:p>
    <w:p>
      <w:pPr>
        <w:pStyle w:val="FirstParagraph"/>
      </w:pPr>
      <w:r>
        <w:rPr>
          <w:bCs/>
          <w:b/>
        </w:rPr>
        <w:t xml:space="preserve">Proof.</w:t>
      </w:r>
      <w:r>
        <w:t xml:space="preserve"> </w:t>
      </w:r>
      <w:r>
        <w:t xml:space="preserve">Set</w:t>
      </w:r>
      <w:r>
        <w:t xml:space="preserve"> </w:t>
      </w:r>
      <m:oMath>
        <m:r>
          <m:t>c</m:t>
        </m:r>
        <m:r>
          <m:rPr>
            <m:sty m:val="p"/>
          </m:rPr>
          <m:t>=</m:t>
        </m:r>
        <m:r>
          <m:t>2</m:t>
        </m:r>
        <m:sSub>
          <m:e>
            <m:r>
              <m:t>b</m:t>
            </m:r>
          </m:e>
          <m:sub>
            <m:r>
              <m:t>0</m:t>
            </m:r>
          </m:sub>
        </m:sSub>
        <m:r>
          <m:rPr>
            <m:sty m:val="p"/>
          </m:rPr>
          <m:t>log</m:t>
        </m:r>
        <m:r>
          <m:t>L</m:t>
        </m:r>
      </m:oMath>
      <w:r>
        <w:t xml:space="preserve"> </w:t>
      </w:r>
      <w:r>
        <w:t xml:space="preserve">and</w:t>
      </w:r>
      <w:r>
        <w:t xml:space="preserve"> </w:t>
      </w:r>
      <m:oMath>
        <m:r>
          <m:t>f</m:t>
        </m:r>
        <m:d>
          <m:dPr>
            <m:begChr m:val="("/>
            <m:endChr m:val=")"/>
            <m:sepChr m:val=""/>
            <m:grow/>
          </m:dPr>
          <m:e>
            <m:r>
              <m:t>x</m:t>
            </m:r>
          </m:e>
        </m:d>
        <m:r>
          <m:rPr>
            <m:sty m:val="p"/>
          </m:rPr>
          <m:t>=</m:t>
        </m:r>
        <m:sSup>
          <m:e>
            <m:d>
              <m:dPr>
                <m:begChr m:val="("/>
                <m:endChr m:val=")"/>
                <m:sepChr m:val=""/>
                <m:grow/>
              </m:dPr>
              <m:e>
                <m:sSubSup>
                  <m:e>
                    <m:r>
                      <m:t>g</m:t>
                    </m:r>
                  </m:e>
                  <m:sub>
                    <m:r>
                      <m:t>B</m:t>
                    </m:r>
                  </m:sub>
                  <m:sup>
                    <m:r>
                      <m:rPr>
                        <m:sty m:val="p"/>
                      </m:rPr>
                      <m:t>−</m:t>
                    </m:r>
                    <m:r>
                      <m:t>2</m:t>
                    </m:r>
                  </m:sup>
                </m:sSubSup>
                <m:r>
                  <m:rPr>
                    <m:sty m:val="p"/>
                  </m:rPr>
                  <m:t>+</m:t>
                </m:r>
                <m:r>
                  <m:t>c</m:t>
                </m:r>
                <m:r>
                  <m:t>x</m:t>
                </m:r>
              </m:e>
            </m:d>
          </m:e>
          <m:sup>
            <m:r>
              <m:rPr>
                <m:sty m:val="p"/>
              </m:rPr>
              <m:t>−</m:t>
            </m:r>
            <m:r>
              <m:t>p</m:t>
            </m:r>
            <m:r>
              <m:rPr>
                <m:sty m:val="p"/>
              </m:rPr>
              <m:t>/</m:t>
            </m:r>
            <m:r>
              <m:t>2</m:t>
            </m:r>
          </m:sup>
        </m:sSup>
      </m:oMath>
      <w:r>
        <w:t xml:space="preserve">. The function is positive and decreasing, so</w:t>
      </w:r>
    </w:p>
    <w:p>
      <w:pPr>
        <w:pStyle w:val="BodyText"/>
      </w:pPr>
      <m:oMathPara>
        <m:oMathParaPr>
          <m:jc m:val="center"/>
        </m:oMathParaPr>
        <m:oMath>
          <m:nary>
            <m:naryPr>
              <m:chr m:val="∑"/>
              <m:limLoc m:val="undOvr"/>
              <m:subHide m:val="off"/>
              <m:supHide m:val="off"/>
            </m:naryPr>
            <m:sub>
              <m:r>
                <m:t>j</m:t>
              </m:r>
              <m:r>
                <m:rPr>
                  <m:sty m:val="p"/>
                </m:rPr>
                <m:t>=</m:t>
              </m:r>
              <m:r>
                <m:t>0</m:t>
              </m:r>
            </m:sub>
            <m:sup>
              <m:r>
                <m:rPr>
                  <m:sty m:val="p"/>
                </m:rPr>
                <m:t>∞</m:t>
              </m:r>
            </m:sup>
            <m:e>
              <m:r>
                <m:t>f</m:t>
              </m:r>
            </m:e>
          </m:nary>
          <m:d>
            <m:dPr>
              <m:begChr m:val="("/>
              <m:endChr m:val=")"/>
              <m:sepChr m:val=""/>
              <m:grow/>
            </m:dPr>
            <m:e>
              <m:r>
                <m:t>j</m:t>
              </m:r>
            </m:e>
          </m:d>
          <m:r>
            <m:rPr>
              <m:sty m:val="p"/>
            </m:rPr>
            <m:t>≤</m:t>
          </m:r>
          <m:r>
            <m:t>f</m:t>
          </m:r>
          <m:d>
            <m:dPr>
              <m:begChr m:val="("/>
              <m:endChr m:val=")"/>
              <m:sepChr m:val=""/>
              <m:grow/>
            </m:dPr>
            <m:e>
              <m:r>
                <m:t>0</m:t>
              </m:r>
            </m:e>
          </m:d>
          <m:r>
            <m:rPr>
              <m:sty m:val="p"/>
            </m:rPr>
            <m:t>+</m:t>
          </m:r>
          <m:nary>
            <m:naryPr>
              <m:chr m:val="∫"/>
              <m:limLoc m:val="subSup"/>
              <m:subHide m:val="off"/>
              <m:supHide m:val="off"/>
            </m:naryPr>
            <m:sub>
              <m:r>
                <m:t>0</m:t>
              </m:r>
            </m:sub>
            <m:sup>
              <m:r>
                <m:rPr>
                  <m:sty m:val="p"/>
                </m:rPr>
                <m:t>∞</m:t>
              </m:r>
            </m:sup>
            <m:e>
              <m:r>
                <m:t>f</m:t>
              </m:r>
            </m:e>
          </m:nary>
          <m:d>
            <m:dPr>
              <m:begChr m:val="("/>
              <m:endChr m:val=")"/>
              <m:sepChr m:val=""/>
              <m:grow/>
            </m:dPr>
            <m:e>
              <m:r>
                <m:t>x</m:t>
              </m:r>
            </m:e>
          </m:d>
          <m:r>
            <m:t> </m:t>
          </m:r>
          <m:r>
            <m:t>d</m:t>
          </m:r>
          <m:r>
            <m:t>x</m:t>
          </m:r>
          <m:r>
            <m:rPr>
              <m:sty m:val="p"/>
            </m:rPr>
            <m:t>.</m:t>
          </m:r>
        </m:oMath>
      </m:oMathPara>
    </w:p>
    <w:p>
      <w:pPr>
        <w:pStyle w:val="FirstParagraph"/>
      </w:pPr>
      <w:r>
        <w:t xml:space="preserve">The integral is</w:t>
      </w:r>
    </w:p>
    <w:p>
      <w:pPr>
        <w:pStyle w:val="BodyText"/>
      </w:pPr>
      <m:oMathPara>
        <m:oMathParaPr>
          <m:jc m:val="center"/>
        </m:oMathParaPr>
        <m:oMath>
          <m:nary>
            <m:naryPr>
              <m:chr m:val="∫"/>
              <m:limLoc m:val="subSup"/>
              <m:subHide m:val="off"/>
              <m:supHide m:val="off"/>
            </m:naryPr>
            <m:sub>
              <m:r>
                <m:t>0</m:t>
              </m:r>
            </m:sub>
            <m:sup>
              <m:r>
                <m:rPr>
                  <m:sty m:val="p"/>
                </m:rPr>
                <m:t>∞</m:t>
              </m:r>
            </m:sup>
            <m:e>
              <m:sSup>
                <m:e>
                  <m:d>
                    <m:dPr>
                      <m:begChr m:val="("/>
                      <m:endChr m:val=")"/>
                      <m:sepChr m:val=""/>
                      <m:grow/>
                    </m:dPr>
                    <m:e>
                      <m:sSubSup>
                        <m:e>
                          <m:r>
                            <m:t>g</m:t>
                          </m:r>
                        </m:e>
                        <m:sub>
                          <m:r>
                            <m:t>B</m:t>
                          </m:r>
                        </m:sub>
                        <m:sup>
                          <m:r>
                            <m:rPr>
                              <m:sty m:val="p"/>
                            </m:rPr>
                            <m:t>−</m:t>
                          </m:r>
                          <m:r>
                            <m:t>2</m:t>
                          </m:r>
                        </m:sup>
                      </m:sSubSup>
                      <m:r>
                        <m:rPr>
                          <m:sty m:val="p"/>
                        </m:rPr>
                        <m:t>+</m:t>
                      </m:r>
                      <m:r>
                        <m:t>c</m:t>
                      </m:r>
                      <m:r>
                        <m:t>x</m:t>
                      </m:r>
                    </m:e>
                  </m:d>
                </m:e>
                <m:sup>
                  <m:r>
                    <m:rPr>
                      <m:sty m:val="p"/>
                    </m:rPr>
                    <m:t>−</m:t>
                  </m:r>
                  <m:r>
                    <m:t>p</m:t>
                  </m:r>
                  <m:r>
                    <m:rPr>
                      <m:sty m:val="p"/>
                    </m:rPr>
                    <m:t>/</m:t>
                  </m:r>
                  <m:r>
                    <m:t>2</m:t>
                  </m:r>
                </m:sup>
              </m:sSup>
            </m:e>
          </m:nary>
          <m:r>
            <m:t> </m:t>
          </m:r>
          <m:r>
            <m:t>d</m:t>
          </m:r>
          <m:r>
            <m:t>x</m:t>
          </m:r>
          <m:r>
            <m:rPr>
              <m:sty m:val="p"/>
            </m:rPr>
            <m:t>=</m:t>
          </m:r>
          <m:f>
            <m:fPr>
              <m:type m:val="bar"/>
            </m:fPr>
            <m:num>
              <m:sSubSup>
                <m:e>
                  <m:r>
                    <m:t>g</m:t>
                  </m:r>
                </m:e>
                <m:sub>
                  <m:r>
                    <m:t>B</m:t>
                  </m:r>
                </m:sub>
                <m:sup>
                  <m:r>
                    <m:t>p</m:t>
                  </m:r>
                  <m:r>
                    <m:rPr>
                      <m:sty m:val="p"/>
                    </m:rPr>
                    <m:t>−</m:t>
                  </m:r>
                  <m:r>
                    <m:t>2</m:t>
                  </m:r>
                </m:sup>
              </m:sSubSup>
            </m:num>
            <m:den>
              <m:r>
                <m:t>c</m:t>
              </m:r>
              <m:d>
                <m:dPr>
                  <m:begChr m:val="("/>
                  <m:endChr m:val=")"/>
                  <m:sepChr m:val=""/>
                  <m:grow/>
                </m:dPr>
                <m:e>
                  <m:r>
                    <m:t>p</m:t>
                  </m:r>
                  <m:r>
                    <m:rPr>
                      <m:sty m:val="p"/>
                    </m:rPr>
                    <m:t>/</m:t>
                  </m:r>
                  <m:r>
                    <m:t>2</m:t>
                  </m:r>
                  <m:r>
                    <m:rPr>
                      <m:sty m:val="p"/>
                    </m:rPr>
                    <m:t>−</m:t>
                  </m:r>
                  <m:r>
                    <m:t>1</m:t>
                  </m:r>
                </m:e>
              </m:d>
            </m:den>
          </m:f>
          <m:r>
            <m:rPr>
              <m:sty m:val="p"/>
            </m:rPr>
            <m:t>.</m:t>
          </m:r>
        </m:oMath>
      </m:oMathPara>
    </w:p>
    <w:p>
      <w:pPr>
        <w:pStyle w:val="FirstParagraph"/>
      </w:pPr>
      <w:r>
        <w:t xml:space="preserve">Multiplication by</w:t>
      </w:r>
      <w:r>
        <w:t xml:space="preserve"> </w:t>
      </w:r>
      <m:oMath>
        <m:sSub>
          <m:e>
            <m:r>
              <m:t>C</m:t>
            </m:r>
          </m:e>
          <m:sub>
            <m:r>
              <m:t>R</m:t>
            </m:r>
          </m:sub>
        </m:sSub>
      </m:oMath>
      <w:r>
        <w:t xml:space="preserve"> </w:t>
      </w:r>
      <w:r>
        <w:t xml:space="preserve">proves the result.</w:t>
      </w:r>
      <w:r>
        <w:t xml:space="preserve"> </w:t>
      </w:r>
      <m:oMath>
        <m:r>
          <m:rPr>
            <m:sty m:val="p"/>
          </m:rPr>
          <m:t>▫</m:t>
        </m:r>
      </m:oMath>
    </w:p>
    <w:p>
      <w:pPr>
        <w:pStyle w:val="BodyText"/>
      </w:pPr>
      <w:r>
        <w:t xml:space="preserve">In particular, for</w:t>
      </w:r>
      <w:r>
        <w:t xml:space="preserve"> </w:t>
      </w:r>
      <m:oMath>
        <m:r>
          <m:t>p</m:t>
        </m:r>
        <m:r>
          <m:rPr>
            <m:sty m:val="p"/>
          </m:rPr>
          <m:t>=</m:t>
        </m:r>
        <m:r>
          <m:t>4</m:t>
        </m:r>
      </m:oMath>
      <w:r>
        <w:t xml:space="preserve">,</w:t>
      </w:r>
    </w:p>
    <w:p>
      <w:pPr>
        <w:pStyle w:val="BodyText"/>
      </w:pPr>
      <m:oMathPara>
        <m:oMathParaPr>
          <m:jc m:val="center"/>
        </m:oMathParaPr>
        <m:oMath>
          <m:borderBox>
            <m:e>
              <m:nary>
                <m:naryPr>
                  <m:chr m:val="∑"/>
                  <m:limLoc m:val="undOvr"/>
                  <m:subHide m:val="off"/>
                  <m:supHide m:val="on"/>
                </m:naryPr>
                <m:sub>
                  <m:r>
                    <m:t>j</m:t>
                  </m:r>
                  <m:r>
                    <m:rPr>
                      <m:sty m:val="p"/>
                    </m:rPr>
                    <m:t>≥</m:t>
                  </m:r>
                  <m:r>
                    <m:t>0</m:t>
                  </m:r>
                </m:sub>
                <m:sup>
                  <m:r>
                    <m:t>​</m:t>
                  </m:r>
                </m:sup>
                <m:e>
                  <m:sSubSup>
                    <m:e>
                      <m:r>
                        <m:t>g</m:t>
                      </m:r>
                    </m:e>
                    <m:sub>
                      <m:r>
                        <m:t>j</m:t>
                      </m:r>
                    </m:sub>
                    <m:sup>
                      <m:r>
                        <m:t>4</m:t>
                      </m:r>
                    </m:sup>
                  </m:sSubSup>
                </m:e>
              </m:nary>
              <m:r>
                <m:rPr>
                  <m:sty m:val="p"/>
                </m:rPr>
                <m:t>≤</m:t>
              </m:r>
              <m:sSubSup>
                <m:e>
                  <m:r>
                    <m:t>g</m:t>
                  </m:r>
                </m:e>
                <m:sub>
                  <m:r>
                    <m:t>B</m:t>
                  </m:r>
                </m:sub>
                <m:sup>
                  <m:r>
                    <m:t>4</m:t>
                  </m:r>
                </m:sup>
              </m:sSubSup>
              <m:r>
                <m:rPr>
                  <m:sty m:val="p"/>
                </m:rPr>
                <m:t>+</m:t>
              </m:r>
              <m:f>
                <m:fPr>
                  <m:type m:val="bar"/>
                </m:fPr>
                <m:num>
                  <m:sSubSup>
                    <m:e>
                      <m:r>
                        <m:t>g</m:t>
                      </m:r>
                    </m:e>
                    <m:sub>
                      <m:r>
                        <m:t>B</m:t>
                      </m:r>
                    </m:sub>
                    <m:sup>
                      <m:r>
                        <m:t>2</m:t>
                      </m:r>
                    </m:sup>
                  </m:sSubSup>
                </m:num>
                <m:den>
                  <m:r>
                    <m:t>2</m:t>
                  </m:r>
                  <m:sSub>
                    <m:e>
                      <m:r>
                        <m:t>b</m:t>
                      </m:r>
                    </m:e>
                    <m:sub>
                      <m:r>
                        <m:t>0</m:t>
                      </m:r>
                    </m:sub>
                  </m:sSub>
                  <m:r>
                    <m:rPr>
                      <m:sty m:val="p"/>
                    </m:rPr>
                    <m:t>log</m:t>
                  </m:r>
                  <m:r>
                    <m:t>L</m:t>
                  </m:r>
                </m:den>
              </m:f>
              <m:r>
                <m:rPr>
                  <m:sty m:val="p"/>
                </m:rPr>
                <m:t>.</m:t>
              </m:r>
            </m:e>
          </m:borderBox>
        </m:oMath>
      </m:oMathPara>
    </w:p>
    <w:p>
      <w:pPr>
        <w:pStyle w:val="FirstParagraph"/>
      </w:pPr>
      <w:r>
        <w:t xml:space="preserve">This removes the number of ultraviolet RG steps as an independent divergence mechanism once the primary localized remainder estimate has been placed in the common norm.</w:t>
      </w:r>
    </w:p>
    <w:bookmarkEnd w:id="26"/>
    <w:bookmarkStart w:id="27" w:name="thermodynamic-state-existence"/>
    <w:p>
      <w:pPr>
        <w:pStyle w:val="Heading1"/>
      </w:pPr>
      <w:r>
        <w:t xml:space="preserve">7. Thermodynamic state existence</w:t>
      </w:r>
    </w:p>
    <w:p>
      <w:pPr>
        <w:pStyle w:val="FirstParagraph"/>
      </w:pPr>
      <w:r>
        <w:rPr>
          <w:bCs/>
          <w:b/>
        </w:rPr>
        <w:t xml:space="preserve">Theorem 7.1 (fixed-regulator thermodynamic state).</w:t>
      </w:r>
      <w:r>
        <w:t xml:space="preserve"> </w:t>
      </w:r>
      <w:r>
        <w:t xml:space="preserve">Fix</w:t>
      </w:r>
      <w:r>
        <w:t xml:space="preserve"> </w:t>
      </w:r>
      <m:oMath>
        <m:r>
          <m:t>a</m:t>
        </m:r>
        <m:r>
          <m:rPr>
            <m:sty m:val="p"/>
          </m:rPr>
          <m:t>&gt;</m:t>
        </m:r>
        <m:r>
          <m:t>0</m:t>
        </m:r>
      </m:oMath>
      <w:r>
        <w:t xml:space="preserve"> </w:t>
      </w:r>
      <w:r>
        <w:t xml:space="preserve">and compact</w:t>
      </w:r>
      <w:r>
        <w:t xml:space="preserve"> </w:t>
      </w:r>
      <m:oMath>
        <m:r>
          <m:t>G</m:t>
        </m:r>
      </m:oMath>
      <w:r>
        <w:t xml:space="preserve">. Periodically extend finite-volume Gibbs states to the cylinder algebra of the infinite lattice. Then every sequence of volumes has a weak-* convergent subnet. The limit is a positive normalized state, and local gauge invariance and lattice-translation identities pass to it.</w:t>
      </w:r>
    </w:p>
    <w:p>
      <w:pPr>
        <w:pStyle w:val="BodyText"/>
      </w:pPr>
      <w:r>
        <w:rPr>
          <w:bCs/>
          <w:b/>
        </w:rPr>
        <w:t xml:space="preserve">Proof.</w:t>
      </w:r>
      <w:r>
        <w:t xml:space="preserve"> </w:t>
      </w:r>
      <w:r>
        <w:t xml:space="preserve">The infinite configuration space</w:t>
      </w:r>
      <w:r>
        <w:t xml:space="preserve"> </w:t>
      </w:r>
      <m:oMath>
        <m:sSup>
          <m:e>
            <m:r>
              <m:t>G</m:t>
            </m:r>
          </m:e>
          <m:sup>
            <m:r>
              <m:t>E</m:t>
            </m:r>
          </m:sup>
        </m:sSup>
      </m:oMath>
      <w:r>
        <w:t xml:space="preserve"> </w:t>
      </w:r>
      <w:r>
        <w:t xml:space="preserve">is compact by Tychonoff. The state space of</w:t>
      </w:r>
      <w:r>
        <w:t xml:space="preserve"> </w:t>
      </w:r>
      <m:oMath>
        <m:r>
          <m:t>C</m:t>
        </m:r>
        <m:d>
          <m:dPr>
            <m:begChr m:val="("/>
            <m:endChr m:val=")"/>
            <m:sepChr m:val=""/>
            <m:grow/>
          </m:dPr>
          <m:e>
            <m:sSup>
              <m:e>
                <m:r>
                  <m:t>G</m:t>
                </m:r>
              </m:e>
              <m:sup>
                <m:r>
                  <m:t>E</m:t>
                </m:r>
              </m:sup>
            </m:sSup>
          </m:e>
        </m:d>
      </m:oMath>
      <w:r>
        <w:t xml:space="preserve"> </w:t>
      </w:r>
      <w:r>
        <w:t xml:space="preserve">is weak-* compact. Finite-volume probability measures define norm-one positive functionals. Take a weak-* cluster point. Positivity and normalization define closed conditions. Every finitely supported gauge transformation and lattice translation acts continuously on cylinder functions; identities holding before the limit therefore survive the limit.</w:t>
      </w:r>
      <w:r>
        <w:t xml:space="preserve"> </w:t>
      </w:r>
      <m:oMath>
        <m:r>
          <m:rPr>
            <m:sty m:val="p"/>
          </m:rPr>
          <m:t>▫</m:t>
        </m:r>
      </m:oMath>
    </w:p>
    <w:p>
      <w:pPr>
        <w:pStyle w:val="BodyText"/>
      </w:pPr>
      <w:r>
        <w:t xml:space="preserve">The theorem proves existence. In the strong-coupling regime, the Shen–Zhu–Zhu theorem supplies uniqueness and exponential ergodicity for</w:t>
      </w:r>
      <w:r>
        <w:t xml:space="preserve"> </w:t>
      </w:r>
      <m:oMath>
        <m:r>
          <m:t>S</m:t>
        </m:r>
        <m:r>
          <m:t>U</m:t>
        </m:r>
        <m:d>
          <m:dPr>
            <m:begChr m:val="("/>
            <m:endChr m:val=")"/>
            <m:sepChr m:val=""/>
            <m:grow/>
          </m:dPr>
          <m:e>
            <m:r>
              <m:t>N</m:t>
            </m:r>
          </m:e>
        </m:d>
      </m:oMath>
      <w:r>
        <w:t xml:space="preserve"> </w:t>
      </w:r>
      <w:r>
        <w:t xml:space="preserve">under its explicit coupling hypothesis.</w:t>
      </w:r>
    </w:p>
    <w:bookmarkEnd w:id="27"/>
    <w:bookmarkStart w:id="28" w:name="inductive-limit-bounded-holonomy-state"/>
    <w:p>
      <w:pPr>
        <w:pStyle w:val="Heading1"/>
      </w:pPr>
      <w:r>
        <w:t xml:space="preserve">8. Inductive-limit bounded-holonomy state</w:t>
      </w:r>
    </w:p>
    <w:p>
      <w:pPr>
        <w:pStyle w:val="FirstParagraph"/>
      </w:pPr>
      <w:r>
        <w:t xml:space="preserve">Let</w:t>
      </w:r>
      <w:r>
        <w:t xml:space="preserve"> </w:t>
      </w:r>
      <m:oMath>
        <m:sSub>
          <m:e>
            <m:r>
              <m:rPr>
                <m:sty m:val="p"/>
                <m:scr m:val="script"/>
              </m:rPr>
              <m:t>A</m:t>
            </m:r>
          </m:e>
          <m:sub>
            <m:r>
              <m:t>r</m:t>
            </m:r>
          </m:sub>
        </m:sSub>
      </m:oMath>
      <w:r>
        <w:t xml:space="preserve"> </w:t>
      </w:r>
      <w:r>
        <w:t xml:space="preserve">be the unital C*-algebra generated by bounded gauge-invariant holonomy observables at refinement</w:t>
      </w:r>
      <w:r>
        <w:t xml:space="preserve"> </w:t>
      </w:r>
      <m:oMath>
        <m:r>
          <m:t>r</m:t>
        </m:r>
      </m:oMath>
      <w:r>
        <w:t xml:space="preserve">, with compatible embeddings</w:t>
      </w:r>
      <w:r>
        <w:t xml:space="preserve"> </w:t>
      </w:r>
      <m:oMath>
        <m:sSub>
          <m:e>
            <m:r>
              <m:t>ι</m:t>
            </m:r>
          </m:e>
          <m:sub>
            <m:r>
              <m:t>r</m:t>
            </m:r>
            <m:r>
              <m:rPr>
                <m:sty m:val="p"/>
              </m:rPr>
              <m:t>,</m:t>
            </m:r>
            <m:r>
              <m:t>r</m:t>
            </m:r>
            <m:r>
              <m:rPr>
                <m:sty m:val="p"/>
              </m:rPr>
              <m:t>+</m:t>
            </m:r>
            <m:r>
              <m:t>1</m:t>
            </m:r>
          </m:sub>
        </m:sSub>
      </m:oMath>
      <w:r>
        <w:t xml:space="preserve">.</w:t>
      </w:r>
    </w:p>
    <w:p>
      <w:pPr>
        <w:pStyle w:val="BodyText"/>
      </w:pPr>
      <w:r>
        <w:rPr>
          <w:bCs/>
          <w:b/>
        </w:rPr>
        <w:t xml:space="preserve">Theorem 8.1.</w:t>
      </w:r>
      <w:r>
        <w:t xml:space="preserve"> </w:t>
      </w:r>
      <w:r>
        <w:t xml:space="preserve">Given states on arbitrarily fine</w:t>
      </w:r>
      <w:r>
        <w:t xml:space="preserve"> </w:t>
      </w:r>
      <m:oMath>
        <m:sSub>
          <m:e>
            <m:r>
              <m:rPr>
                <m:sty m:val="p"/>
                <m:scr m:val="script"/>
              </m:rPr>
              <m:t>A</m:t>
            </m:r>
          </m:e>
          <m:sub>
            <m:r>
              <m:t>r</m:t>
            </m:r>
          </m:sub>
        </m:sSub>
      </m:oMath>
      <w:r>
        <w:t xml:space="preserve">, there is a compatible subnet of restrictions defining a positive norm-one state on the C*-inductive limit</w:t>
      </w:r>
    </w:p>
    <w:p>
      <w:pPr>
        <w:pStyle w:val="BodyText"/>
      </w:pPr>
      <m:oMathPara>
        <m:oMathParaPr>
          <m:jc m:val="center"/>
        </m:oMathParaPr>
        <m:oMath>
          <m:sSub>
            <m:e>
              <m:r>
                <m:rPr>
                  <m:sty m:val="p"/>
                  <m:scr m:val="script"/>
                </m:rPr>
                <m:t>A</m:t>
              </m:r>
            </m:e>
            <m:sub>
              <m:r>
                <m:rPr>
                  <m:sty m:val="p"/>
                </m:rPr>
                <m:t>∞</m:t>
              </m:r>
            </m:sub>
          </m:sSub>
          <m:r>
            <m:rPr>
              <m:sty m:val="p"/>
            </m:rPr>
            <m:t>=</m:t>
          </m:r>
          <m:bar>
            <m:barPr>
              <m:pos m:val="top"/>
            </m:barPr>
            <m:e>
              <m:limLow>
                <m:e>
                  <m:r>
                    <m:rPr>
                      <m:sty m:val="p"/>
                    </m:rPr>
                    <m:t>⋃</m:t>
                  </m:r>
                </m:e>
                <m:lim>
                  <m:r>
                    <m:t>r</m:t>
                  </m:r>
                </m:lim>
              </m:limLow>
              <m:sSub>
                <m:e>
                  <m:r>
                    <m:rPr>
                      <m:sty m:val="p"/>
                      <m:scr m:val="script"/>
                    </m:rPr>
                    <m:t>A</m:t>
                  </m:r>
                </m:e>
                <m:sub>
                  <m:r>
                    <m:t>r</m:t>
                  </m:r>
                </m:sub>
              </m:sSub>
            </m:e>
          </m:bar>
          <m:r>
            <m:rPr>
              <m:sty m:val="p"/>
            </m:rPr>
            <m:t>.</m:t>
          </m:r>
        </m:oMath>
      </m:oMathPara>
    </w:p>
    <w:p>
      <w:pPr>
        <w:pStyle w:val="FirstParagraph"/>
      </w:pPr>
      <w:r>
        <w:rPr>
          <w:bCs/>
          <w:b/>
        </w:rPr>
        <w:t xml:space="preserve">Proof.</w:t>
      </w:r>
      <w:r>
        <w:t xml:space="preserve"> </w:t>
      </w:r>
      <w:r>
        <w:t xml:space="preserve">Each state space</w:t>
      </w:r>
      <w:r>
        <w:t xml:space="preserve"> </w:t>
      </w:r>
      <m:oMath>
        <m:r>
          <m:t>S</m:t>
        </m:r>
        <m:d>
          <m:dPr>
            <m:begChr m:val="("/>
            <m:endChr m:val=")"/>
            <m:sepChr m:val=""/>
            <m:grow/>
          </m:dPr>
          <m:e>
            <m:sSub>
              <m:e>
                <m:r>
                  <m:rPr>
                    <m:sty m:val="p"/>
                    <m:scr m:val="script"/>
                  </m:rPr>
                  <m:t>A</m:t>
                </m:r>
              </m:e>
              <m:sub>
                <m:r>
                  <m:t>r</m:t>
                </m:r>
              </m:sub>
            </m:sSub>
          </m:e>
        </m:d>
      </m:oMath>
      <w:r>
        <w:t xml:space="preserve"> </w:t>
      </w:r>
      <w:r>
        <w:t xml:space="preserve">is weak-* compact. The product</w:t>
      </w:r>
      <w:r>
        <w:t xml:space="preserve"> </w:t>
      </w:r>
      <m:oMath>
        <m:nary>
          <m:naryPr>
            <m:chr m:val="∏"/>
            <m:limLoc m:val="undOvr"/>
            <m:subHide m:val="off"/>
            <m:supHide m:val="on"/>
          </m:naryPr>
          <m:sub>
            <m:r>
              <m:t>r</m:t>
            </m:r>
          </m:sub>
          <m:sup>
            <m:r>
              <m:t>​</m:t>
            </m:r>
          </m:sup>
          <m:e>
            <m:r>
              <m:t>S</m:t>
            </m:r>
          </m:e>
        </m:nary>
        <m:d>
          <m:dPr>
            <m:begChr m:val="("/>
            <m:endChr m:val=")"/>
            <m:sepChr m:val=""/>
            <m:grow/>
          </m:dPr>
          <m:e>
            <m:sSub>
              <m:e>
                <m:r>
                  <m:rPr>
                    <m:sty m:val="p"/>
                    <m:scr m:val="script"/>
                  </m:rPr>
                  <m:t>A</m:t>
                </m:r>
              </m:e>
              <m:sub>
                <m:r>
                  <m:t>r</m:t>
                </m:r>
              </m:sub>
            </m:sSub>
          </m:e>
        </m:d>
      </m:oMath>
      <w:r>
        <w:t xml:space="preserve"> </w:t>
      </w:r>
      <w:r>
        <w:t xml:space="preserve">is compact. Compatibility of restrictions is a closed condition. A cluster point on the inverse compatibility system defines a state on the algebraic inductive union and hence uniquely on its norm completion.</w:t>
      </w:r>
      <w:r>
        <w:t xml:space="preserve"> </w:t>
      </w:r>
      <m:oMath>
        <m:r>
          <m:rPr>
            <m:sty m:val="p"/>
          </m:rPr>
          <m:t>▫</m:t>
        </m:r>
      </m:oMath>
    </w:p>
    <w:bookmarkEnd w:id="28"/>
    <w:bookmarkStart w:id="29" w:name="reflection-positivity-survives-the-limit"/>
    <w:p>
      <w:pPr>
        <w:pStyle w:val="Heading1"/>
      </w:pPr>
      <w:r>
        <w:t xml:space="preserve">9. Reflection positivity survives the limit</w:t>
      </w:r>
    </w:p>
    <w:p>
      <w:pPr>
        <w:pStyle w:val="FirstParagraph"/>
      </w:pPr>
      <w:r>
        <w:t xml:space="preserve">Let</w:t>
      </w:r>
      <w:r>
        <w:t xml:space="preserve"> </w:t>
      </w:r>
      <m:oMath>
        <m:r>
          <m:t>Θ</m:t>
        </m:r>
      </m:oMath>
      <w:r>
        <w:t xml:space="preserve"> </w:t>
      </w:r>
      <w:r>
        <w:t xml:space="preserve">denote Euclidean time reflection and</w:t>
      </w:r>
      <w:r>
        <w:t xml:space="preserve"> </w:t>
      </w:r>
      <m:oMath>
        <m:sSub>
          <m:e>
            <m:r>
              <m:rPr>
                <m:sty m:val="p"/>
                <m:scr m:val="script"/>
              </m:rPr>
              <m:t>A</m:t>
            </m:r>
          </m:e>
          <m:sub>
            <m:r>
              <m:rPr>
                <m:sty m:val="p"/>
              </m:rPr>
              <m:t>+</m:t>
            </m:r>
          </m:sub>
        </m:sSub>
      </m:oMath>
      <w:r>
        <w:t xml:space="preserve"> </w:t>
      </w:r>
      <w:r>
        <w:t xml:space="preserve">the positive-time cylinder algebra.</w:t>
      </w:r>
    </w:p>
    <w:p>
      <w:pPr>
        <w:pStyle w:val="BodyText"/>
      </w:pPr>
      <w:r>
        <w:rPr>
          <w:bCs/>
          <w:b/>
        </w:rPr>
        <w:t xml:space="preserve">Theorem 9.1.</w:t>
      </w:r>
      <w:r>
        <w:t xml:space="preserve"> </w:t>
      </w:r>
      <w:r>
        <w:t xml:space="preserve">If</w:t>
      </w:r>
      <w:r>
        <w:t xml:space="preserve"> </w:t>
      </w:r>
      <m:oMath>
        <m:sSub>
          <m:e>
            <m:r>
              <m:t>ω</m:t>
            </m:r>
          </m:e>
          <m:sub>
            <m:r>
              <m:t>n</m:t>
            </m:r>
          </m:sub>
        </m:sSub>
      </m:oMath>
      <w:r>
        <w:t xml:space="preserve"> </w:t>
      </w:r>
      <w:r>
        <w:t xml:space="preserve">are reflection positive and</w:t>
      </w:r>
      <w:r>
        <w:t xml:space="preserve"> </w:t>
      </w:r>
      <m:oMath>
        <m:sSub>
          <m:e>
            <m:r>
              <m:t>ω</m:t>
            </m:r>
          </m:e>
          <m:sub>
            <m:r>
              <m:t>n</m:t>
            </m:r>
          </m:sub>
        </m:sSub>
        <m:d>
          <m:dPr>
            <m:begChr m:val="("/>
            <m:endChr m:val=")"/>
            <m:sepChr m:val=""/>
            <m:grow/>
          </m:dPr>
          <m:e>
            <m:r>
              <m:t>F</m:t>
            </m:r>
          </m:e>
        </m:d>
        <m:r>
          <m:rPr>
            <m:sty m:val="p"/>
          </m:rPr>
          <m:t>→</m:t>
        </m:r>
        <m:r>
          <m:t>ω</m:t>
        </m:r>
        <m:d>
          <m:dPr>
            <m:begChr m:val="("/>
            <m:endChr m:val=")"/>
            <m:sepChr m:val=""/>
            <m:grow/>
          </m:dPr>
          <m:e>
            <m:r>
              <m:t>F</m:t>
            </m:r>
          </m:e>
        </m:d>
      </m:oMath>
      <w:r>
        <w:t xml:space="preserve"> </w:t>
      </w:r>
      <w:r>
        <w:t xml:space="preserve">for all cylinder observables needed below, then</w:t>
      </w:r>
      <w:r>
        <w:t xml:space="preserve"> </w:t>
      </w:r>
      <m:oMath>
        <m:r>
          <m:t>ω</m:t>
        </m:r>
      </m:oMath>
      <w:r>
        <w:t xml:space="preserve"> </w:t>
      </w:r>
      <w:r>
        <w:t xml:space="preserve">is reflection positive:</w:t>
      </w:r>
    </w:p>
    <w:p>
      <w:pPr>
        <w:pStyle w:val="BodyText"/>
      </w:pPr>
      <m:oMathPara>
        <m:oMathParaPr>
          <m:jc m:val="center"/>
        </m:oMathParaPr>
        <m:oMath>
          <m:borderBox>
            <m:e>
              <m:r>
                <m:t>ω</m:t>
              </m:r>
              <m:d>
                <m:dPr>
                  <m:begChr m:val="("/>
                  <m:endChr m:val=")"/>
                  <m:sepChr m:val=""/>
                  <m:grow/>
                </m:dPr>
                <m:e>
                  <m:r>
                    <m:t>Θ</m:t>
                  </m:r>
                  <m:sSup>
                    <m:e>
                      <m:d>
                        <m:dPr>
                          <m:begChr m:val="("/>
                          <m:endChr m:val=")"/>
                          <m:sepChr m:val=""/>
                          <m:grow/>
                        </m:dPr>
                        <m:e>
                          <m:r>
                            <m:t>F</m:t>
                          </m:r>
                        </m:e>
                      </m:d>
                    </m:e>
                    <m:sup>
                      <m:r>
                        <m:rPr>
                          <m:sty m:val="p"/>
                        </m:rPr>
                        <m:t>*</m:t>
                      </m:r>
                    </m:sup>
                  </m:sSup>
                  <m:r>
                    <m:t>F</m:t>
                  </m:r>
                </m:e>
              </m:d>
              <m:r>
                <m:rPr>
                  <m:sty m:val="p"/>
                </m:rPr>
                <m:t>≥</m:t>
              </m:r>
              <m:r>
                <m:t>0</m:t>
              </m:r>
              <m:r>
                <m:rPr>
                  <m:sty m:val="p"/>
                </m:rPr>
                <m:t>,</m:t>
              </m:r>
              <m:r>
                <m:t>  </m:t>
              </m:r>
              <m:r>
                <m:t>F</m:t>
              </m:r>
              <m:r>
                <m:rPr>
                  <m:sty m:val="p"/>
                </m:rPr>
                <m:t>∈</m:t>
              </m:r>
              <m:sSub>
                <m:e>
                  <m:r>
                    <m:rPr>
                      <m:sty m:val="p"/>
                      <m:scr m:val="script"/>
                    </m:rPr>
                    <m:t>A</m:t>
                  </m:r>
                </m:e>
                <m:sub>
                  <m:r>
                    <m:rPr>
                      <m:sty m:val="p"/>
                    </m:rPr>
                    <m:t>+</m:t>
                  </m:r>
                </m:sub>
              </m:sSub>
              <m:r>
                <m:rPr>
                  <m:sty m:val="p"/>
                </m:rPr>
                <m:t>.</m:t>
              </m:r>
            </m:e>
          </m:borderBox>
        </m:oMath>
      </m:oMathPara>
    </w:p>
    <w:p>
      <w:pPr>
        <w:pStyle w:val="FirstParagraph"/>
      </w:pPr>
      <w:r>
        <w:rPr>
          <w:bCs/>
          <w:b/>
        </w:rPr>
        <w:t xml:space="preserve">Proof.</w:t>
      </w:r>
    </w:p>
    <w:p>
      <w:pPr>
        <w:pStyle w:val="BodyText"/>
      </w:pPr>
      <m:oMathPara>
        <m:oMathParaPr>
          <m:jc m:val="center"/>
        </m:oMathParaPr>
        <m:oMath>
          <m:r>
            <m:t>ω</m:t>
          </m:r>
          <m:d>
            <m:dPr>
              <m:begChr m:val="("/>
              <m:endChr m:val=")"/>
              <m:sepChr m:val=""/>
              <m:grow/>
            </m:dPr>
            <m:e>
              <m:r>
                <m:t>Θ</m:t>
              </m:r>
              <m:sSup>
                <m:e>
                  <m:d>
                    <m:dPr>
                      <m:begChr m:val="("/>
                      <m:endChr m:val=")"/>
                      <m:sepChr m:val=""/>
                      <m:grow/>
                    </m:dPr>
                    <m:e>
                      <m:r>
                        <m:t>F</m:t>
                      </m:r>
                    </m:e>
                  </m:d>
                </m:e>
                <m:sup>
                  <m:r>
                    <m:rPr>
                      <m:sty m:val="p"/>
                    </m:rPr>
                    <m:t>*</m:t>
                  </m:r>
                </m:sup>
              </m:sSup>
              <m:r>
                <m:t>F</m:t>
              </m:r>
            </m:e>
          </m:d>
          <m:r>
            <m:rPr>
              <m:sty m:val="p"/>
            </m:rPr>
            <m:t>=</m:t>
          </m:r>
          <m:limLow>
            <m:e>
              <m:r>
                <m:rPr>
                  <m:sty m:val="p"/>
                </m:rPr>
                <m:t>lim</m:t>
              </m:r>
            </m:e>
            <m:lim>
              <m:r>
                <m:t>n</m:t>
              </m:r>
            </m:lim>
          </m:limLow>
          <m:sSub>
            <m:e>
              <m:r>
                <m:t>ω</m:t>
              </m:r>
            </m:e>
            <m:sub>
              <m:r>
                <m:t>n</m:t>
              </m:r>
            </m:sub>
          </m:sSub>
          <m:d>
            <m:dPr>
              <m:begChr m:val="("/>
              <m:endChr m:val=")"/>
              <m:sepChr m:val=""/>
              <m:grow/>
            </m:dPr>
            <m:e>
              <m:r>
                <m:t>Θ</m:t>
              </m:r>
              <m:sSup>
                <m:e>
                  <m:d>
                    <m:dPr>
                      <m:begChr m:val="("/>
                      <m:endChr m:val=")"/>
                      <m:sepChr m:val=""/>
                      <m:grow/>
                    </m:dPr>
                    <m:e>
                      <m:r>
                        <m:t>F</m:t>
                      </m:r>
                    </m:e>
                  </m:d>
                </m:e>
                <m:sup>
                  <m:r>
                    <m:rPr>
                      <m:sty m:val="p"/>
                    </m:rPr>
                    <m:t>*</m:t>
                  </m:r>
                </m:sup>
              </m:sSup>
              <m:r>
                <m:t>F</m:t>
              </m:r>
            </m:e>
          </m:d>
          <m:r>
            <m:rPr>
              <m:sty m:val="p"/>
            </m:rPr>
            <m:t>≥</m:t>
          </m:r>
          <m:r>
            <m:t>0</m:t>
          </m:r>
          <m:r>
            <m:rPr>
              <m:sty m:val="p"/>
            </m:rPr>
            <m:t>.</m:t>
          </m:r>
        </m:oMath>
      </m:oMathPara>
    </w:p>
    <w:p>
      <w:pPr>
        <w:pStyle w:val="FirstParagraph"/>
      </w:pPr>
      <w:r>
        <w:t xml:space="preserve">Extension to the closure follows by continuity.</w:t>
      </w:r>
      <w:r>
        <w:t xml:space="preserve"> </w:t>
      </w:r>
      <m:oMath>
        <m:r>
          <m:rPr>
            <m:sty m:val="p"/>
          </m:rPr>
          <m:t>▫</m:t>
        </m:r>
      </m:oMath>
    </w:p>
    <w:bookmarkEnd w:id="29"/>
    <w:bookmarkStart w:id="30" w:name="Xf62cc6b20112917f8f5973459f7b0fa1e1ad269"/>
    <w:p>
      <w:pPr>
        <w:pStyle w:val="Heading1"/>
      </w:pPr>
      <w:r>
        <w:t xml:space="preserve">10. Continuum Schwinger distributions from one uniform bound</w:t>
      </w:r>
    </w:p>
    <w:p>
      <w:pPr>
        <w:pStyle w:val="FirstParagraph"/>
      </w:pPr>
      <w:r>
        <w:t xml:space="preserve">The passage from bounded holonomy observables to local curvature fields requires renormalized, generally unbounded composite insertions. The decisive compactness estimate can be stated without a separate Cauchy hypothesis.</w:t>
      </w:r>
    </w:p>
    <w:p>
      <w:pPr>
        <w:pStyle w:val="BodyText"/>
      </w:pPr>
      <w:r>
        <w:t xml:space="preserve">Let</w:t>
      </w:r>
      <w:r>
        <w:t xml:space="preserve"> </w:t>
      </w:r>
      <m:oMath>
        <m:sSub>
          <m:e>
            <m:r>
              <m:t>S</m:t>
            </m:r>
          </m:e>
          <m:sub>
            <m:r>
              <m:t>n</m:t>
            </m:r>
            <m:r>
              <m:rPr>
                <m:sty m:val="p"/>
              </m:rPr>
              <m:t>,</m:t>
            </m:r>
            <m:r>
              <m:t>a</m:t>
            </m:r>
          </m:sub>
        </m:sSub>
        <m:r>
          <m:rPr>
            <m:sty m:val="p"/>
          </m:rPr>
          <m:t>∈</m:t>
        </m:r>
        <m:r>
          <m:rPr>
            <m:sty m:val="p"/>
            <m:scr m:val="script"/>
          </m:rPr>
          <m:t>S</m:t>
        </m:r>
        <m:r>
          <m:rPr>
            <m:sty m:val="p"/>
          </m:rPr>
          <m:t>′</m:t>
        </m:r>
        <m:d>
          <m:dPr>
            <m:begChr m:val="("/>
            <m:endChr m:val=")"/>
            <m:sepChr m:val=""/>
            <m:grow/>
          </m:dPr>
          <m:e>
            <m:sSup>
              <m:e>
                <m:r>
                  <m:rPr>
                    <m:sty m:val="p"/>
                    <m:scr m:val="double-struck"/>
                  </m:rPr>
                  <m:t>R</m:t>
                </m:r>
              </m:e>
              <m:sup>
                <m:r>
                  <m:t>4</m:t>
                </m:r>
                <m:r>
                  <m:t>n</m:t>
                </m:r>
              </m:sup>
            </m:sSup>
          </m:e>
        </m:d>
      </m:oMath>
      <w:r>
        <w:t xml:space="preserve">. Assume that for a continuous Schwartz seminorm</w:t>
      </w:r>
      <w:r>
        <w:t xml:space="preserve"> </w:t>
      </w:r>
      <m:oMath>
        <m:sSub>
          <m:e>
            <m:r>
              <m:t>p</m:t>
            </m:r>
          </m:e>
          <m:sub>
            <m:r>
              <m:t>N</m:t>
            </m:r>
          </m:sub>
        </m:sSub>
      </m:oMath>
      <w:r>
        <w:t xml:space="preserve">,</w:t>
      </w:r>
    </w:p>
    <w:p>
      <w:pPr>
        <w:pStyle w:val="BodyText"/>
      </w:pPr>
      <m:oMathPara>
        <m:oMathParaPr>
          <m:jc m:val="center"/>
        </m:oMathParaPr>
        <m:oMath>
          <m:borderBox>
            <m:e>
              <m:d>
                <m:dPr>
                  <m:begChr m:val="|"/>
                  <m:endChr m:val="|"/>
                  <m:sepChr m:val=""/>
                  <m:grow/>
                </m:dPr>
                <m:e>
                  <m:sSub>
                    <m:e>
                      <m:r>
                        <m:t>S</m:t>
                      </m:r>
                    </m:e>
                    <m:sub>
                      <m:r>
                        <m:t>n</m:t>
                      </m:r>
                      <m:r>
                        <m:rPr>
                          <m:sty m:val="p"/>
                        </m:rPr>
                        <m:t>,</m:t>
                      </m:r>
                      <m:r>
                        <m:t>a</m:t>
                      </m:r>
                    </m:sub>
                  </m:sSub>
                  <m:d>
                    <m:dPr>
                      <m:begChr m:val="("/>
                      <m:endChr m:val=")"/>
                      <m:sepChr m:val=""/>
                      <m:grow/>
                    </m:dPr>
                    <m:e>
                      <m:r>
                        <m:t>f</m:t>
                      </m:r>
                    </m:e>
                  </m:d>
                </m:e>
              </m:d>
              <m:r>
                <m:rPr>
                  <m:sty m:val="p"/>
                </m:rPr>
                <m:t>≤</m:t>
              </m:r>
              <m:sSub>
                <m:e>
                  <m:r>
                    <m:t>C</m:t>
                  </m:r>
                </m:e>
                <m:sub>
                  <m:r>
                    <m:t>n</m:t>
                  </m:r>
                </m:sub>
              </m:sSub>
              <m:sSub>
                <m:e>
                  <m:r>
                    <m:t>p</m:t>
                  </m:r>
                </m:e>
                <m:sub>
                  <m:r>
                    <m:t>N</m:t>
                  </m:r>
                </m:sub>
              </m:sSub>
              <m:d>
                <m:dPr>
                  <m:begChr m:val="("/>
                  <m:endChr m:val=")"/>
                  <m:sepChr m:val=""/>
                  <m:grow/>
                </m:dPr>
                <m:e>
                  <m:r>
                    <m:t>f</m:t>
                  </m:r>
                </m:e>
              </m:d>
            </m:e>
          </m:borderBox>
        </m:oMath>
      </m:oMathPara>
    </w:p>
    <w:p>
      <w:pPr>
        <w:pStyle w:val="FirstParagraph"/>
      </w:pPr>
      <w:r>
        <w:t xml:space="preserve">with</w:t>
      </w:r>
      <w:r>
        <w:t xml:space="preserve"> </w:t>
      </w:r>
      <m:oMath>
        <m:sSub>
          <m:e>
            <m:r>
              <m:t>C</m:t>
            </m:r>
          </m:e>
          <m:sub>
            <m:r>
              <m:t>n</m:t>
            </m:r>
          </m:sub>
        </m:sSub>
        <m:r>
          <m:rPr>
            <m:sty m:val="p"/>
          </m:rPr>
          <m:t>,</m:t>
        </m:r>
        <m:r>
          <m:t>N</m:t>
        </m:r>
      </m:oMath>
      <w:r>
        <w:t xml:space="preserve"> </w:t>
      </w:r>
      <w:r>
        <w:t xml:space="preserve">independent of</w:t>
      </w:r>
      <w:r>
        <w:t xml:space="preserve"> </w:t>
      </w:r>
      <m:oMath>
        <m:r>
          <m:t>a</m:t>
        </m:r>
      </m:oMath>
      <w:r>
        <w:t xml:space="preserve"> </w:t>
      </w:r>
      <w:r>
        <w:t xml:space="preserve">and thermodynamic volume.</w:t>
      </w:r>
    </w:p>
    <w:p>
      <w:pPr>
        <w:pStyle w:val="BodyText"/>
      </w:pPr>
      <w:r>
        <w:rPr>
          <w:bCs/>
          <w:b/>
        </w:rPr>
        <w:t xml:space="preserve">Theorem 10.1 (distributional compactness).</w:t>
      </w:r>
      <w:r>
        <w:t xml:space="preserve"> </w:t>
      </w:r>
      <w:r>
        <w:t xml:space="preserve">Along every sequence</w:t>
      </w:r>
      <w:r>
        <w:t xml:space="preserve"> </w:t>
      </w:r>
      <m:oMath>
        <m:sSub>
          <m:e>
            <m:r>
              <m:t>a</m:t>
            </m:r>
          </m:e>
          <m:sub>
            <m:r>
              <m:t>j</m:t>
            </m:r>
          </m:sub>
        </m:sSub>
        <m:r>
          <m:rPr>
            <m:sty m:val="p"/>
          </m:rPr>
          <m:t>↓</m:t>
        </m:r>
        <m:r>
          <m:t>0</m:t>
        </m:r>
      </m:oMath>
      <w:r>
        <w:t xml:space="preserve"> </w:t>
      </w:r>
      <w:r>
        <w:t xml:space="preserve">there is a common subnet, and in the metrizable equicontinuous setting a subsequence, for which</w:t>
      </w:r>
    </w:p>
    <w:p>
      <w:pPr>
        <w:pStyle w:val="BodyText"/>
      </w:pPr>
      <m:oMathPara>
        <m:oMathParaPr>
          <m:jc m:val="center"/>
        </m:oMathParaPr>
        <m:oMath>
          <m:sSub>
            <m:e>
              <m:r>
                <m:t>S</m:t>
              </m:r>
            </m:e>
            <m:sub>
              <m:r>
                <m:t>n</m:t>
              </m:r>
              <m:r>
                <m:rPr>
                  <m:sty m:val="p"/>
                </m:rPr>
                <m:t>,</m:t>
              </m:r>
              <m:sSub>
                <m:e>
                  <m:r>
                    <m:t>a</m:t>
                  </m:r>
                </m:e>
                <m:sub>
                  <m:r>
                    <m:t>j</m:t>
                  </m:r>
                </m:sub>
              </m:sSub>
            </m:sub>
          </m:sSub>
          <m:limUpp>
            <m:e>
              <m:r>
                <m:rPr>
                  <m:sty m:val="p"/>
                </m:rPr>
                <m:t>→</m:t>
              </m:r>
            </m:e>
            <m:lim>
              <m:r>
                <m:rPr>
                  <m:sty m:val="p"/>
                  <m:scr m:val="script"/>
                </m:rPr>
                <m:t>S</m:t>
              </m:r>
              <m:r>
                <m:rPr>
                  <m:sty m:val="p"/>
                </m:rPr>
                <m:t>′</m:t>
              </m:r>
            </m:lim>
          </m:limUpp>
          <m:sSub>
            <m:e>
              <m:r>
                <m:t>S</m:t>
              </m:r>
            </m:e>
            <m:sub>
              <m:r>
                <m:t>n</m:t>
              </m:r>
            </m:sub>
          </m:sSub>
        </m:oMath>
      </m:oMathPara>
    </w:p>
    <w:p>
      <w:pPr>
        <w:pStyle w:val="FirstParagraph"/>
      </w:pPr>
      <w:r>
        <w:t xml:space="preserve">for all</w:t>
      </w:r>
      <w:r>
        <w:t xml:space="preserve"> </w:t>
      </w:r>
      <m:oMath>
        <m:r>
          <m:t>n</m:t>
        </m:r>
      </m:oMath>
      <w:r>
        <w:t xml:space="preserve">, where each</w:t>
      </w:r>
      <w:r>
        <w:t xml:space="preserve"> </w:t>
      </w:r>
      <m:oMath>
        <m:sSub>
          <m:e>
            <m:r>
              <m:t>S</m:t>
            </m:r>
          </m:e>
          <m:sub>
            <m:r>
              <m:t>n</m:t>
            </m:r>
          </m:sub>
        </m:sSub>
      </m:oMath>
      <w:r>
        <w:t xml:space="preserve"> </w:t>
      </w:r>
      <w:r>
        <w:t xml:space="preserve">is tempered.</w:t>
      </w:r>
    </w:p>
    <w:p>
      <w:pPr>
        <w:pStyle w:val="BodyText"/>
      </w:pPr>
      <w:r>
        <w:rPr>
          <w:bCs/>
          <w:b/>
        </w:rPr>
        <w:t xml:space="preserve">Proof.</w:t>
      </w:r>
      <w:r>
        <w:t xml:space="preserve"> </w:t>
      </w:r>
      <w:r>
        <w:t xml:space="preserve">The estimate places</w:t>
      </w:r>
      <w:r>
        <w:t xml:space="preserve"> </w:t>
      </w:r>
      <m:oMath>
        <m:r>
          <m:rPr>
            <m:sty m:val="p"/>
          </m:rPr>
          <m:t>{</m:t>
        </m:r>
        <m:sSub>
          <m:e>
            <m:r>
              <m:t>S</m:t>
            </m:r>
          </m:e>
          <m:sub>
            <m:r>
              <m:t>n</m:t>
            </m:r>
            <m:r>
              <m:rPr>
                <m:sty m:val="p"/>
              </m:rPr>
              <m:t>,</m:t>
            </m:r>
            <m:r>
              <m:t>a</m:t>
            </m:r>
          </m:sub>
        </m:sSub>
        <m:r>
          <m:rPr>
            <m:sty m:val="p"/>
          </m:rPr>
          <m:t>}</m:t>
        </m:r>
      </m:oMath>
      <w:r>
        <w:t xml:space="preserve"> </w:t>
      </w:r>
      <w:r>
        <w:t xml:space="preserve">in a constant multiple of the polar of a zero-neighborhood of Schwartz space. Alaoglu–Bourbaki compactness makes this polar weak-* compact. Product compactness followed by diagonal extraction over the countable family</w:t>
      </w:r>
      <w:r>
        <w:t xml:space="preserve"> </w:t>
      </w:r>
      <m:oMath>
        <m:r>
          <m:t>n</m:t>
        </m:r>
        <m:r>
          <m:rPr>
            <m:sty m:val="p"/>
          </m:rPr>
          <m:t>=</m:t>
        </m:r>
        <m:r>
          <m:t>1</m:t>
        </m:r>
        <m:r>
          <m:rPr>
            <m:sty m:val="p"/>
          </m:rPr>
          <m:t>,</m:t>
        </m:r>
        <m:r>
          <m:t>2</m:t>
        </m:r>
        <m:r>
          <m:rPr>
            <m:sty m:val="p"/>
          </m:rPr>
          <m:t>,</m:t>
        </m:r>
        <m:r>
          <m:rPr>
            <m:sty m:val="p"/>
          </m:rPr>
          <m:t>…</m:t>
        </m:r>
      </m:oMath>
      <w:r>
        <w:t xml:space="preserve"> </w:t>
      </w:r>
      <w:r>
        <w:t xml:space="preserve">gives a common limit family.</w:t>
      </w:r>
      <w:r>
        <w:t xml:space="preserve"> </w:t>
      </w:r>
      <m:oMath>
        <m:r>
          <m:rPr>
            <m:sty m:val="p"/>
          </m:rPr>
          <m:t>▫</m:t>
        </m:r>
      </m:oMath>
    </w:p>
    <w:p>
      <w:pPr>
        <w:pStyle w:val="BodyText"/>
      </w:pPr>
      <w:r>
        <w:t xml:space="preserve">Thus the continuum-distribution existence gate reduces to the uniform renormalized-source seminorm estimate itself; a separate quantitative Cauchy rate is useful for uniqueness and universality but is not logically required for existence.</w:t>
      </w:r>
    </w:p>
    <w:bookmarkEnd w:id="30"/>
    <w:bookmarkStart w:id="31" w:name="Xbab8dd91e450d47581f3980e6f5db6c2463e9bf"/>
    <w:p>
      <w:pPr>
        <w:pStyle w:val="Heading1"/>
      </w:pPr>
      <w:r>
        <w:t xml:space="preserve">11. Uniform source analyticity implies all composite moment bounds</w:t>
      </w:r>
    </w:p>
    <w:p>
      <w:pPr>
        <w:pStyle w:val="FirstParagraph"/>
      </w:pPr>
      <w:r>
        <w:t xml:space="preserve">Couple a finite family of smeared gauge-invariant local operators</w:t>
      </w:r>
      <w:r>
        <w:t xml:space="preserve"> </w:t>
      </w:r>
      <m:oMath>
        <m:sSub>
          <m:e>
            <m:r>
              <m:t>P</m:t>
            </m:r>
          </m:e>
          <m:sub>
            <m:r>
              <m:t>i</m:t>
            </m:r>
          </m:sub>
        </m:sSub>
        <m:d>
          <m:dPr>
            <m:begChr m:val="("/>
            <m:endChr m:val=")"/>
            <m:sepChr m:val=""/>
            <m:grow/>
          </m:dPr>
          <m:e>
            <m:sSub>
              <m:e>
                <m:r>
                  <m:t>f</m:t>
                </m:r>
              </m:e>
              <m:sub>
                <m:r>
                  <m:t>i</m:t>
                </m:r>
              </m:sub>
            </m:sSub>
          </m:e>
        </m:d>
      </m:oMath>
      <w:r>
        <w:t xml:space="preserve"> </w:t>
      </w:r>
      <w:r>
        <w:t xml:space="preserve">to sources</w:t>
      </w:r>
      <w:r>
        <w:t xml:space="preserve"> </w:t>
      </w:r>
      <m:oMath>
        <m:sSub>
          <m:e>
            <m:r>
              <m:t>z</m:t>
            </m:r>
          </m:e>
          <m:sub>
            <m:r>
              <m:t>i</m:t>
            </m:r>
          </m:sub>
        </m:sSub>
      </m:oMath>
      <w:r>
        <w:t xml:space="preserve">:</w:t>
      </w:r>
    </w:p>
    <w:p>
      <w:pPr>
        <w:pStyle w:val="BodyText"/>
      </w:pPr>
      <m:oMathPara>
        <m:oMathParaPr>
          <m:jc m:val="center"/>
        </m:oMathParaPr>
        <m:oMath>
          <m:r>
            <m:t>J</m:t>
          </m:r>
          <m:r>
            <m:rPr>
              <m:sty m:val="p"/>
            </m:rPr>
            <m:t>=</m:t>
          </m:r>
          <m:nary>
            <m:naryPr>
              <m:chr m:val="∑"/>
              <m:limLoc m:val="undOvr"/>
              <m:subHide m:val="off"/>
              <m:supHide m:val="off"/>
            </m:naryPr>
            <m:sub>
              <m:r>
                <m:t>i</m:t>
              </m:r>
              <m:r>
                <m:rPr>
                  <m:sty m:val="p"/>
                </m:rPr>
                <m:t>=</m:t>
              </m:r>
              <m:r>
                <m:t>1</m:t>
              </m:r>
            </m:sub>
            <m:sup>
              <m:r>
                <m:t>n</m:t>
              </m:r>
            </m:sup>
            <m:e>
              <m:sSub>
                <m:e>
                  <m:r>
                    <m:t>z</m:t>
                  </m:r>
                </m:e>
                <m:sub>
                  <m:r>
                    <m:t>i</m:t>
                  </m:r>
                </m:sub>
              </m:sSub>
            </m:e>
          </m:nary>
          <m:sSub>
            <m:e>
              <m:r>
                <m:t>P</m:t>
              </m:r>
            </m:e>
            <m:sub>
              <m:r>
                <m:t>i</m:t>
              </m:r>
            </m:sub>
          </m:sSub>
          <m:d>
            <m:dPr>
              <m:begChr m:val="("/>
              <m:endChr m:val=")"/>
              <m:sepChr m:val=""/>
              <m:grow/>
            </m:dPr>
            <m:e>
              <m:sSub>
                <m:e>
                  <m:r>
                    <m:t>f</m:t>
                  </m:r>
                </m:e>
                <m:sub>
                  <m:r>
                    <m:t>i</m:t>
                  </m:r>
                </m:sub>
              </m:sSub>
            </m:e>
          </m:d>
          <m:r>
            <m:rPr>
              <m:sty m:val="p"/>
            </m:rPr>
            <m:t>,</m:t>
          </m:r>
          <m:r>
            <m:t>  </m:t>
          </m:r>
          <m:sSub>
            <m:e>
              <m:r>
                <m:t>W</m:t>
              </m:r>
            </m:e>
            <m:sub>
              <m:r>
                <m:t>a</m:t>
              </m:r>
            </m:sub>
          </m:sSub>
          <m:d>
            <m:dPr>
              <m:begChr m:val="("/>
              <m:endChr m:val=")"/>
              <m:sepChr m:val=""/>
              <m:grow/>
            </m:dPr>
            <m:e>
              <m:r>
                <m:t>z</m:t>
              </m:r>
            </m:e>
          </m:d>
          <m:r>
            <m:rPr>
              <m:sty m:val="p"/>
            </m:rPr>
            <m:t>=</m:t>
          </m:r>
          <m:r>
            <m:rPr>
              <m:sty m:val="p"/>
            </m:rPr>
            <m:t>log</m:t>
          </m:r>
          <m:sSub>
            <m:e>
              <m:r>
                <m:t>Z</m:t>
              </m:r>
            </m:e>
            <m:sub>
              <m:r>
                <m:t>a</m:t>
              </m:r>
            </m:sub>
          </m:sSub>
          <m:d>
            <m:dPr>
              <m:begChr m:val="("/>
              <m:endChr m:val=")"/>
              <m:sepChr m:val=""/>
              <m:grow/>
            </m:dPr>
            <m:e>
              <m:r>
                <m:t>J</m:t>
              </m:r>
            </m:e>
          </m:d>
          <m:r>
            <m:rPr>
              <m:sty m:val="p"/>
            </m:rPr>
            <m:t>.</m:t>
          </m:r>
        </m:oMath>
      </m:oMathPara>
    </w:p>
    <w:p>
      <w:pPr>
        <w:pStyle w:val="FirstParagraph"/>
      </w:pPr>
      <w:r>
        <w:rPr>
          <w:bCs/>
          <w:b/>
        </w:rPr>
        <w:t xml:space="preserve">Theorem 11.1 (Cauchy source theorem).</w:t>
      </w:r>
      <w:r>
        <w:t xml:space="preserve"> </w:t>
      </w:r>
      <w:r>
        <w:t xml:space="preserve">Suppose</w:t>
      </w:r>
      <w:r>
        <w:t xml:space="preserve"> </w:t>
      </w:r>
      <m:oMath>
        <m:sSub>
          <m:e>
            <m:r>
              <m:t>W</m:t>
            </m:r>
          </m:e>
          <m:sub>
            <m:r>
              <m:t>a</m:t>
            </m:r>
          </m:sub>
        </m:sSub>
      </m:oMath>
      <w:r>
        <w:t xml:space="preserve"> </w:t>
      </w:r>
      <w:r>
        <w:t xml:space="preserve">is analytic on the polydisc</w:t>
      </w:r>
      <w:r>
        <w:t xml:space="preserve"> </w:t>
      </w:r>
      <m:oMath>
        <m:d>
          <m:dPr>
            <m:begChr m:val="|"/>
            <m:endChr m:val="|"/>
            <m:sepChr m:val=""/>
            <m:grow/>
          </m:dPr>
          <m:e>
            <m:sSub>
              <m:e>
                <m:r>
                  <m:t>z</m:t>
                </m:r>
              </m:e>
              <m:sub>
                <m:r>
                  <m:t>i</m:t>
                </m:r>
              </m:sub>
            </m:sSub>
          </m:e>
        </m:d>
        <m:r>
          <m:rPr>
            <m:sty m:val="p"/>
          </m:rPr>
          <m:t>&lt;</m:t>
        </m:r>
        <m:sSub>
          <m:e>
            <m:r>
              <m:t>R</m:t>
            </m:r>
          </m:e>
          <m:sub>
            <m:r>
              <m:t>i</m:t>
            </m:r>
          </m:sub>
        </m:sSub>
      </m:oMath>
      <w:r>
        <w:t xml:space="preserve"> </w:t>
      </w:r>
      <w:r>
        <w:t xml:space="preserve">and</w:t>
      </w:r>
    </w:p>
    <w:p>
      <w:pPr>
        <w:pStyle w:val="BodyText"/>
      </w:pPr>
      <m:oMathPara>
        <m:oMathParaPr>
          <m:jc m:val="center"/>
        </m:oMathParaPr>
        <m:oMath>
          <m:d>
            <m:dPr>
              <m:begChr m:val="|"/>
              <m:endChr m:val="|"/>
              <m:sepChr m:val=""/>
              <m:grow/>
            </m:dPr>
            <m:e>
              <m:sSub>
                <m:e>
                  <m:r>
                    <m:t>W</m:t>
                  </m:r>
                </m:e>
                <m:sub>
                  <m:r>
                    <m:t>a</m:t>
                  </m:r>
                </m:sub>
              </m:sSub>
              <m:d>
                <m:dPr>
                  <m:begChr m:val="("/>
                  <m:endChr m:val=")"/>
                  <m:sepChr m:val=""/>
                  <m:grow/>
                </m:dPr>
                <m:e>
                  <m:r>
                    <m:t>z</m:t>
                  </m:r>
                </m:e>
              </m:d>
            </m:e>
          </m:d>
          <m:r>
            <m:rPr>
              <m:sty m:val="p"/>
            </m:rPr>
            <m:t>≤</m:t>
          </m:r>
          <m:r>
            <m:t>M</m:t>
          </m:r>
        </m:oMath>
      </m:oMathPara>
    </w:p>
    <w:p>
      <w:pPr>
        <w:pStyle w:val="FirstParagraph"/>
      </w:pPr>
      <w:r>
        <w:t xml:space="preserve">there uniformly in</w:t>
      </w:r>
      <w:r>
        <w:t xml:space="preserve"> </w:t>
      </w:r>
      <m:oMath>
        <m:r>
          <m:t>a</m:t>
        </m:r>
      </m:oMath>
      <w:r>
        <w:t xml:space="preserve"> </w:t>
      </w:r>
      <w:r>
        <w:t xml:space="preserve">and volume. Then</w:t>
      </w:r>
    </w:p>
    <w:p>
      <w:pPr>
        <w:pStyle w:val="BodyText"/>
      </w:pPr>
      <m:oMathPara>
        <m:oMathParaPr>
          <m:jc m:val="center"/>
        </m:oMathParaPr>
        <m:oMath>
          <m:borderBox>
            <m:e>
              <m:d>
                <m:dPr>
                  <m:begChr m:val="|"/>
                  <m:endChr m:val="|"/>
                  <m:sepChr m:val=""/>
                  <m:grow/>
                </m:dPr>
                <m:e>
                  <m:sSub>
                    <m:e>
                      <m:r>
                        <m:rPr>
                          <m:sty m:val="p"/>
                        </m:rPr>
                        <m:t>∂</m:t>
                      </m:r>
                    </m:e>
                    <m:sub>
                      <m:sSub>
                        <m:e>
                          <m:r>
                            <m:t>z</m:t>
                          </m:r>
                        </m:e>
                        <m:sub>
                          <m:r>
                            <m:t>1</m:t>
                          </m:r>
                        </m:sub>
                      </m:sSub>
                    </m:sub>
                  </m:sSub>
                  <m:r>
                    <m:rPr>
                      <m:sty m:val="p"/>
                    </m:rPr>
                    <m:t>⋯</m:t>
                  </m:r>
                  <m:sSub>
                    <m:e>
                      <m:r>
                        <m:rPr>
                          <m:sty m:val="p"/>
                        </m:rPr>
                        <m:t>∂</m:t>
                      </m:r>
                    </m:e>
                    <m:sub>
                      <m:sSub>
                        <m:e>
                          <m:r>
                            <m:t>z</m:t>
                          </m:r>
                        </m:e>
                        <m:sub>
                          <m:r>
                            <m:t>n</m:t>
                          </m:r>
                        </m:sub>
                      </m:sSub>
                    </m:sub>
                  </m:sSub>
                  <m:sSub>
                    <m:e>
                      <m:r>
                        <m:t>W</m:t>
                      </m:r>
                    </m:e>
                    <m:sub>
                      <m:r>
                        <m:t>a</m:t>
                      </m:r>
                    </m:sub>
                  </m:sSub>
                  <m:d>
                    <m:dPr>
                      <m:begChr m:val="("/>
                      <m:endChr m:val=")"/>
                      <m:sepChr m:val=""/>
                      <m:grow/>
                    </m:dPr>
                    <m:e>
                      <m:r>
                        <m:t>0</m:t>
                      </m:r>
                    </m:e>
                  </m:d>
                </m:e>
              </m:d>
              <m:r>
                <m:rPr>
                  <m:sty m:val="p"/>
                </m:rPr>
                <m:t>≤</m:t>
              </m:r>
              <m:r>
                <m:t>M</m:t>
              </m:r>
              <m:r>
                <m:t> </m:t>
              </m:r>
              <m:r>
                <m:t>n</m:t>
              </m:r>
              <m:r>
                <m:rPr>
                  <m:sty m:val="p"/>
                </m:rPr>
                <m:t>!</m:t>
              </m:r>
              <m:nary>
                <m:naryPr>
                  <m:chr m:val="∏"/>
                  <m:limLoc m:val="undOvr"/>
                  <m:subHide m:val="off"/>
                  <m:supHide m:val="off"/>
                </m:naryPr>
                <m:sub>
                  <m:r>
                    <m:t>i</m:t>
                  </m:r>
                  <m:r>
                    <m:rPr>
                      <m:sty m:val="p"/>
                    </m:rPr>
                    <m:t>=</m:t>
                  </m:r>
                  <m:r>
                    <m:t>1</m:t>
                  </m:r>
                </m:sub>
                <m:sup>
                  <m:r>
                    <m:t>n</m:t>
                  </m:r>
                </m:sup>
                <m:e>
                  <m:sSubSup>
                    <m:e>
                      <m:r>
                        <m:t>R</m:t>
                      </m:r>
                    </m:e>
                    <m:sub>
                      <m:r>
                        <m:t>i</m:t>
                      </m:r>
                    </m:sub>
                    <m:sup>
                      <m:r>
                        <m:rPr>
                          <m:sty m:val="p"/>
                        </m:rPr>
                        <m:t>−</m:t>
                      </m:r>
                      <m:r>
                        <m:t>1</m:t>
                      </m:r>
                    </m:sup>
                  </m:sSubSup>
                </m:e>
              </m:nary>
              <m:r>
                <m:rPr>
                  <m:sty m:val="p"/>
                </m:rPr>
                <m:t>.</m:t>
              </m:r>
            </m:e>
          </m:borderBox>
        </m:oMath>
      </m:oMathPara>
    </w:p>
    <w:p>
      <w:pPr>
        <w:pStyle w:val="FirstParagraph"/>
      </w:pPr>
      <w:r>
        <w:rPr>
          <w:bCs/>
          <w:b/>
        </w:rPr>
        <w:t xml:space="preserve">Proof.</w:t>
      </w:r>
      <w:r>
        <w:t xml:space="preserve"> </w:t>
      </w:r>
      <w:r>
        <w:t xml:space="preserve">Apply the multivariable Cauchy integral formula on the product of circles</w:t>
      </w:r>
      <w:r>
        <w:t xml:space="preserve"> </w:t>
      </w:r>
      <m:oMath>
        <m:d>
          <m:dPr>
            <m:begChr m:val="|"/>
            <m:endChr m:val="|"/>
            <m:sepChr m:val=""/>
            <m:grow/>
          </m:dPr>
          <m:e>
            <m:sSub>
              <m:e>
                <m:r>
                  <m:t>z</m:t>
                </m:r>
              </m:e>
              <m:sub>
                <m:r>
                  <m:t>i</m:t>
                </m:r>
              </m:sub>
            </m:sSub>
          </m:e>
        </m:d>
        <m:r>
          <m:rPr>
            <m:sty m:val="p"/>
          </m:rPr>
          <m:t>=</m:t>
        </m:r>
        <m:sSub>
          <m:e>
            <m:r>
              <m:t>r</m:t>
            </m:r>
          </m:e>
          <m:sub>
            <m:r>
              <m:t>i</m:t>
            </m:r>
          </m:sub>
        </m:sSub>
        <m:r>
          <m:rPr>
            <m:sty m:val="p"/>
          </m:rPr>
          <m:t>&lt;</m:t>
        </m:r>
        <m:sSub>
          <m:e>
            <m:r>
              <m:t>R</m:t>
            </m:r>
          </m:e>
          <m:sub>
            <m:r>
              <m:t>i</m:t>
            </m:r>
          </m:sub>
        </m:sSub>
      </m:oMath>
      <w:r>
        <w:t xml:space="preserve">, then let</w:t>
      </w:r>
      <w:r>
        <w:t xml:space="preserve"> </w:t>
      </w:r>
      <m:oMath>
        <m:sSub>
          <m:e>
            <m:r>
              <m:t>r</m:t>
            </m:r>
          </m:e>
          <m:sub>
            <m:r>
              <m:t>i</m:t>
            </m:r>
          </m:sub>
        </m:sSub>
        <m:r>
          <m:rPr>
            <m:sty m:val="p"/>
          </m:rPr>
          <m:t>↑</m:t>
        </m:r>
        <m:sSub>
          <m:e>
            <m:r>
              <m:t>R</m:t>
            </m:r>
          </m:e>
          <m:sub>
            <m:r>
              <m:t>i</m:t>
            </m:r>
          </m:sub>
        </m:sSub>
      </m:oMath>
      <w:r>
        <w:t xml:space="preserve">.</w:t>
      </w:r>
      <w:r>
        <w:t xml:space="preserve"> </w:t>
      </w:r>
      <m:oMath>
        <m:r>
          <m:rPr>
            <m:sty m:val="p"/>
          </m:rPr>
          <m:t>▫</m:t>
        </m:r>
      </m:oMath>
    </w:p>
    <w:p>
      <w:pPr>
        <w:pStyle w:val="BodyText"/>
      </w:pPr>
      <w:r>
        <w:t xml:space="preserve">When</w:t>
      </w:r>
      <w:r>
        <w:t xml:space="preserve"> </w:t>
      </w:r>
      <m:oMath>
        <m:sSubSup>
          <m:e>
            <m:r>
              <m:t>R</m:t>
            </m:r>
          </m:e>
          <m:sub>
            <m:r>
              <m:t>i</m:t>
            </m:r>
          </m:sub>
          <m:sup>
            <m:r>
              <m:rPr>
                <m:sty m:val="p"/>
              </m:rPr>
              <m:t>−</m:t>
            </m:r>
            <m:r>
              <m:t>1</m:t>
            </m:r>
          </m:sup>
        </m:sSubSup>
      </m:oMath>
      <w:r>
        <w:t xml:space="preserve"> </w:t>
      </w:r>
      <w:r>
        <w:t xml:space="preserve">is bounded by a fixed Schwartz seminorm of</w:t>
      </w:r>
      <w:r>
        <w:t xml:space="preserve"> </w:t>
      </w:r>
      <m:oMath>
        <m:sSub>
          <m:e>
            <m:r>
              <m:t>f</m:t>
            </m:r>
          </m:e>
          <m:sub>
            <m:r>
              <m:t>i</m:t>
            </m:r>
          </m:sub>
        </m:sSub>
      </m:oMath>
      <w:r>
        <w:t xml:space="preserve">, Theorem 11.1 supplies the estimate required in Theorem 10.1.</w:t>
      </w:r>
    </w:p>
    <w:bookmarkEnd w:id="31"/>
    <w:bookmarkStart w:id="32" w:name="X3ff3d92f7e2244fe04eeb89113a1d3fd626b29d"/>
    <w:p>
      <w:pPr>
        <w:pStyle w:val="Heading1"/>
      </w:pPr>
      <w:r>
        <w:t xml:space="preserve">12. Rotational restoration reduced to an insertion estimate</w:t>
      </w:r>
    </w:p>
    <w:p>
      <w:pPr>
        <w:pStyle w:val="FirstParagraph"/>
      </w:pPr>
      <w:r>
        <w:t xml:space="preserve">Suppose the regulator action can be written</w:t>
      </w:r>
    </w:p>
    <w:p>
      <w:pPr>
        <w:pStyle w:val="BodyText"/>
      </w:pPr>
      <m:oMathPara>
        <m:oMathParaPr>
          <m:jc m:val="center"/>
        </m:oMathParaPr>
        <m:oMath>
          <m:sSub>
            <m:e>
              <m:r>
                <m:t>S</m:t>
              </m:r>
            </m:e>
            <m:sub>
              <m:r>
                <m:t>a</m:t>
              </m:r>
            </m:sub>
          </m:sSub>
          <m:d>
            <m:dPr>
              <m:begChr m:val="("/>
              <m:endChr m:val=")"/>
              <m:sepChr m:val=""/>
              <m:grow/>
            </m:dPr>
            <m:e>
              <m:r>
                <m:t>λ</m:t>
              </m:r>
            </m:e>
          </m:d>
          <m:r>
            <m:rPr>
              <m:sty m:val="p"/>
            </m:rPr>
            <m:t>=</m:t>
          </m:r>
          <m:sSubSup>
            <m:e>
              <m:r>
                <m:t>S</m:t>
              </m:r>
            </m:e>
            <m:sub>
              <m:r>
                <m:t>a</m:t>
              </m:r>
            </m:sub>
            <m:sup>
              <m:r>
                <m:rPr>
                  <m:sty m:val="p"/>
                </m:rPr>
                <m:t>i</m:t>
              </m:r>
              <m:r>
                <m:rPr>
                  <m:sty m:val="p"/>
                </m:rPr>
                <m:t>s</m:t>
              </m:r>
              <m:r>
                <m:rPr>
                  <m:sty m:val="p"/>
                </m:rPr>
                <m:t>o</m:t>
              </m:r>
            </m:sup>
          </m:sSubSup>
          <m:r>
            <m:rPr>
              <m:sty m:val="p"/>
            </m:rPr>
            <m:t>+</m:t>
          </m:r>
          <m:r>
            <m:t>λ</m:t>
          </m:r>
          <m:sSup>
            <m:e>
              <m:r>
                <m:t>a</m:t>
              </m:r>
            </m:e>
            <m:sup>
              <m:r>
                <m:t>α</m:t>
              </m:r>
            </m:sup>
          </m:sSup>
          <m:sSub>
            <m:e>
              <m:r>
                <m:t>V</m:t>
              </m:r>
            </m:e>
            <m:sub>
              <m:r>
                <m:rPr>
                  <m:sty m:val="p"/>
                </m:rPr>
                <m:t>a</m:t>
              </m:r>
              <m:r>
                <m:rPr>
                  <m:sty m:val="p"/>
                </m:rPr>
                <m:t>n</m:t>
              </m:r>
              <m:r>
                <m:rPr>
                  <m:sty m:val="p"/>
                </m:rPr>
                <m:t>i</m:t>
              </m:r>
              <m:r>
                <m:rPr>
                  <m:sty m:val="p"/>
                </m:rPr>
                <m:t>s</m:t>
              </m:r>
              <m:r>
                <m:rPr>
                  <m:sty m:val="p"/>
                </m:rPr>
                <m:t>o</m:t>
              </m:r>
            </m:sub>
          </m:sSub>
          <m:r>
            <m:rPr>
              <m:sty m:val="p"/>
            </m:rPr>
            <m:t>,</m:t>
          </m:r>
          <m:r>
            <m:t>  </m:t>
          </m:r>
          <m:r>
            <m:t>0</m:t>
          </m:r>
          <m:r>
            <m:rPr>
              <m:sty m:val="p"/>
            </m:rPr>
            <m:t>≤</m:t>
          </m:r>
          <m:r>
            <m:t>λ</m:t>
          </m:r>
          <m:r>
            <m:rPr>
              <m:sty m:val="p"/>
            </m:rPr>
            <m:t>≤</m:t>
          </m:r>
          <m:r>
            <m:t>1</m:t>
          </m:r>
          <m:r>
            <m:rPr>
              <m:sty m:val="p"/>
            </m:rPr>
            <m:t>.</m:t>
          </m:r>
        </m:oMath>
      </m:oMathPara>
    </w:p>
    <w:p>
      <w:pPr>
        <w:pStyle w:val="FirstParagraph"/>
      </w:pPr>
      <w:r>
        <w:t xml:space="preserve">For a normalized expectation,</w:t>
      </w:r>
    </w:p>
    <w:p>
      <w:pPr>
        <w:pStyle w:val="BodyText"/>
      </w:pPr>
      <m:oMathPara>
        <m:oMathParaPr>
          <m:jc m:val="center"/>
        </m:oMathParaPr>
        <m:oMath>
          <m:f>
            <m:fPr>
              <m:type m:val="bar"/>
            </m:fPr>
            <m:num>
              <m:r>
                <m:t>d</m:t>
              </m:r>
            </m:num>
            <m:den>
              <m:r>
                <m:t>d</m:t>
              </m:r>
              <m:r>
                <m:t>λ</m:t>
              </m:r>
            </m:den>
          </m:f>
          <m:r>
            <m:rPr>
              <m:sty m:val="p"/>
            </m:rPr>
            <m:t>⟨</m:t>
          </m:r>
          <m:r>
            <m:t>O</m:t>
          </m:r>
          <m:sSub>
            <m:e>
              <m:r>
                <m:rPr>
                  <m:sty m:val="p"/>
                </m:rPr>
                <m:t>⟩</m:t>
              </m:r>
            </m:e>
            <m:sub>
              <m:r>
                <m:t>a</m:t>
              </m:r>
              <m:r>
                <m:rPr>
                  <m:sty m:val="p"/>
                </m:rPr>
                <m:t>,</m:t>
              </m:r>
              <m:r>
                <m:t>λ</m:t>
              </m:r>
            </m:sub>
          </m:sSub>
          <m:r>
            <m:rPr>
              <m:sty m:val="p"/>
            </m:rPr>
            <m:t>=</m:t>
          </m:r>
          <m:r>
            <m:rPr>
              <m:sty m:val="p"/>
            </m:rPr>
            <m:t>−</m:t>
          </m:r>
          <m:sSup>
            <m:e>
              <m:r>
                <m:t>a</m:t>
              </m:r>
            </m:e>
            <m:sup>
              <m:r>
                <m:t>α</m:t>
              </m:r>
            </m:sup>
          </m:sSup>
          <m:sSub>
            <m:e>
              <m:r>
                <m:rPr>
                  <m:sty m:val="p"/>
                </m:rPr>
                <m:t>Cov</m:t>
              </m:r>
            </m:e>
            <m:sub>
              <m:r>
                <m:t>a</m:t>
              </m:r>
              <m:r>
                <m:rPr>
                  <m:sty m:val="p"/>
                </m:rPr>
                <m:t>,</m:t>
              </m:r>
              <m:r>
                <m:t>λ</m:t>
              </m:r>
            </m:sub>
          </m:sSub>
          <m:d>
            <m:dPr>
              <m:begChr m:val="("/>
              <m:endChr m:val=")"/>
              <m:sepChr m:val=""/>
              <m:grow/>
            </m:dPr>
            <m:e>
              <m:r>
                <m:t>O</m:t>
              </m:r>
              <m:r>
                <m:rPr>
                  <m:sty m:val="p"/>
                </m:rPr>
                <m:t>,</m:t>
              </m:r>
              <m:sSub>
                <m:e>
                  <m:r>
                    <m:t>V</m:t>
                  </m:r>
                </m:e>
                <m:sub>
                  <m:r>
                    <m:rPr>
                      <m:sty m:val="p"/>
                    </m:rPr>
                    <m:t>a</m:t>
                  </m:r>
                  <m:r>
                    <m:rPr>
                      <m:sty m:val="p"/>
                    </m:rPr>
                    <m:t>n</m:t>
                  </m:r>
                  <m:r>
                    <m:rPr>
                      <m:sty m:val="p"/>
                    </m:rPr>
                    <m:t>i</m:t>
                  </m:r>
                  <m:r>
                    <m:rPr>
                      <m:sty m:val="p"/>
                    </m:rPr>
                    <m:t>s</m:t>
                  </m:r>
                  <m:r>
                    <m:rPr>
                      <m:sty m:val="p"/>
                    </m:rPr>
                    <m:t>o</m:t>
                  </m:r>
                </m:sub>
              </m:sSub>
            </m:e>
          </m:d>
          <m:r>
            <m:rPr>
              <m:sty m:val="p"/>
            </m:rPr>
            <m:t>.</m:t>
          </m:r>
        </m:oMath>
      </m:oMathPara>
    </w:p>
    <w:p>
      <w:pPr>
        <w:pStyle w:val="FirstParagraph"/>
      </w:pPr>
      <w:r>
        <w:rPr>
          <w:bCs/>
          <w:b/>
        </w:rPr>
        <w:t xml:space="preserve">Theorem 12.1.</w:t>
      </w:r>
      <w:r>
        <w:t xml:space="preserve"> </w:t>
      </w:r>
      <w:r>
        <w:t xml:space="preserve">If</w:t>
      </w:r>
    </w:p>
    <w:p>
      <w:pPr>
        <w:pStyle w:val="BodyText"/>
      </w:pPr>
      <m:oMathPara>
        <m:oMathParaPr>
          <m:jc m:val="center"/>
        </m:oMathParaPr>
        <m:oMath>
          <m:limLow>
            <m:e>
              <m:r>
                <m:rPr>
                  <m:sty m:val="p"/>
                </m:rPr>
                <m:t>sup</m:t>
              </m:r>
            </m:e>
            <m:lim>
              <m:r>
                <m:t>a</m:t>
              </m:r>
              <m:r>
                <m:rPr>
                  <m:sty m:val="p"/>
                </m:rPr>
                <m:t>,</m:t>
              </m:r>
              <m:r>
                <m:t>L</m:t>
              </m:r>
              <m:r>
                <m:rPr>
                  <m:sty m:val="p"/>
                </m:rPr>
                <m:t>,</m:t>
              </m:r>
              <m:r>
                <m:t>λ</m:t>
              </m:r>
            </m:lim>
          </m:limLow>
          <m:d>
            <m:dPr>
              <m:begChr m:val="|"/>
              <m:endChr m:val="|"/>
              <m:sepChr m:val=""/>
              <m:grow/>
            </m:dPr>
            <m:e>
              <m:sSub>
                <m:e>
                  <m:r>
                    <m:rPr>
                      <m:sty m:val="p"/>
                    </m:rPr>
                    <m:t>Cov</m:t>
                  </m:r>
                </m:e>
                <m:sub>
                  <m:r>
                    <m:t>a</m:t>
                  </m:r>
                  <m:r>
                    <m:rPr>
                      <m:sty m:val="p"/>
                    </m:rPr>
                    <m:t>,</m:t>
                  </m:r>
                  <m:r>
                    <m:t>λ</m:t>
                  </m:r>
                </m:sub>
              </m:sSub>
              <m:d>
                <m:dPr>
                  <m:begChr m:val="("/>
                  <m:endChr m:val=")"/>
                  <m:sepChr m:val=""/>
                  <m:grow/>
                </m:dPr>
                <m:e>
                  <m:r>
                    <m:t>O</m:t>
                  </m:r>
                  <m:r>
                    <m:rPr>
                      <m:sty m:val="p"/>
                    </m:rPr>
                    <m:t>,</m:t>
                  </m:r>
                  <m:sSub>
                    <m:e>
                      <m:r>
                        <m:t>V</m:t>
                      </m:r>
                    </m:e>
                    <m:sub>
                      <m:r>
                        <m:rPr>
                          <m:sty m:val="p"/>
                        </m:rPr>
                        <m:t>a</m:t>
                      </m:r>
                      <m:r>
                        <m:rPr>
                          <m:sty m:val="p"/>
                        </m:rPr>
                        <m:t>n</m:t>
                      </m:r>
                      <m:r>
                        <m:rPr>
                          <m:sty m:val="p"/>
                        </m:rPr>
                        <m:t>i</m:t>
                      </m:r>
                      <m:r>
                        <m:rPr>
                          <m:sty m:val="p"/>
                        </m:rPr>
                        <m:t>s</m:t>
                      </m:r>
                      <m:r>
                        <m:rPr>
                          <m:sty m:val="p"/>
                        </m:rPr>
                        <m:t>o</m:t>
                      </m:r>
                    </m:sub>
                  </m:sSub>
                </m:e>
              </m:d>
            </m:e>
          </m:d>
          <m:r>
            <m:rPr>
              <m:sty m:val="p"/>
            </m:rPr>
            <m:t>≤</m:t>
          </m:r>
          <m:sSub>
            <m:e>
              <m:r>
                <m:t>C</m:t>
              </m:r>
            </m:e>
            <m:sub>
              <m:r>
                <m:t>O</m:t>
              </m:r>
            </m:sub>
          </m:sSub>
          <m:r>
            <m:rPr>
              <m:sty m:val="p"/>
            </m:rPr>
            <m:t>,</m:t>
          </m:r>
        </m:oMath>
      </m:oMathPara>
    </w:p>
    <w:p>
      <w:pPr>
        <w:pStyle w:val="FirstParagraph"/>
      </w:pPr>
      <w:r>
        <w:t xml:space="preserve">then</w:t>
      </w:r>
    </w:p>
    <w:p>
      <w:pPr>
        <w:pStyle w:val="BodyText"/>
      </w:pPr>
      <m:oMathPara>
        <m:oMathParaPr>
          <m:jc m:val="center"/>
        </m:oMathParaPr>
        <m:oMath>
          <m:borderBox>
            <m:e>
              <m:d>
                <m:dPr>
                  <m:begChr m:val="|"/>
                  <m:endChr m:val="|"/>
                  <m:sepChr m:val=""/>
                  <m:grow/>
                </m:dPr>
                <m:e>
                  <m:r>
                    <m:rPr>
                      <m:sty m:val="p"/>
                    </m:rPr>
                    <m:t>⟨</m:t>
                  </m:r>
                  <m:r>
                    <m:t>O</m:t>
                  </m:r>
                  <m:sSub>
                    <m:e>
                      <m:r>
                        <m:rPr>
                          <m:sty m:val="p"/>
                        </m:rPr>
                        <m:t>⟩</m:t>
                      </m:r>
                    </m:e>
                    <m:sub>
                      <m:r>
                        <m:t>a</m:t>
                      </m:r>
                      <m:r>
                        <m:rPr>
                          <m:sty m:val="p"/>
                        </m:rPr>
                        <m:t>,</m:t>
                      </m:r>
                      <m:r>
                        <m:t>1</m:t>
                      </m:r>
                    </m:sub>
                  </m:sSub>
                  <m:r>
                    <m:rPr>
                      <m:sty m:val="p"/>
                    </m:rPr>
                    <m:t>−</m:t>
                  </m:r>
                  <m:r>
                    <m:rPr>
                      <m:sty m:val="p"/>
                    </m:rPr>
                    <m:t>⟨</m:t>
                  </m:r>
                  <m:r>
                    <m:t>O</m:t>
                  </m:r>
                  <m:sSub>
                    <m:e>
                      <m:r>
                        <m:rPr>
                          <m:sty m:val="p"/>
                        </m:rPr>
                        <m:t>⟩</m:t>
                      </m:r>
                    </m:e>
                    <m:sub>
                      <m:r>
                        <m:t>a</m:t>
                      </m:r>
                      <m:r>
                        <m:rPr>
                          <m:sty m:val="p"/>
                        </m:rPr>
                        <m:t>,</m:t>
                      </m:r>
                      <m:r>
                        <m:t>0</m:t>
                      </m:r>
                    </m:sub>
                  </m:sSub>
                </m:e>
              </m:d>
              <m:r>
                <m:rPr>
                  <m:sty m:val="p"/>
                </m:rPr>
                <m:t>≤</m:t>
              </m:r>
              <m:sSub>
                <m:e>
                  <m:r>
                    <m:t>C</m:t>
                  </m:r>
                </m:e>
                <m:sub>
                  <m:r>
                    <m:t>O</m:t>
                  </m:r>
                </m:sub>
              </m:sSub>
              <m:sSup>
                <m:e>
                  <m:r>
                    <m:t>a</m:t>
                  </m:r>
                </m:e>
                <m:sup>
                  <m:r>
                    <m:t>α</m:t>
                  </m:r>
                </m:sup>
              </m:sSup>
              <m:r>
                <m:rPr>
                  <m:sty m:val="p"/>
                </m:rPr>
                <m:t>.</m:t>
              </m:r>
            </m:e>
          </m:borderBox>
        </m:oMath>
      </m:oMathPara>
    </w:p>
    <w:p>
      <w:pPr>
        <w:pStyle w:val="FirstParagraph"/>
      </w:pPr>
      <w:r>
        <w:t xml:space="preserve">The proof is integration over</w:t>
      </w:r>
      <w:r>
        <w:t xml:space="preserve"> </w:t>
      </w:r>
      <m:oMath>
        <m:r>
          <m:t>λ</m:t>
        </m:r>
        <m:r>
          <m:rPr>
            <m:sty m:val="p"/>
          </m:rPr>
          <m:t>∈</m:t>
        </m:r>
        <m:d>
          <m:dPr>
            <m:begChr m:val="["/>
            <m:endChr m:val="]"/>
            <m:sepChr m:val=""/>
            <m:grow/>
          </m:dPr>
          <m:e>
            <m:r>
              <m:t>0</m:t>
            </m:r>
            <m:r>
              <m:rPr>
                <m:sty m:val="p"/>
              </m:rPr>
              <m:t>,</m:t>
            </m:r>
            <m:r>
              <m:t>1</m:t>
            </m:r>
          </m:e>
        </m:d>
      </m:oMath>
      <w:r>
        <w:t xml:space="preserve">. If the isotropic comparison functional is</w:t>
      </w:r>
      <w:r>
        <w:t xml:space="preserve"> </w:t>
      </w:r>
      <m:oMath>
        <m:r>
          <m:t>O</m:t>
        </m:r>
        <m:d>
          <m:dPr>
            <m:begChr m:val="("/>
            <m:endChr m:val=")"/>
            <m:sepChr m:val=""/>
            <m:grow/>
          </m:dPr>
          <m:e>
            <m:r>
              <m:t>4</m:t>
            </m:r>
          </m:e>
        </m:d>
      </m:oMath>
      <w:r>
        <w:t xml:space="preserve">-invariant and the bound holds on a dense family of rotations and Schwartz tests, continuity gives full</w:t>
      </w:r>
      <w:r>
        <w:t xml:space="preserve"> </w:t>
      </w:r>
      <m:oMath>
        <m:r>
          <m:t>O</m:t>
        </m:r>
        <m:d>
          <m:dPr>
            <m:begChr m:val="("/>
            <m:endChr m:val=")"/>
            <m:sepChr m:val=""/>
            <m:grow/>
          </m:dPr>
          <m:e>
            <m:r>
              <m:t>4</m:t>
            </m:r>
          </m:e>
        </m:d>
      </m:oMath>
      <w:r>
        <w:t xml:space="preserve"> </w:t>
      </w:r>
      <w:r>
        <w:t xml:space="preserve">invariance in the limit.</w:t>
      </w:r>
    </w:p>
    <w:bookmarkEnd w:id="32"/>
    <w:bookmarkStart w:id="33" w:name="dense-symmetry-extension"/>
    <w:p>
      <w:pPr>
        <w:pStyle w:val="Heading1"/>
      </w:pPr>
      <w:r>
        <w:t xml:space="preserve">13. Dense symmetry extension</w:t>
      </w:r>
    </w:p>
    <w:p>
      <w:pPr>
        <w:pStyle w:val="FirstParagraph"/>
      </w:pPr>
      <w:r>
        <w:rPr>
          <w:bCs/>
          <w:b/>
        </w:rPr>
        <w:t xml:space="preserve">Theorem 13.1.</w:t>
      </w:r>
      <w:r>
        <w:t xml:space="preserve"> </w:t>
      </w:r>
      <w:r>
        <w:t xml:space="preserve">Let a Lie group</w:t>
      </w:r>
      <w:r>
        <w:t xml:space="preserve"> </w:t>
      </w:r>
      <m:oMath>
        <m:r>
          <m:t>K</m:t>
        </m:r>
      </m:oMath>
      <w:r>
        <w:t xml:space="preserve"> </w:t>
      </w:r>
      <w:r>
        <w:t xml:space="preserve">act continuously on the Schwartz test-function space. If</w:t>
      </w:r>
      <w:r>
        <w:t xml:space="preserve"> </w:t>
      </w:r>
      <m:oMath>
        <m:r>
          <m:t>S</m:t>
        </m:r>
        <m:r>
          <m:rPr>
            <m:sty m:val="p"/>
          </m:rPr>
          <m:t>∈</m:t>
        </m:r>
        <m:r>
          <m:rPr>
            <m:sty m:val="p"/>
            <m:scr m:val="script"/>
          </m:rPr>
          <m:t>S</m:t>
        </m:r>
        <m:r>
          <m:rPr>
            <m:sty m:val="p"/>
          </m:rPr>
          <m:t>′</m:t>
        </m:r>
      </m:oMath>
      <w:r>
        <w:t xml:space="preserve"> </w:t>
      </w:r>
      <w:r>
        <w:t xml:space="preserve">is invariant under a dense subgroup</w:t>
      </w:r>
      <w:r>
        <w:t xml:space="preserve"> </w:t>
      </w:r>
      <m:oMath>
        <m:r>
          <m:t>D</m:t>
        </m:r>
        <m:r>
          <m:rPr>
            <m:sty m:val="p"/>
          </m:rPr>
          <m:t>⊂</m:t>
        </m:r>
        <m:r>
          <m:t>K</m:t>
        </m:r>
      </m:oMath>
      <w:r>
        <w:t xml:space="preserve">, then it is invariant under all</w:t>
      </w:r>
      <w:r>
        <w:t xml:space="preserve"> </w:t>
      </w:r>
      <m:oMath>
        <m:r>
          <m:t>K</m:t>
        </m:r>
      </m:oMath>
      <w:r>
        <w:t xml:space="preserve">.</w:t>
      </w:r>
    </w:p>
    <w:p>
      <w:pPr>
        <w:pStyle w:val="BodyText"/>
      </w:pPr>
      <w:r>
        <w:rPr>
          <w:bCs/>
          <w:b/>
        </w:rPr>
        <w:t xml:space="preserve">Proof.</w:t>
      </w:r>
      <w:r>
        <w:t xml:space="preserve"> </w:t>
      </w:r>
      <w:r>
        <w:t xml:space="preserve">For</w:t>
      </w:r>
      <w:r>
        <w:t xml:space="preserve"> </w:t>
      </w:r>
      <m:oMath>
        <m:sSub>
          <m:e>
            <m:r>
              <m:t>R</m:t>
            </m:r>
          </m:e>
          <m:sub>
            <m:r>
              <m:t>j</m:t>
            </m:r>
          </m:sub>
        </m:sSub>
        <m:r>
          <m:rPr>
            <m:sty m:val="p"/>
          </m:rPr>
          <m:t>∈</m:t>
        </m:r>
        <m:r>
          <m:t>D</m:t>
        </m:r>
      </m:oMath>
      <w:r>
        <w:t xml:space="preserve"> </w:t>
      </w:r>
      <w:r>
        <w:t xml:space="preserve">with</w:t>
      </w:r>
      <w:r>
        <w:t xml:space="preserve"> </w:t>
      </w:r>
      <m:oMath>
        <m:sSub>
          <m:e>
            <m:r>
              <m:t>R</m:t>
            </m:r>
          </m:e>
          <m:sub>
            <m:r>
              <m:t>j</m:t>
            </m:r>
          </m:sub>
        </m:sSub>
        <m:r>
          <m:rPr>
            <m:sty m:val="p"/>
          </m:rPr>
          <m:t>→</m:t>
        </m:r>
        <m:r>
          <m:t>R</m:t>
        </m:r>
      </m:oMath>
      <w:r>
        <w:t xml:space="preserve">,</w:t>
      </w:r>
    </w:p>
    <w:p>
      <w:pPr>
        <w:pStyle w:val="BodyText"/>
      </w:pPr>
      <m:oMathPara>
        <m:oMathParaPr>
          <m:jc m:val="center"/>
        </m:oMathParaPr>
        <m:oMath>
          <m:r>
            <m:t>S</m:t>
          </m:r>
          <m:d>
            <m:dPr>
              <m:begChr m:val="("/>
              <m:endChr m:val=")"/>
              <m:sepChr m:val=""/>
              <m:grow/>
            </m:dPr>
            <m:e>
              <m:r>
                <m:t>f</m:t>
              </m:r>
              <m:r>
                <m:rPr>
                  <m:sty m:val="p"/>
                </m:rPr>
                <m:t>∘</m:t>
              </m:r>
              <m:r>
                <m:t>R</m:t>
              </m:r>
            </m:e>
          </m:d>
          <m:r>
            <m:rPr>
              <m:sty m:val="p"/>
            </m:rPr>
            <m:t>=</m:t>
          </m:r>
          <m:limLow>
            <m:e>
              <m:r>
                <m:rPr>
                  <m:sty m:val="p"/>
                </m:rPr>
                <m:t>lim</m:t>
              </m:r>
            </m:e>
            <m:lim>
              <m:r>
                <m:t>j</m:t>
              </m:r>
            </m:lim>
          </m:limLow>
          <m:r>
            <m:t>S</m:t>
          </m:r>
          <m:d>
            <m:dPr>
              <m:begChr m:val="("/>
              <m:endChr m:val=")"/>
              <m:sepChr m:val=""/>
              <m:grow/>
            </m:dPr>
            <m:e>
              <m:r>
                <m:t>f</m:t>
              </m:r>
              <m:r>
                <m:rPr>
                  <m:sty m:val="p"/>
                </m:rPr>
                <m:t>∘</m:t>
              </m:r>
              <m:sSub>
                <m:e>
                  <m:r>
                    <m:t>R</m:t>
                  </m:r>
                </m:e>
                <m:sub>
                  <m:r>
                    <m:t>j</m:t>
                  </m:r>
                </m:sub>
              </m:sSub>
            </m:e>
          </m:d>
          <m:r>
            <m:rPr>
              <m:sty m:val="p"/>
            </m:rPr>
            <m:t>=</m:t>
          </m:r>
          <m:r>
            <m:t>S</m:t>
          </m:r>
          <m:d>
            <m:dPr>
              <m:begChr m:val="("/>
              <m:endChr m:val=")"/>
              <m:sepChr m:val=""/>
              <m:grow/>
            </m:dPr>
            <m:e>
              <m:r>
                <m:t>f</m:t>
              </m:r>
            </m:e>
          </m:d>
          <m:r>
            <m:rPr>
              <m:sty m:val="p"/>
            </m:rPr>
            <m:t>.</m:t>
          </m:r>
        </m:oMath>
      </m:oMathPara>
    </w:p>
    <w:p>
      <w:pPr>
        <w:pStyle w:val="FirstParagraph"/>
      </w:pPr>
      <m:oMath>
        <m:r>
          <m:rPr>
            <m:sty m:val="p"/>
          </m:rPr>
          <m:t>▫</m:t>
        </m:r>
      </m:oMath>
    </w:p>
    <w:p>
      <w:pPr>
        <w:pStyle w:val="BodyText"/>
      </w:pPr>
      <w:r>
        <w:t xml:space="preserve">This closes full translations once dyadic translations are dense and the limiting distributions have the continuity already supplied by temperedness. Combined with Theorem 12.1 it gives full Euclidean covariance.</w:t>
      </w:r>
    </w:p>
    <w:bookmarkEnd w:id="33"/>
    <w:bookmarkStart w:id="34" w:name="X592258d101b9299f4f63374e404ec077c18b60d"/>
    <w:p>
      <w:pPr>
        <w:pStyle w:val="Heading1"/>
      </w:pPr>
      <w:r>
        <w:t xml:space="preserve">14. Strong-coupling endpoint with explicit SU(3) normalization</w:t>
      </w:r>
    </w:p>
    <w:p>
      <w:pPr>
        <w:pStyle w:val="FirstParagraph"/>
      </w:pPr>
      <w:r>
        <w:t xml:space="preserve">Shen–Zhu–Zhu use action coefficient</w:t>
      </w:r>
    </w:p>
    <w:p>
      <w:pPr>
        <w:pStyle w:val="BodyText"/>
      </w:pPr>
      <m:oMathPara>
        <m:oMathParaPr>
          <m:jc m:val="center"/>
        </m:oMathParaPr>
        <m:oMath>
          <m:r>
            <m:t>S</m:t>
          </m:r>
          <m:r>
            <m:rPr>
              <m:sty m:val="p"/>
            </m:rPr>
            <m:t>=</m:t>
          </m:r>
          <m:r>
            <m:t>N</m:t>
          </m:r>
          <m:r>
            <m:t>β</m:t>
          </m:r>
          <m:r>
            <m:rPr>
              <m:sty m:val="p"/>
            </m:rPr>
            <m:t>Re</m:t>
          </m:r>
          <m:nary>
            <m:naryPr>
              <m:chr m:val="∑"/>
              <m:limLoc m:val="undOvr"/>
              <m:subHide m:val="off"/>
              <m:supHide m:val="on"/>
            </m:naryPr>
            <m:sub>
              <m:r>
                <m:t>p</m:t>
              </m:r>
            </m:sub>
            <m:sup>
              <m:r>
                <m:t>​</m:t>
              </m:r>
            </m:sup>
            <m:e>
              <m:r>
                <m:rPr>
                  <m:sty m:val="p"/>
                </m:rPr>
                <m:t>Tr</m:t>
              </m:r>
            </m:e>
          </m:nary>
          <m:d>
            <m:dPr>
              <m:begChr m:val="("/>
              <m:endChr m:val=")"/>
              <m:sepChr m:val=""/>
              <m:grow/>
            </m:dPr>
            <m:e>
              <m:sSub>
                <m:e>
                  <m:r>
                    <m:t>Q</m:t>
                  </m:r>
                </m:e>
                <m:sub>
                  <m:r>
                    <m:t>p</m:t>
                  </m:r>
                </m:sub>
              </m:sSub>
            </m:e>
          </m:d>
        </m:oMath>
      </m:oMathPara>
    </w:p>
    <w:p>
      <w:pPr>
        <w:pStyle w:val="FirstParagraph"/>
      </w:pPr>
      <w:r>
        <w:t xml:space="preserve">and prove their strong-coupling results for</w:t>
      </w:r>
      <w:r>
        <w:t xml:space="preserve"> </w:t>
      </w:r>
      <m:oMath>
        <m:r>
          <m:t>S</m:t>
        </m:r>
        <m:r>
          <m:t>U</m:t>
        </m:r>
        <m:d>
          <m:dPr>
            <m:begChr m:val="("/>
            <m:endChr m:val=")"/>
            <m:sepChr m:val=""/>
            <m:grow/>
          </m:dPr>
          <m:e>
            <m:r>
              <m:t>N</m:t>
            </m:r>
          </m:e>
        </m:d>
      </m:oMath>
      <w:r>
        <w:t xml:space="preserve"> </w:t>
      </w:r>
      <w:r>
        <w:t xml:space="preserve">when</w:t>
      </w:r>
    </w:p>
    <w:p>
      <w:pPr>
        <w:pStyle w:val="BodyText"/>
      </w:pPr>
      <m:oMathPara>
        <m:oMathParaPr>
          <m:jc m:val="center"/>
        </m:oMathParaPr>
        <m:oMath>
          <m:d>
            <m:dPr>
              <m:begChr m:val="|"/>
              <m:endChr m:val="|"/>
              <m:sepChr m:val=""/>
              <m:grow/>
            </m:dPr>
            <m:e>
              <m:r>
                <m:t>β</m:t>
              </m:r>
            </m:e>
          </m:d>
          <m:r>
            <m:rPr>
              <m:sty m:val="p"/>
            </m:rPr>
            <m:t>&lt;</m:t>
          </m:r>
          <m:f>
            <m:fPr>
              <m:type m:val="bar"/>
            </m:fPr>
            <m:num>
              <m:r>
                <m:t>1</m:t>
              </m:r>
            </m:num>
            <m:den>
              <m:r>
                <m:t>16</m:t>
              </m:r>
              <m:d>
                <m:dPr>
                  <m:begChr m:val="("/>
                  <m:endChr m:val=")"/>
                  <m:sepChr m:val=""/>
                  <m:grow/>
                </m:dPr>
                <m:e>
                  <m:r>
                    <m:t>d</m:t>
                  </m:r>
                  <m:r>
                    <m:rPr>
                      <m:sty m:val="p"/>
                    </m:rPr>
                    <m:t>−</m:t>
                  </m:r>
                  <m:r>
                    <m:t>1</m:t>
                  </m:r>
                </m:e>
              </m:d>
            </m:den>
          </m:f>
          <m:r>
            <m:rPr>
              <m:sty m:val="p"/>
            </m:rPr>
            <m:t>.</m:t>
          </m:r>
        </m:oMath>
      </m:oMathPara>
    </w:p>
    <w:p>
      <w:pPr>
        <w:pStyle w:val="FirstParagraph"/>
      </w:pPr>
      <w:r>
        <w:t xml:space="preserve">Matching the standard Wilson coefficient</w:t>
      </w:r>
    </w:p>
    <w:p>
      <w:pPr>
        <w:pStyle w:val="BodyText"/>
      </w:pPr>
      <m:oMathPara>
        <m:oMathParaPr>
          <m:jc m:val="center"/>
        </m:oMathParaPr>
        <m:oMath>
          <m:f>
            <m:fPr>
              <m:type m:val="bar"/>
            </m:fPr>
            <m:num>
              <m:sSub>
                <m:e>
                  <m:r>
                    <m:t>β</m:t>
                  </m:r>
                </m:e>
                <m:sub>
                  <m:r>
                    <m:t>W</m:t>
                  </m:r>
                </m:sub>
              </m:sSub>
            </m:num>
            <m:den>
              <m:r>
                <m:t>N</m:t>
              </m:r>
            </m:den>
          </m:f>
          <m:r>
            <m:rPr>
              <m:sty m:val="p"/>
            </m:rPr>
            <m:t>=</m:t>
          </m:r>
          <m:f>
            <m:fPr>
              <m:type m:val="bar"/>
            </m:fPr>
            <m:num>
              <m:r>
                <m:t>2</m:t>
              </m:r>
            </m:num>
            <m:den>
              <m:sSup>
                <m:e>
                  <m:r>
                    <m:t>g</m:t>
                  </m:r>
                </m:e>
                <m:sup>
                  <m:r>
                    <m:t>2</m:t>
                  </m:r>
                </m:sup>
              </m:sSup>
            </m:den>
          </m:f>
        </m:oMath>
      </m:oMathPara>
    </w:p>
    <w:p>
      <w:pPr>
        <w:pStyle w:val="FirstParagraph"/>
      </w:pPr>
      <w:r>
        <w:t xml:space="preserve">to</w:t>
      </w:r>
      <w:r>
        <w:t xml:space="preserve"> </w:t>
      </w:r>
      <m:oMath>
        <m:r>
          <m:t>N</m:t>
        </m:r>
        <m:r>
          <m:t>β</m:t>
        </m:r>
      </m:oMath>
      <w:r>
        <w:t xml:space="preserve"> </w:t>
      </w:r>
      <w:r>
        <w:t xml:space="preserve">gives</w:t>
      </w:r>
    </w:p>
    <w:p>
      <w:pPr>
        <w:pStyle w:val="BodyText"/>
      </w:pPr>
      <m:oMathPara>
        <m:oMathParaPr>
          <m:jc m:val="center"/>
        </m:oMathParaPr>
        <m:oMath>
          <m:borderBox>
            <m:e>
              <m:r>
                <m:t>β</m:t>
              </m:r>
              <m:r>
                <m:rPr>
                  <m:sty m:val="p"/>
                </m:rPr>
                <m:t>=</m:t>
              </m:r>
              <m:f>
                <m:fPr>
                  <m:type m:val="bar"/>
                </m:fPr>
                <m:num>
                  <m:r>
                    <m:t>2</m:t>
                  </m:r>
                </m:num>
                <m:den>
                  <m:r>
                    <m:t>N</m:t>
                  </m:r>
                  <m:sSup>
                    <m:e>
                      <m:r>
                        <m:t>g</m:t>
                      </m:r>
                    </m:e>
                    <m:sup>
                      <m:r>
                        <m:t>2</m:t>
                      </m:r>
                    </m:sup>
                  </m:sSup>
                </m:den>
              </m:f>
              <m:r>
                <m:rPr>
                  <m:sty m:val="p"/>
                </m:rPr>
                <m:t>.</m:t>
              </m:r>
            </m:e>
          </m:borderBox>
        </m:oMath>
      </m:oMathPara>
    </w:p>
    <w:p>
      <w:pPr>
        <w:pStyle w:val="FirstParagraph"/>
      </w:pPr>
      <w:r>
        <w:t xml:space="preserve">For</w:t>
      </w:r>
      <w:r>
        <w:t xml:space="preserve"> </w:t>
      </w:r>
      <m:oMath>
        <m:r>
          <m:t>d</m:t>
        </m:r>
        <m:r>
          <m:rPr>
            <m:sty m:val="p"/>
          </m:rPr>
          <m:t>=</m:t>
        </m:r>
        <m:r>
          <m:t>4</m:t>
        </m:r>
      </m:oMath>
      <w:r>
        <w:t xml:space="preserve">,</w:t>
      </w:r>
      <w:r>
        <w:t xml:space="preserve"> </w:t>
      </w:r>
      <m:oMath>
        <m:r>
          <m:t>N</m:t>
        </m:r>
        <m:r>
          <m:rPr>
            <m:sty m:val="p"/>
          </m:rPr>
          <m:t>=</m:t>
        </m:r>
        <m:r>
          <m:t>3</m:t>
        </m:r>
      </m:oMath>
      <w:r>
        <w:t xml:space="preserve">,</w:t>
      </w:r>
    </w:p>
    <w:p>
      <w:pPr>
        <w:pStyle w:val="BodyText"/>
      </w:pPr>
      <m:oMathPara>
        <m:oMathParaPr>
          <m:jc m:val="center"/>
        </m:oMathParaPr>
        <m:oMath>
          <m:f>
            <m:fPr>
              <m:type m:val="bar"/>
            </m:fPr>
            <m:num>
              <m:r>
                <m:t>2</m:t>
              </m:r>
            </m:num>
            <m:den>
              <m:r>
                <m:t>3</m:t>
              </m:r>
              <m:sSup>
                <m:e>
                  <m:r>
                    <m:t>g</m:t>
                  </m:r>
                </m:e>
                <m:sup>
                  <m:r>
                    <m:t>2</m:t>
                  </m:r>
                </m:sup>
              </m:sSup>
            </m:den>
          </m:f>
          <m:r>
            <m:rPr>
              <m:sty m:val="p"/>
            </m:rPr>
            <m:t>&lt;</m:t>
          </m:r>
          <m:f>
            <m:fPr>
              <m:type m:val="bar"/>
            </m:fPr>
            <m:num>
              <m:r>
                <m:t>1</m:t>
              </m:r>
            </m:num>
            <m:den>
              <m:r>
                <m:t>48</m:t>
              </m:r>
            </m:den>
          </m:f>
          <m:r>
            <m:rPr>
              <m:sty m:val="p"/>
            </m:rPr>
            <m:t>⇔</m:t>
          </m:r>
          <m:borderBox>
            <m:e>
              <m:sSup>
                <m:e>
                  <m:r>
                    <m:t>g</m:t>
                  </m:r>
                </m:e>
                <m:sup>
                  <m:r>
                    <m:t>2</m:t>
                  </m:r>
                </m:sup>
              </m:sSup>
              <m:r>
                <m:rPr>
                  <m:sty m:val="p"/>
                </m:rPr>
                <m:t>&gt;</m:t>
              </m:r>
              <m:r>
                <m:t>32</m:t>
              </m:r>
            </m:e>
          </m:borderBox>
          <m:r>
            <m:rPr>
              <m:sty m:val="p"/>
            </m:rPr>
            <m:t>.</m:t>
          </m:r>
        </m:oMath>
      </m:oMathPara>
    </w:p>
    <w:p>
      <w:pPr>
        <w:pStyle w:val="FirstParagraph"/>
      </w:pPr>
      <w:r>
        <w:t xml:space="preserve">Hence</w:t>
      </w:r>
    </w:p>
    <w:p>
      <w:pPr>
        <w:pStyle w:val="BodyText"/>
      </w:pPr>
      <m:oMathPara>
        <m:oMathParaPr>
          <m:jc m:val="center"/>
        </m:oMathParaPr>
        <m:oMath>
          <m:r>
            <m:t>g</m:t>
          </m:r>
          <m:r>
            <m:rPr>
              <m:sty m:val="p"/>
            </m:rPr>
            <m:t>&gt;</m:t>
          </m:r>
          <m:rad>
            <m:radPr>
              <m:degHide m:val="on"/>
            </m:radPr>
            <m:deg/>
            <m:e>
              <m:r>
                <m:t>32</m:t>
              </m:r>
            </m:e>
          </m:rad>
          <m:r>
            <m:rPr>
              <m:sty m:val="p"/>
            </m:rPr>
            <m:t>=</m:t>
          </m:r>
          <m:r>
            <m:t>5.65685424949238</m:t>
          </m:r>
          <m:r>
            <m:rPr>
              <m:sty m:val="p"/>
            </m:rPr>
            <m:t>…</m:t>
          </m:r>
          <m:r>
            <m:rPr>
              <m:sty m:val="p"/>
            </m:rPr>
            <m:t>.</m:t>
          </m:r>
        </m:oMath>
      </m:oMathPara>
    </w:p>
    <w:p>
      <w:pPr>
        <w:pStyle w:val="FirstParagraph"/>
      </w:pPr>
      <w:r>
        <w:t xml:space="preserve">Their explicit SU(N) Bakry–Émery margin can be written</w:t>
      </w:r>
    </w:p>
    <w:p>
      <w:pPr>
        <w:pStyle w:val="BodyText"/>
      </w:pPr>
      <m:oMathPara>
        <m:oMathParaPr>
          <m:jc m:val="center"/>
        </m:oMathParaPr>
        <m:oMath>
          <m:sSub>
            <m:e>
              <m:r>
                <m:t>K</m:t>
              </m:r>
            </m:e>
            <m:sub>
              <m:r>
                <m:t>S</m:t>
              </m:r>
            </m:sub>
          </m:sSub>
          <m:r>
            <m:rPr>
              <m:sty m:val="p"/>
            </m:rPr>
            <m:t>=</m:t>
          </m:r>
          <m:f>
            <m:fPr>
              <m:type m:val="bar"/>
            </m:fPr>
            <m:num>
              <m:r>
                <m:t>N</m:t>
              </m:r>
            </m:num>
            <m:den>
              <m:r>
                <m:t>2</m:t>
              </m:r>
            </m:den>
          </m:f>
          <m:r>
            <m:rPr>
              <m:sty m:val="p"/>
            </m:rPr>
            <m:t>−</m:t>
          </m:r>
          <m:r>
            <m:t>8</m:t>
          </m:r>
          <m:r>
            <m:t>N</m:t>
          </m:r>
          <m:d>
            <m:dPr>
              <m:begChr m:val="|"/>
              <m:endChr m:val="|"/>
              <m:sepChr m:val=""/>
              <m:grow/>
            </m:dPr>
            <m:e>
              <m:r>
                <m:t>β</m:t>
              </m:r>
            </m:e>
          </m:d>
          <m:d>
            <m:dPr>
              <m:begChr m:val="("/>
              <m:endChr m:val=")"/>
              <m:sepChr m:val=""/>
              <m:grow/>
            </m:dPr>
            <m:e>
              <m:r>
                <m:t>d</m:t>
              </m:r>
              <m:r>
                <m:rPr>
                  <m:sty m:val="p"/>
                </m:rPr>
                <m:t>−</m:t>
              </m:r>
              <m:r>
                <m:t>1</m:t>
              </m:r>
            </m:e>
          </m:d>
          <m:r>
            <m:rPr>
              <m:sty m:val="p"/>
            </m:rPr>
            <m:t>.</m:t>
          </m:r>
        </m:oMath>
      </m:oMathPara>
    </w:p>
    <w:p>
      <w:pPr>
        <w:pStyle w:val="FirstParagraph"/>
      </w:pPr>
      <w:r>
        <w:t xml:space="preserve">At</w:t>
      </w:r>
      <w:r>
        <w:t xml:space="preserve"> </w:t>
      </w:r>
      <m:oMath>
        <m:r>
          <m:t>S</m:t>
        </m:r>
        <m:r>
          <m:t>U</m:t>
        </m:r>
        <m:d>
          <m:dPr>
            <m:begChr m:val="("/>
            <m:endChr m:val=")"/>
            <m:sepChr m:val=""/>
            <m:grow/>
          </m:dPr>
          <m:e>
            <m:r>
              <m:t>3</m:t>
            </m:r>
          </m:e>
        </m:d>
      </m:oMath>
      <w:r>
        <w:t xml:space="preserve">,</w:t>
      </w:r>
      <w:r>
        <w:t xml:space="preserve"> </w:t>
      </w:r>
      <m:oMath>
        <m:r>
          <m:t>d</m:t>
        </m:r>
        <m:r>
          <m:rPr>
            <m:sty m:val="p"/>
          </m:rPr>
          <m:t>=</m:t>
        </m:r>
        <m:r>
          <m:t>4</m:t>
        </m:r>
      </m:oMath>
      <w:r>
        <w:t xml:space="preserve">,</w:t>
      </w:r>
      <w:r>
        <w:t xml:space="preserve"> </w:t>
      </w:r>
      <m:oMath>
        <m:r>
          <m:t>g</m:t>
        </m:r>
        <m:r>
          <m:rPr>
            <m:sty m:val="p"/>
          </m:rPr>
          <m:t>=</m:t>
        </m:r>
        <m:r>
          <m:t>8</m:t>
        </m:r>
      </m:oMath>
      <w:r>
        <w:t xml:space="preserve">,</w:t>
      </w:r>
    </w:p>
    <w:p>
      <w:pPr>
        <w:pStyle w:val="BodyText"/>
      </w:pPr>
      <m:oMathPara>
        <m:oMathParaPr>
          <m:jc m:val="center"/>
        </m:oMathParaPr>
        <m:oMath>
          <m:r>
            <m:t>β</m:t>
          </m:r>
          <m:r>
            <m:rPr>
              <m:sty m:val="p"/>
            </m:rPr>
            <m:t>=</m:t>
          </m:r>
          <m:f>
            <m:fPr>
              <m:type m:val="bar"/>
            </m:fPr>
            <m:num>
              <m:r>
                <m:t>1</m:t>
              </m:r>
            </m:num>
            <m:den>
              <m:r>
                <m:t>96</m:t>
              </m:r>
            </m:den>
          </m:f>
          <m:r>
            <m:rPr>
              <m:sty m:val="p"/>
            </m:rPr>
            <m:t>,</m:t>
          </m:r>
          <m:r>
            <m:t>  </m:t>
          </m:r>
          <m:borderBox>
            <m:e>
              <m:sSub>
                <m:e>
                  <m:r>
                    <m:t>K</m:t>
                  </m:r>
                </m:e>
                <m:sub>
                  <m:r>
                    <m:t>S</m:t>
                  </m:r>
                </m:sub>
              </m:sSub>
              <m:r>
                <m:rPr>
                  <m:sty m:val="p"/>
                </m:rPr>
                <m:t>=</m:t>
              </m:r>
              <m:r>
                <m:t>0.75</m:t>
              </m:r>
              <m:r>
                <m:rPr>
                  <m:sty m:val="p"/>
                </m:rPr>
                <m:t>.</m:t>
              </m:r>
            </m:e>
          </m:borderBox>
        </m:oMath>
      </m:oMathPara>
    </w:p>
    <w:p>
      <w:pPr>
        <w:pStyle w:val="FirstParagraph"/>
      </w:pPr>
      <w:r>
        <w:rPr>
          <w:bCs/>
          <w:b/>
        </w:rPr>
        <w:t xml:space="preserve">Theorem 14.1 (terminal Hessian stability).</w:t>
      </w:r>
      <w:r>
        <w:t xml:space="preserve"> </w:t>
      </w:r>
      <w:r>
        <w:t xml:space="preserve">If an additional effective interaction</w:t>
      </w:r>
      <w:r>
        <w:t xml:space="preserve"> </w:t>
      </w:r>
      <m:oMath>
        <m:r>
          <m:t>Φ</m:t>
        </m:r>
      </m:oMath>
      <w:r>
        <w:t xml:space="preserve"> </w:t>
      </w:r>
      <w:r>
        <w:t xml:space="preserve">satisfies</w:t>
      </w:r>
    </w:p>
    <w:p>
      <w:pPr>
        <w:pStyle w:val="BodyText"/>
      </w:pPr>
      <m:oMathPara>
        <m:oMathParaPr>
          <m:jc m:val="center"/>
        </m:oMathParaPr>
        <m:oMath>
          <m:sSup>
            <m:e>
              <m:r>
                <m:rPr>
                  <m:sty m:val="p"/>
                </m:rPr>
                <m:t>∇</m:t>
              </m:r>
            </m:e>
            <m:sup>
              <m:r>
                <m:t>2</m:t>
              </m:r>
            </m:sup>
          </m:sSup>
          <m:r>
            <m:t>Φ</m:t>
          </m:r>
          <m:r>
            <m:rPr>
              <m:sty m:val="p"/>
            </m:rPr>
            <m:t>≥</m:t>
          </m:r>
          <m:r>
            <m:rPr>
              <m:sty m:val="p"/>
            </m:rPr>
            <m:t>−</m:t>
          </m:r>
          <m:r>
            <m:t>ϵ</m:t>
          </m:r>
          <m:r>
            <m:t>I</m:t>
          </m:r>
          <m:r>
            <m:rPr>
              <m:sty m:val="p"/>
            </m:rPr>
            <m:t>,</m:t>
          </m:r>
          <m:r>
            <m:t>  </m:t>
          </m:r>
          <m:r>
            <m:t>ϵ</m:t>
          </m:r>
          <m:r>
            <m:rPr>
              <m:sty m:val="p"/>
            </m:rPr>
            <m:t>&lt;</m:t>
          </m:r>
          <m:sSub>
            <m:e>
              <m:r>
                <m:t>K</m:t>
              </m:r>
            </m:e>
            <m:sub>
              <m:r>
                <m:t>S</m:t>
              </m:r>
            </m:sub>
          </m:sSub>
          <m:r>
            <m:rPr>
              <m:sty m:val="p"/>
            </m:rPr>
            <m:t>,</m:t>
          </m:r>
        </m:oMath>
      </m:oMathPara>
    </w:p>
    <w:p>
      <w:pPr>
        <w:pStyle w:val="FirstParagraph"/>
      </w:pPr>
      <w:r>
        <w:t xml:space="preserve">uniformly in the volume, then the perturbed action has Bakry–Émery curvature at least</w:t>
      </w:r>
      <w:r>
        <w:t xml:space="preserve"> </w:t>
      </w:r>
      <m:oMath>
        <m:sSub>
          <m:e>
            <m:r>
              <m:t>K</m:t>
            </m:r>
          </m:e>
          <m:sub>
            <m:r>
              <m:t>S</m:t>
            </m:r>
          </m:sub>
        </m:sSub>
        <m:r>
          <m:rPr>
            <m:sty m:val="p"/>
          </m:rPr>
          <m:t>−</m:t>
        </m:r>
        <m:r>
          <m:t>ϵ</m:t>
        </m:r>
        <m:r>
          <m:rPr>
            <m:sty m:val="p"/>
          </m:rPr>
          <m:t>&gt;</m:t>
        </m:r>
        <m:r>
          <m:t>0</m:t>
        </m:r>
      </m:oMath>
      <w:r>
        <w:t xml:space="preserve">. The corresponding Poincaré/log-Sobolev margin therefore remains positive and volume independent.</w:t>
      </w:r>
    </w:p>
    <w:p>
      <w:pPr>
        <w:pStyle w:val="BodyText"/>
      </w:pPr>
      <w:r>
        <w:t xml:space="preserve">For the canonical</w:t>
      </w:r>
      <w:r>
        <w:t xml:space="preserve"> </w:t>
      </w:r>
      <m:oMath>
        <m:r>
          <m:t>S</m:t>
        </m:r>
        <m:r>
          <m:t>U</m:t>
        </m:r>
        <m:d>
          <m:dPr>
            <m:begChr m:val="("/>
            <m:endChr m:val=")"/>
            <m:sepChr m:val=""/>
            <m:grow/>
          </m:dPr>
          <m:e>
            <m:r>
              <m:t>3</m:t>
            </m:r>
          </m:e>
        </m:d>
        <m:r>
          <m:rPr>
            <m:sty m:val="p"/>
          </m:rPr>
          <m:t>,</m:t>
        </m:r>
        <m:r>
          <m:t>g</m:t>
        </m:r>
        <m:r>
          <m:rPr>
            <m:sty m:val="p"/>
          </m:rPr>
          <m:t>=</m:t>
        </m:r>
        <m:r>
          <m:t>8</m:t>
        </m:r>
      </m:oMath>
      <w:r>
        <w:t xml:space="preserve"> </w:t>
      </w:r>
      <w:r>
        <w:t xml:space="preserve">endpoint, the available Hessian budget is</w:t>
      </w:r>
    </w:p>
    <w:p>
      <w:pPr>
        <w:pStyle w:val="BodyText"/>
      </w:pPr>
      <m:oMathPara>
        <m:oMathParaPr>
          <m:jc m:val="center"/>
        </m:oMathParaPr>
        <m:oMath>
          <m:borderBox>
            <m:e>
              <m:r>
                <m:t>ϵ</m:t>
              </m:r>
              <m:r>
                <m:rPr>
                  <m:sty m:val="p"/>
                </m:rPr>
                <m:t>&lt;</m:t>
              </m:r>
              <m:r>
                <m:t>0.75</m:t>
              </m:r>
              <m:r>
                <m:rPr>
                  <m:sty m:val="p"/>
                </m:rPr>
                <m:t>.</m:t>
              </m:r>
            </m:e>
          </m:borderBox>
        </m:oMath>
      </m:oMathPara>
    </w:p>
    <w:bookmarkEnd w:id="34"/>
    <w:bookmarkStart w:id="35" w:name="exact-rg-crossing-lemma"/>
    <w:p>
      <w:pPr>
        <w:pStyle w:val="Heading1"/>
      </w:pPr>
      <w:r>
        <w:t xml:space="preserve">15. Exact RG crossing lemma</w:t>
      </w:r>
    </w:p>
    <w:p>
      <w:pPr>
        <w:pStyle w:val="FirstParagraph"/>
      </w:pPr>
      <w:r>
        <w:t xml:space="preserve">Let</w:t>
      </w:r>
    </w:p>
    <w:p>
      <w:pPr>
        <w:pStyle w:val="BodyText"/>
      </w:pPr>
      <m:oMathPara>
        <m:oMathParaPr>
          <m:jc m:val="center"/>
        </m:oMathParaPr>
        <m:oMath>
          <m:sSub>
            <m:e>
              <m:r>
                <m:t>q</m:t>
              </m:r>
            </m:e>
            <m:sub>
              <m:r>
                <m:t>k</m:t>
              </m:r>
            </m:sub>
          </m:sSub>
          <m:r>
            <m:rPr>
              <m:sty m:val="p"/>
            </m:rPr>
            <m:t>=</m:t>
          </m:r>
          <m:sSubSup>
            <m:e>
              <m:r>
                <m:t>g</m:t>
              </m:r>
            </m:e>
            <m:sub>
              <m:r>
                <m:t>k</m:t>
              </m:r>
            </m:sub>
            <m:sup>
              <m:r>
                <m:rPr>
                  <m:sty m:val="p"/>
                </m:rPr>
                <m:t>−</m:t>
              </m:r>
              <m:r>
                <m:t>2</m:t>
              </m:r>
            </m:sup>
          </m:sSubSup>
          <m:r>
            <m:rPr>
              <m:sty m:val="p"/>
            </m:rPr>
            <m:t>.</m:t>
          </m:r>
        </m:oMath>
      </m:oMathPara>
    </w:p>
    <w:p>
      <w:pPr>
        <w:pStyle w:val="FirstParagraph"/>
      </w:pPr>
      <w:r>
        <w:rPr>
          <w:bCs/>
          <w:b/>
        </w:rPr>
        <w:t xml:space="preserve">Theorem 15.1.</w:t>
      </w:r>
      <w:r>
        <w:t xml:space="preserve"> </w:t>
      </w:r>
      <w:r>
        <w:t xml:space="preserve">If on the compact intermediate-coupling interval below</w:t>
      </w:r>
      <w:r>
        <w:t xml:space="preserve"> </w:t>
      </w:r>
      <m:oMath>
        <m:sSub>
          <m:e>
            <m:r>
              <m:t>g</m:t>
            </m:r>
          </m:e>
          <m:sub>
            <m:r>
              <m:rPr>
                <m:sty m:val="p"/>
              </m:rPr>
              <m:t>*</m:t>
            </m:r>
          </m:sub>
        </m:sSub>
      </m:oMath>
      <w:r>
        <w:t xml:space="preserve">,</w:t>
      </w:r>
    </w:p>
    <w:p>
      <w:pPr>
        <w:pStyle w:val="BodyText"/>
      </w:pPr>
      <m:oMathPara>
        <m:oMathParaPr>
          <m:jc m:val="center"/>
        </m:oMathParaPr>
        <m:oMath>
          <m:borderBox>
            <m:e>
              <m:sSub>
                <m:e>
                  <m:r>
                    <m:t>q</m:t>
                  </m:r>
                </m:e>
                <m:sub>
                  <m:r>
                    <m:t>k</m:t>
                  </m:r>
                  <m:r>
                    <m:rPr>
                      <m:sty m:val="p"/>
                    </m:rPr>
                    <m:t>+</m:t>
                  </m:r>
                  <m:r>
                    <m:t>1</m:t>
                  </m:r>
                </m:sub>
              </m:sSub>
              <m:r>
                <m:rPr>
                  <m:sty m:val="p"/>
                </m:rPr>
                <m:t>≤</m:t>
              </m:r>
              <m:sSub>
                <m:e>
                  <m:r>
                    <m:t>q</m:t>
                  </m:r>
                </m:e>
                <m:sub>
                  <m:r>
                    <m:t>k</m:t>
                  </m:r>
                </m:sub>
              </m:sSub>
              <m:r>
                <m:rPr>
                  <m:sty m:val="p"/>
                </m:rPr>
                <m:t>−</m:t>
              </m:r>
              <m:sSub>
                <m:e>
                  <m:r>
                    <m:t>c</m:t>
                  </m:r>
                </m:e>
                <m:sub>
                  <m:r>
                    <m:t>G</m:t>
                  </m:r>
                </m:sub>
              </m:sSub>
              <m:r>
                <m:rPr>
                  <m:sty m:val="p"/>
                </m:rPr>
                <m:t>,</m:t>
              </m:r>
              <m:r>
                <m:t>  </m:t>
              </m:r>
              <m:sSub>
                <m:e>
                  <m:r>
                    <m:t>c</m:t>
                  </m:r>
                </m:e>
                <m:sub>
                  <m:r>
                    <m:t>G</m:t>
                  </m:r>
                </m:sub>
              </m:sSub>
              <m:r>
                <m:rPr>
                  <m:sty m:val="p"/>
                </m:rPr>
                <m:t>&gt;</m:t>
              </m:r>
              <m:r>
                <m:t>0</m:t>
              </m:r>
              <m:r>
                <m:rPr>
                  <m:sty m:val="p"/>
                </m:rPr>
                <m:t>,</m:t>
              </m:r>
            </m:e>
          </m:borderBox>
        </m:oMath>
      </m:oMathPara>
    </w:p>
    <w:p>
      <w:pPr>
        <w:pStyle w:val="FirstParagraph"/>
      </w:pPr>
      <w:r>
        <w:t xml:space="preserve">then the flow reaches</w:t>
      </w:r>
      <w:r>
        <w:t xml:space="preserve"> </w:t>
      </w:r>
      <m:oMath>
        <m:sSub>
          <m:e>
            <m:r>
              <m:t>g</m:t>
            </m:r>
          </m:e>
          <m:sub>
            <m:r>
              <m:t>k</m:t>
            </m:r>
          </m:sub>
        </m:sSub>
        <m:r>
          <m:rPr>
            <m:sty m:val="p"/>
          </m:rPr>
          <m:t>≥</m:t>
        </m:r>
        <m:sSub>
          <m:e>
            <m:r>
              <m:t>g</m:t>
            </m:r>
          </m:e>
          <m:sub>
            <m:r>
              <m:rPr>
                <m:sty m:val="p"/>
              </m:rPr>
              <m:t>*</m:t>
            </m:r>
          </m:sub>
        </m:sSub>
      </m:oMath>
      <w:r>
        <w:t xml:space="preserve"> </w:t>
      </w:r>
      <w:r>
        <w:t xml:space="preserve">after at most</w:t>
      </w:r>
    </w:p>
    <w:p>
      <w:pPr>
        <w:pStyle w:val="BodyText"/>
      </w:pPr>
      <m:oMathPara>
        <m:oMathParaPr>
          <m:jc m:val="center"/>
        </m:oMathParaPr>
        <m:oMath>
          <m:borderBox>
            <m:e>
              <m:sSub>
                <m:e>
                  <m:r>
                    <m:t>N</m:t>
                  </m:r>
                </m:e>
                <m:sub>
                  <m:r>
                    <m:rPr>
                      <m:sty m:val="p"/>
                    </m:rPr>
                    <m:t>*</m:t>
                  </m:r>
                </m:sub>
              </m:sSub>
              <m:r>
                <m:rPr>
                  <m:sty m:val="p"/>
                </m:rPr>
                <m:t>=</m:t>
              </m:r>
              <m:d>
                <m:dPr>
                  <m:begChr m:val="⌈"/>
                  <m:endChr m:val="⌉"/>
                  <m:sepChr m:val=""/>
                  <m:grow/>
                </m:dPr>
                <m:e>
                  <m:f>
                    <m:fPr>
                      <m:type m:val="bar"/>
                    </m:fPr>
                    <m:num>
                      <m:r>
                        <m:rPr>
                          <m:sty m:val="p"/>
                        </m:rPr>
                        <m:t>max</m:t>
                      </m:r>
                      <m:d>
                        <m:dPr>
                          <m:begChr m:val="("/>
                          <m:endChr m:val=")"/>
                          <m:sepChr m:val=""/>
                          <m:grow/>
                        </m:dPr>
                        <m:e>
                          <m:r>
                            <m:t>0</m:t>
                          </m:r>
                          <m:r>
                            <m:rPr>
                              <m:sty m:val="p"/>
                            </m:rPr>
                            <m:t>,</m:t>
                          </m:r>
                          <m:sSubSup>
                            <m:e>
                              <m:r>
                                <m:t>g</m:t>
                              </m:r>
                            </m:e>
                            <m:sub>
                              <m:r>
                                <m:t>0</m:t>
                              </m:r>
                            </m:sub>
                            <m:sup>
                              <m:r>
                                <m:rPr>
                                  <m:sty m:val="p"/>
                                </m:rPr>
                                <m:t>−</m:t>
                              </m:r>
                              <m:r>
                                <m:t>2</m:t>
                              </m:r>
                            </m:sup>
                          </m:sSubSup>
                          <m:r>
                            <m:rPr>
                              <m:sty m:val="p"/>
                            </m:rPr>
                            <m:t>−</m:t>
                          </m:r>
                          <m:sSubSup>
                            <m:e>
                              <m:r>
                                <m:t>g</m:t>
                              </m:r>
                            </m:e>
                            <m:sub>
                              <m:r>
                                <m:rPr>
                                  <m:sty m:val="p"/>
                                </m:rPr>
                                <m:t>*</m:t>
                              </m:r>
                            </m:sub>
                            <m:sup>
                              <m:r>
                                <m:rPr>
                                  <m:sty m:val="p"/>
                                </m:rPr>
                                <m:t>−</m:t>
                              </m:r>
                              <m:r>
                                <m:t>2</m:t>
                              </m:r>
                            </m:sup>
                          </m:sSubSup>
                        </m:e>
                      </m:d>
                    </m:num>
                    <m:den>
                      <m:sSub>
                        <m:e>
                          <m:r>
                            <m:t>c</m:t>
                          </m:r>
                        </m:e>
                        <m:sub>
                          <m:r>
                            <m:t>G</m:t>
                          </m:r>
                        </m:sub>
                      </m:sSub>
                    </m:den>
                  </m:f>
                </m:e>
              </m:d>
            </m:e>
          </m:borderBox>
        </m:oMath>
      </m:oMathPara>
    </w:p>
    <w:p>
      <w:pPr>
        <w:pStyle w:val="FirstParagraph"/>
      </w:pPr>
      <w:r>
        <w:t xml:space="preserve">steps.</w:t>
      </w:r>
    </w:p>
    <w:p>
      <w:pPr>
        <w:pStyle w:val="BodyText"/>
      </w:pPr>
      <w:r>
        <w:rPr>
          <w:bCs/>
          <w:b/>
        </w:rPr>
        <w:t xml:space="preserve">Proof.</w:t>
      </w:r>
      <w:r>
        <w:t xml:space="preserve"> </w:t>
      </w:r>
      <w:r>
        <w:t xml:space="preserve">Induction gives</w:t>
      </w:r>
      <w:r>
        <w:t xml:space="preserve"> </w:t>
      </w:r>
      <m:oMath>
        <m:sSub>
          <m:e>
            <m:r>
              <m:t>q</m:t>
            </m:r>
          </m:e>
          <m:sub>
            <m:r>
              <m:t>k</m:t>
            </m:r>
          </m:sub>
        </m:sSub>
        <m:r>
          <m:rPr>
            <m:sty m:val="p"/>
          </m:rPr>
          <m:t>≤</m:t>
        </m:r>
        <m:sSub>
          <m:e>
            <m:r>
              <m:t>q</m:t>
            </m:r>
          </m:e>
          <m:sub>
            <m:r>
              <m:t>0</m:t>
            </m:r>
          </m:sub>
        </m:sSub>
        <m:r>
          <m:rPr>
            <m:sty m:val="p"/>
          </m:rPr>
          <m:t>−</m:t>
        </m:r>
        <m:r>
          <m:t>k</m:t>
        </m:r>
        <m:sSub>
          <m:e>
            <m:r>
              <m:t>c</m:t>
            </m:r>
          </m:e>
          <m:sub>
            <m:r>
              <m:t>G</m:t>
            </m:r>
          </m:sub>
        </m:sSub>
      </m:oMath>
      <w:r>
        <w:t xml:space="preserve">. The stated</w:t>
      </w:r>
      <w:r>
        <w:t xml:space="preserve"> </w:t>
      </w:r>
      <m:oMath>
        <m:sSub>
          <m:e>
            <m:r>
              <m:t>N</m:t>
            </m:r>
          </m:e>
          <m:sub>
            <m:r>
              <m:rPr>
                <m:sty m:val="p"/>
              </m:rPr>
              <m:t>*</m:t>
            </m:r>
          </m:sub>
        </m:sSub>
      </m:oMath>
      <w:r>
        <w:t xml:space="preserve"> </w:t>
      </w:r>
      <w:r>
        <w:t xml:space="preserve">makes the right side at most</w:t>
      </w:r>
      <w:r>
        <w:t xml:space="preserve"> </w:t>
      </w:r>
      <m:oMath>
        <m:sSubSup>
          <m:e>
            <m:r>
              <m:t>g</m:t>
            </m:r>
          </m:e>
          <m:sub>
            <m:r>
              <m:rPr>
                <m:sty m:val="p"/>
              </m:rPr>
              <m:t>*</m:t>
            </m:r>
          </m:sub>
          <m:sup>
            <m:r>
              <m:rPr>
                <m:sty m:val="p"/>
              </m:rPr>
              <m:t>−</m:t>
            </m:r>
            <m:r>
              <m:t>2</m:t>
            </m:r>
          </m:sup>
        </m:sSubSup>
      </m:oMath>
      <w:r>
        <w:t xml:space="preserve">.</w:t>
      </w:r>
      <w:r>
        <w:t xml:space="preserve"> </w:t>
      </w:r>
      <m:oMath>
        <m:r>
          <m:rPr>
            <m:sty m:val="p"/>
          </m:rPr>
          <m:t>▫</m:t>
        </m:r>
      </m:oMath>
    </w:p>
    <w:p>
      <w:pPr>
        <w:pStyle w:val="BodyText"/>
      </w:pPr>
      <w:r>
        <w:t xml:space="preserve">This turns the ultraviolet-to-strong endpoint problem into an explicit regulator-uniform drift-and-remainder inequality rather than an uncontrolled infinite interpolation.</w:t>
      </w:r>
    </w:p>
    <w:bookmarkEnd w:id="35"/>
    <w:bookmarkStart w:id="36" w:name="Xbcb1f8324b3646e191c270ce8638eb2a504e333"/>
    <w:p>
      <w:pPr>
        <w:pStyle w:val="Heading1"/>
      </w:pPr>
      <w:r>
        <w:t xml:space="preserve">16. Spectral transfer: exponential Euclidean decay implies the gap</w:t>
      </w:r>
    </w:p>
    <w:p>
      <w:pPr>
        <w:pStyle w:val="FirstParagraph"/>
      </w:pPr>
      <w:r>
        <w:t xml:space="preserve">Let a centered OS vector have positive spectral measure</w:t>
      </w:r>
      <w:r>
        <w:t xml:space="preserve"> </w:t>
      </w:r>
      <m:oMath>
        <m:r>
          <m:t>μ</m:t>
        </m:r>
      </m:oMath>
      <w:r>
        <w:t xml:space="preserve"> </w:t>
      </w:r>
      <w:r>
        <w:t xml:space="preserve">for the reconstructed Hamiltonian:</w:t>
      </w:r>
    </w:p>
    <w:p>
      <w:pPr>
        <w:pStyle w:val="BodyText"/>
      </w:pPr>
      <m:oMathPara>
        <m:oMathParaPr>
          <m:jc m:val="center"/>
        </m:oMathParaPr>
        <m:oMath>
          <m:r>
            <m:t>C</m:t>
          </m:r>
          <m:d>
            <m:dPr>
              <m:begChr m:val="("/>
              <m:endChr m:val=")"/>
              <m:sepChr m:val=""/>
              <m:grow/>
            </m:dPr>
            <m:e>
              <m:r>
                <m:t>t</m:t>
              </m:r>
            </m:e>
          </m:d>
          <m:r>
            <m:rPr>
              <m:sty m:val="p"/>
            </m:rPr>
            <m:t>=</m:t>
          </m:r>
          <m:nary>
            <m:naryPr>
              <m:chr m:val="∫"/>
              <m:limLoc m:val="subSup"/>
              <m:subHide m:val="off"/>
              <m:supHide m:val="on"/>
            </m:naryPr>
            <m:sub>
              <m:r>
                <m:rPr>
                  <m:sty m:val="p"/>
                </m:rPr>
                <m:t>[</m:t>
              </m:r>
              <m:r>
                <m:t>0</m:t>
              </m:r>
              <m:r>
                <m:rPr>
                  <m:sty m:val="p"/>
                </m:rPr>
                <m:t>,</m:t>
              </m:r>
              <m:r>
                <m:rPr>
                  <m:sty m:val="p"/>
                </m:rPr>
                <m:t>∞</m:t>
              </m:r>
              <m:r>
                <m:rPr>
                  <m:sty m:val="p"/>
                </m:rPr>
                <m:t>)</m:t>
              </m:r>
            </m:sub>
            <m:sup>
              <m:r>
                <m:t>​</m:t>
              </m:r>
            </m:sup>
            <m:e>
              <m:sSup>
                <m:e>
                  <m:r>
                    <m:t>e</m:t>
                  </m:r>
                </m:e>
                <m:sup>
                  <m:r>
                    <m:rPr>
                      <m:sty m:val="p"/>
                    </m:rPr>
                    <m:t>−</m:t>
                  </m:r>
                  <m:r>
                    <m:t>t</m:t>
                  </m:r>
                  <m:r>
                    <m:t>E</m:t>
                  </m:r>
                </m:sup>
              </m:sSup>
            </m:e>
          </m:nary>
          <m:r>
            <m:t> </m:t>
          </m:r>
          <m:r>
            <m:t>d</m:t>
          </m:r>
          <m:r>
            <m:t>μ</m:t>
          </m:r>
          <m:d>
            <m:dPr>
              <m:begChr m:val="("/>
              <m:endChr m:val=")"/>
              <m:sepChr m:val=""/>
              <m:grow/>
            </m:dPr>
            <m:e>
              <m:r>
                <m:t>E</m:t>
              </m:r>
            </m:e>
          </m:d>
          <m:r>
            <m:rPr>
              <m:sty m:val="p"/>
            </m:rPr>
            <m:t>.</m:t>
          </m:r>
        </m:oMath>
      </m:oMathPara>
    </w:p>
    <w:p>
      <w:pPr>
        <w:pStyle w:val="FirstParagraph"/>
      </w:pPr>
      <w:r>
        <w:rPr>
          <w:bCs/>
          <w:b/>
        </w:rPr>
        <w:t xml:space="preserve">Theorem 16.1.</w:t>
      </w:r>
      <w:r>
        <w:t xml:space="preserve"> </w:t>
      </w:r>
      <w:r>
        <w:t xml:space="preserve">If</w:t>
      </w:r>
    </w:p>
    <w:p>
      <w:pPr>
        <w:pStyle w:val="BodyText"/>
      </w:pPr>
      <m:oMathPara>
        <m:oMathParaPr>
          <m:jc m:val="center"/>
        </m:oMathParaPr>
        <m:oMath>
          <m:r>
            <m:t>C</m:t>
          </m:r>
          <m:d>
            <m:dPr>
              <m:begChr m:val="("/>
              <m:endChr m:val=")"/>
              <m:sepChr m:val=""/>
              <m:grow/>
            </m:dPr>
            <m:e>
              <m:r>
                <m:t>t</m:t>
              </m:r>
            </m:e>
          </m:d>
          <m:r>
            <m:rPr>
              <m:sty m:val="p"/>
            </m:rPr>
            <m:t>≤</m:t>
          </m:r>
          <m:r>
            <m:t>M</m:t>
          </m:r>
          <m:sSup>
            <m:e>
              <m:r>
                <m:t>e</m:t>
              </m:r>
            </m:e>
            <m:sup>
              <m:r>
                <m:rPr>
                  <m:sty m:val="p"/>
                </m:rPr>
                <m:t>−</m:t>
              </m:r>
              <m:r>
                <m:t>m</m:t>
              </m:r>
              <m:r>
                <m:t>t</m:t>
              </m:r>
            </m:sup>
          </m:sSup>
          <m:r>
            <m:t>  </m:t>
          </m:r>
          <m:d>
            <m:dPr>
              <m:begChr m:val="("/>
              <m:endChr m:val=")"/>
              <m:sepChr m:val=""/>
              <m:grow/>
            </m:dPr>
            <m:e>
              <m:r>
                <m:t>t</m:t>
              </m:r>
              <m:r>
                <m:rPr>
                  <m:sty m:val="p"/>
                </m:rPr>
                <m:t>≥</m:t>
              </m:r>
              <m:r>
                <m:t>0</m:t>
              </m:r>
            </m:e>
          </m:d>
        </m:oMath>
      </m:oMathPara>
    </w:p>
    <w:p>
      <w:pPr>
        <w:pStyle w:val="FirstParagraph"/>
      </w:pPr>
      <w:r>
        <w:t xml:space="preserve">for some</w:t>
      </w:r>
      <w:r>
        <w:t xml:space="preserve"> </w:t>
      </w:r>
      <m:oMath>
        <m:r>
          <m:t>m</m:t>
        </m:r>
        <m:r>
          <m:rPr>
            <m:sty m:val="p"/>
          </m:rPr>
          <m:t>&gt;</m:t>
        </m:r>
        <m:r>
          <m:t>0</m:t>
        </m:r>
      </m:oMath>
      <w:r>
        <w:t xml:space="preserve">, then</w:t>
      </w:r>
    </w:p>
    <w:p>
      <w:pPr>
        <w:pStyle w:val="BodyText"/>
      </w:pPr>
      <m:oMathPara>
        <m:oMathParaPr>
          <m:jc m:val="center"/>
        </m:oMathParaPr>
        <m:oMath>
          <m:r>
            <m:t>μ</m:t>
          </m:r>
          <m:d>
            <m:dPr>
              <m:begChr m:val="("/>
              <m:endChr m:val=")"/>
              <m:sepChr m:val=""/>
              <m:grow/>
            </m:dPr>
            <m:e>
              <m:d>
                <m:dPr>
                  <m:begChr m:val="("/>
                  <m:endChr m:val=")"/>
                  <m:sepChr m:val=""/>
                  <m:grow/>
                </m:dPr>
                <m:e>
                  <m:r>
                    <m:t>0</m:t>
                  </m:r>
                  <m:r>
                    <m:rPr>
                      <m:sty m:val="p"/>
                    </m:rPr>
                    <m:t>,</m:t>
                  </m:r>
                  <m:r>
                    <m:t>m</m:t>
                  </m:r>
                </m:e>
              </m:d>
            </m:e>
          </m:d>
          <m:r>
            <m:rPr>
              <m:sty m:val="p"/>
            </m:rPr>
            <m:t>=</m:t>
          </m:r>
          <m:r>
            <m:t>0</m:t>
          </m:r>
          <m:r>
            <m:rPr>
              <m:sty m:val="p"/>
            </m:rPr>
            <m:t>.</m:t>
          </m:r>
        </m:oMath>
      </m:oMathPara>
    </w:p>
    <w:p>
      <w:pPr>
        <w:pStyle w:val="FirstParagraph"/>
      </w:pPr>
      <w:r>
        <w:rPr>
          <w:bCs/>
          <w:b/>
        </w:rPr>
        <w:t xml:space="preserve">Proof.</w:t>
      </w:r>
      <w:r>
        <w:t xml:space="preserve"> </w:t>
      </w:r>
      <w:r>
        <w:t xml:space="preserve">For</w:t>
      </w:r>
      <w:r>
        <w:t xml:space="preserve"> </w:t>
      </w:r>
      <m:oMath>
        <m:r>
          <m:t>ϵ</m:t>
        </m:r>
        <m:r>
          <m:rPr>
            <m:sty m:val="p"/>
          </m:rPr>
          <m:t>∈</m:t>
        </m:r>
        <m:d>
          <m:dPr>
            <m:begChr m:val="("/>
            <m:endChr m:val=")"/>
            <m:sepChr m:val=""/>
            <m:grow/>
          </m:dPr>
          <m:e>
            <m:r>
              <m:t>0</m:t>
            </m:r>
            <m:r>
              <m:rPr>
                <m:sty m:val="p"/>
              </m:rPr>
              <m:t>,</m:t>
            </m:r>
            <m:r>
              <m:t>m</m:t>
            </m:r>
          </m:e>
        </m:d>
      </m:oMath>
      <w:r>
        <w:t xml:space="preserve">,</w:t>
      </w:r>
    </w:p>
    <w:p>
      <w:pPr>
        <w:pStyle w:val="BodyText"/>
      </w:pPr>
      <m:oMathPara>
        <m:oMathParaPr>
          <m:jc m:val="center"/>
        </m:oMathParaPr>
        <m:oMath>
          <m:r>
            <m:t>μ</m:t>
          </m:r>
          <m:d>
            <m:dPr>
              <m:begChr m:val="("/>
              <m:endChr m:val=")"/>
              <m:sepChr m:val=""/>
              <m:grow/>
            </m:dPr>
            <m:e>
              <m:d>
                <m:dPr>
                  <m:begChr m:val="["/>
                  <m:endChr m:val="]"/>
                  <m:sepChr m:val=""/>
                  <m:grow/>
                </m:dPr>
                <m:e>
                  <m:r>
                    <m:t>0</m:t>
                  </m:r>
                  <m:r>
                    <m:rPr>
                      <m:sty m:val="p"/>
                    </m:rPr>
                    <m:t>,</m:t>
                  </m:r>
                  <m:r>
                    <m:t>m</m:t>
                  </m:r>
                  <m:r>
                    <m:rPr>
                      <m:sty m:val="p"/>
                    </m:rPr>
                    <m:t>−</m:t>
                  </m:r>
                  <m:r>
                    <m:t>ϵ</m:t>
                  </m:r>
                </m:e>
              </m:d>
            </m:e>
          </m:d>
          <m:sSup>
            <m:e>
              <m:r>
                <m:t>e</m:t>
              </m:r>
            </m:e>
            <m:sup>
              <m:r>
                <m:rPr>
                  <m:sty m:val="p"/>
                </m:rPr>
                <m:t>−</m:t>
              </m:r>
              <m:r>
                <m:t>t</m:t>
              </m:r>
              <m:d>
                <m:dPr>
                  <m:begChr m:val="("/>
                  <m:endChr m:val=")"/>
                  <m:sepChr m:val=""/>
                  <m:grow/>
                </m:dPr>
                <m:e>
                  <m:r>
                    <m:t>m</m:t>
                  </m:r>
                  <m:r>
                    <m:rPr>
                      <m:sty m:val="p"/>
                    </m:rPr>
                    <m:t>−</m:t>
                  </m:r>
                  <m:r>
                    <m:t>ϵ</m:t>
                  </m:r>
                </m:e>
              </m:d>
            </m:sup>
          </m:sSup>
          <m:r>
            <m:rPr>
              <m:sty m:val="p"/>
            </m:rPr>
            <m:t>≤</m:t>
          </m:r>
          <m:r>
            <m:t>C</m:t>
          </m:r>
          <m:d>
            <m:dPr>
              <m:begChr m:val="("/>
              <m:endChr m:val=")"/>
              <m:sepChr m:val=""/>
              <m:grow/>
            </m:dPr>
            <m:e>
              <m:r>
                <m:t>t</m:t>
              </m:r>
            </m:e>
          </m:d>
          <m:r>
            <m:rPr>
              <m:sty m:val="p"/>
            </m:rPr>
            <m:t>≤</m:t>
          </m:r>
          <m:r>
            <m:t>M</m:t>
          </m:r>
          <m:sSup>
            <m:e>
              <m:r>
                <m:t>e</m:t>
              </m:r>
            </m:e>
            <m:sup>
              <m:r>
                <m:rPr>
                  <m:sty m:val="p"/>
                </m:rPr>
                <m:t>−</m:t>
              </m:r>
              <m:r>
                <m:t>m</m:t>
              </m:r>
              <m:r>
                <m:t>t</m:t>
              </m:r>
            </m:sup>
          </m:sSup>
          <m:r>
            <m:rPr>
              <m:sty m:val="p"/>
            </m:rPr>
            <m:t>.</m:t>
          </m:r>
        </m:oMath>
      </m:oMathPara>
    </w:p>
    <w:p>
      <w:pPr>
        <w:pStyle w:val="FirstParagraph"/>
      </w:pPr>
      <w:r>
        <w:t xml:space="preserve">Therefore</w:t>
      </w:r>
    </w:p>
    <w:p>
      <w:pPr>
        <w:pStyle w:val="BodyText"/>
      </w:pPr>
      <m:oMathPara>
        <m:oMathParaPr>
          <m:jc m:val="center"/>
        </m:oMathParaPr>
        <m:oMath>
          <m:r>
            <m:t>μ</m:t>
          </m:r>
          <m:d>
            <m:dPr>
              <m:begChr m:val="("/>
              <m:endChr m:val=")"/>
              <m:sepChr m:val=""/>
              <m:grow/>
            </m:dPr>
            <m:e>
              <m:d>
                <m:dPr>
                  <m:begChr m:val="["/>
                  <m:endChr m:val="]"/>
                  <m:sepChr m:val=""/>
                  <m:grow/>
                </m:dPr>
                <m:e>
                  <m:r>
                    <m:t>0</m:t>
                  </m:r>
                  <m:r>
                    <m:rPr>
                      <m:sty m:val="p"/>
                    </m:rPr>
                    <m:t>,</m:t>
                  </m:r>
                  <m:r>
                    <m:t>m</m:t>
                  </m:r>
                  <m:r>
                    <m:rPr>
                      <m:sty m:val="p"/>
                    </m:rPr>
                    <m:t>−</m:t>
                  </m:r>
                  <m:r>
                    <m:t>ϵ</m:t>
                  </m:r>
                </m:e>
              </m:d>
            </m:e>
          </m:d>
          <m:r>
            <m:rPr>
              <m:sty m:val="p"/>
            </m:rPr>
            <m:t>≤</m:t>
          </m:r>
          <m:r>
            <m:t>M</m:t>
          </m:r>
          <m:sSup>
            <m:e>
              <m:r>
                <m:t>e</m:t>
              </m:r>
            </m:e>
            <m:sup>
              <m:r>
                <m:rPr>
                  <m:sty m:val="p"/>
                </m:rPr>
                <m:t>−</m:t>
              </m:r>
              <m:r>
                <m:t>ϵ</m:t>
              </m:r>
              <m:r>
                <m:t>t</m:t>
              </m:r>
            </m:sup>
          </m:sSup>
          <m:r>
            <m:rPr>
              <m:sty m:val="p"/>
            </m:rPr>
            <m:t>→</m:t>
          </m:r>
          <m:r>
            <m:t>0</m:t>
          </m:r>
          <m:r>
            <m:rPr>
              <m:sty m:val="p"/>
            </m:rPr>
            <m:t>.</m:t>
          </m:r>
        </m:oMath>
      </m:oMathPara>
    </w:p>
    <w:p>
      <w:pPr>
        <w:pStyle w:val="FirstParagraph"/>
      </w:pPr>
      <w:r>
        <w:t xml:space="preserve">Take the union over positive rational</w:t>
      </w:r>
      <w:r>
        <w:t xml:space="preserve"> </w:t>
      </w:r>
      <m:oMath>
        <m:r>
          <m:t>ϵ</m:t>
        </m:r>
      </m:oMath>
      <w:r>
        <w:t xml:space="preserve">.</w:t>
      </w:r>
      <w:r>
        <w:t xml:space="preserve"> </w:t>
      </w:r>
      <m:oMath>
        <m:r>
          <m:rPr>
            <m:sty m:val="p"/>
          </m:rPr>
          <m:t>▫</m:t>
        </m:r>
      </m:oMath>
    </w:p>
    <w:p>
      <w:pPr>
        <w:pStyle w:val="BodyText"/>
      </w:pPr>
      <w:r>
        <w:t xml:space="preserve">If the class of centered cylinder vectors is dense in</w:t>
      </w:r>
      <w:r>
        <w:t xml:space="preserve"> </w:t>
      </w:r>
      <m:oMath>
        <m:sSup>
          <m:e>
            <m:r>
              <m:t>Ω</m:t>
            </m:r>
          </m:e>
          <m:sup>
            <m:r>
              <m:rPr>
                <m:sty m:val="p"/>
              </m:rPr>
              <m:t>⊥</m:t>
            </m:r>
          </m:sup>
        </m:sSup>
      </m:oMath>
      <w:r>
        <w:t xml:space="preserve">, then</w:t>
      </w:r>
    </w:p>
    <w:p>
      <w:pPr>
        <w:pStyle w:val="BodyText"/>
      </w:pPr>
      <m:oMathPara>
        <m:oMathParaPr>
          <m:jc m:val="center"/>
        </m:oMathParaPr>
        <m:oMath>
          <m:borderBox>
            <m:e>
              <m:r>
                <m:rPr>
                  <m:sty m:val="p"/>
                </m:rPr>
                <m:t>Spec</m:t>
              </m:r>
              <m:d>
                <m:dPr>
                  <m:begChr m:val="("/>
                  <m:endChr m:val=")"/>
                  <m:sepChr m:val=""/>
                  <m:grow/>
                </m:dPr>
                <m:e>
                  <m:r>
                    <m:t>H</m:t>
                  </m:r>
                </m:e>
              </m:d>
              <m:r>
                <m:rPr>
                  <m:sty m:val="p"/>
                </m:rPr>
                <m:t>∩</m:t>
              </m:r>
              <m:d>
                <m:dPr>
                  <m:begChr m:val="("/>
                  <m:endChr m:val=")"/>
                  <m:sepChr m:val=""/>
                  <m:grow/>
                </m:dPr>
                <m:e>
                  <m:r>
                    <m:t>0</m:t>
                  </m:r>
                  <m:r>
                    <m:rPr>
                      <m:sty m:val="p"/>
                    </m:rPr>
                    <m:t>,</m:t>
                  </m:r>
                  <m:r>
                    <m:t>m</m:t>
                  </m:r>
                </m:e>
              </m:d>
              <m:r>
                <m:rPr>
                  <m:sty m:val="p"/>
                </m:rPr>
                <m:t>=</m:t>
              </m:r>
              <m:r>
                <m:rPr>
                  <m:sty m:val="p"/>
                </m:rPr>
                <m:t>⌀</m:t>
              </m:r>
              <m:r>
                <m:rPr>
                  <m:sty m:val="p"/>
                </m:rPr>
                <m:t>.</m:t>
              </m:r>
            </m:e>
          </m:borderBox>
        </m:oMath>
      </m:oMathPara>
    </w:p>
    <w:p>
      <w:pPr>
        <w:pStyle w:val="FirstParagraph"/>
      </w:pPr>
      <w:r>
        <w:t xml:space="preserve">Thus no separate post-limit spectral perturbation estimate is needed once a regulator-uniform Euclidean exponential decay rate survives the Schwinger limit.</w:t>
      </w:r>
    </w:p>
    <w:bookmarkEnd w:id="36"/>
    <w:bookmarkStart w:id="37" w:name="finiteness-of-the-mass-parameter"/>
    <w:p>
      <w:pPr>
        <w:pStyle w:val="Heading1"/>
      </w:pPr>
      <w:r>
        <w:t xml:space="preserve">17. Finiteness of the mass parameter</w:t>
      </w:r>
    </w:p>
    <w:p>
      <w:pPr>
        <w:pStyle w:val="FirstParagraph"/>
      </w:pPr>
      <w:r>
        <w:rPr>
          <w:bCs/>
          <w:b/>
        </w:rPr>
        <w:t xml:space="preserve">Theorem 17.1.</w:t>
      </w:r>
      <w:r>
        <w:t xml:space="preserve"> </w:t>
      </w:r>
      <w:r>
        <w:t xml:space="preserve">Let</w:t>
      </w:r>
      <w:r>
        <w:t xml:space="preserve"> </w:t>
      </w:r>
      <m:oMath>
        <m:r>
          <m:t>H</m:t>
        </m:r>
        <m:r>
          <m:rPr>
            <m:sty m:val="p"/>
          </m:rPr>
          <m:t>≥</m:t>
        </m:r>
        <m:r>
          <m:t>0</m:t>
        </m:r>
      </m:oMath>
      <w:r>
        <w:t xml:space="preserve"> </w:t>
      </w:r>
      <w:r>
        <w:t xml:space="preserve">be self-adjoint,</w:t>
      </w:r>
      <w:r>
        <w:t xml:space="preserve"> </w:t>
      </w:r>
      <m:oMath>
        <m:r>
          <m:rPr>
            <m:sty m:val="p"/>
          </m:rPr>
          <m:t>ker</m:t>
        </m:r>
        <m:r>
          <m:t>H</m:t>
        </m:r>
        <m:r>
          <m:rPr>
            <m:sty m:val="p"/>
          </m:rPr>
          <m:t>=</m:t>
        </m:r>
        <m:r>
          <m:rPr>
            <m:sty m:val="p"/>
            <m:scr m:val="double-struck"/>
          </m:rPr>
          <m:t>C</m:t>
        </m:r>
        <m:r>
          <m:t>Ω</m:t>
        </m:r>
      </m:oMath>
      <w:r>
        <w:t xml:space="preserve">, and</w:t>
      </w:r>
      <w:r>
        <w:t xml:space="preserve"> </w:t>
      </w:r>
      <m:oMath>
        <m:r>
          <m:rPr>
            <m:sty m:val="p"/>
          </m:rPr>
          <m:t>dim</m:t>
        </m:r>
        <m:r>
          <m:rPr>
            <m:sty m:val="p"/>
            <m:scr m:val="script"/>
          </m:rPr>
          <m:t>H</m:t>
        </m:r>
        <m:r>
          <m:rPr>
            <m:sty m:val="p"/>
          </m:rPr>
          <m:t>&gt;</m:t>
        </m:r>
        <m:r>
          <m:t>1</m:t>
        </m:r>
      </m:oMath>
      <w:r>
        <w:t xml:space="preserve">. If</w:t>
      </w:r>
      <w:r>
        <w:t xml:space="preserve"> </w:t>
      </w:r>
      <m:oMath>
        <m:r>
          <m:t>H</m:t>
        </m:r>
      </m:oMath>
      <w:r>
        <w:t xml:space="preserve"> </w:t>
      </w:r>
      <w:r>
        <w:t xml:space="preserve">has a positive gap, then the maximal gap parameter</w:t>
      </w:r>
    </w:p>
    <w:p>
      <w:pPr>
        <w:pStyle w:val="BodyText"/>
      </w:pPr>
      <m:oMathPara>
        <m:oMathParaPr>
          <m:jc m:val="center"/>
        </m:oMathParaPr>
        <m:oMath>
          <m:r>
            <m:t>m</m:t>
          </m:r>
          <m:r>
            <m:rPr>
              <m:sty m:val="p"/>
            </m:rPr>
            <m:t>=</m:t>
          </m:r>
          <m:r>
            <m:rPr>
              <m:sty m:val="p"/>
            </m:rPr>
            <m:t>sup</m:t>
          </m:r>
          <m:r>
            <m:rPr>
              <m:sty m:val="p"/>
            </m:rPr>
            <m:t>{</m:t>
          </m:r>
          <m:r>
            <m:t>Δ</m:t>
          </m:r>
          <m:r>
            <m:rPr>
              <m:sty m:val="p"/>
            </m:rPr>
            <m:t>&gt;</m:t>
          </m:r>
          <m:r>
            <m:t>0</m:t>
          </m:r>
          <m:r>
            <m:rPr>
              <m:sty m:val="p"/>
            </m:rPr>
            <m:t>:</m:t>
          </m:r>
          <m:r>
            <m:rPr>
              <m:sty m:val="p"/>
            </m:rPr>
            <m:t>Spec</m:t>
          </m:r>
          <m:d>
            <m:dPr>
              <m:begChr m:val="("/>
              <m:endChr m:val=")"/>
              <m:sepChr m:val=""/>
              <m:grow/>
            </m:dPr>
            <m:e>
              <m:r>
                <m:t>H</m:t>
              </m:r>
            </m:e>
          </m:d>
          <m:r>
            <m:rPr>
              <m:sty m:val="p"/>
            </m:rPr>
            <m:t>∩</m:t>
          </m:r>
          <m:d>
            <m:dPr>
              <m:begChr m:val="("/>
              <m:endChr m:val=")"/>
              <m:sepChr m:val=""/>
              <m:grow/>
            </m:dPr>
            <m:e>
              <m:r>
                <m:t>0</m:t>
              </m:r>
              <m:r>
                <m:rPr>
                  <m:sty m:val="p"/>
                </m:rPr>
                <m:t>,</m:t>
              </m:r>
              <m:r>
                <m:t>Δ</m:t>
              </m:r>
            </m:e>
          </m:d>
          <m:r>
            <m:rPr>
              <m:sty m:val="p"/>
            </m:rPr>
            <m:t>=</m:t>
          </m:r>
          <m:r>
            <m:rPr>
              <m:sty m:val="p"/>
            </m:rPr>
            <m:t>⌀</m:t>
          </m:r>
          <m:r>
            <m:rPr>
              <m:sty m:val="p"/>
            </m:rPr>
            <m:t>}</m:t>
          </m:r>
        </m:oMath>
      </m:oMathPara>
    </w:p>
    <w:p>
      <w:pPr>
        <w:pStyle w:val="FirstParagraph"/>
      </w:pPr>
      <w:r>
        <w:t xml:space="preserve">is finite.</w:t>
      </w:r>
    </w:p>
    <w:p>
      <w:pPr>
        <w:pStyle w:val="BodyText"/>
      </w:pPr>
      <w:r>
        <w:rPr>
          <w:bCs/>
          <w:b/>
        </w:rPr>
        <w:t xml:space="preserve">Proof.</w:t>
      </w:r>
      <w:r>
        <w:t xml:space="preserve"> </w:t>
      </w:r>
      <w:r>
        <w:t xml:space="preserve">A non-vacuum vector has nonzero positive spectral measure supported in</w:t>
      </w:r>
      <w:r>
        <w:t xml:space="preserve"> </w:t>
      </w:r>
      <m:oMath>
        <m:d>
          <m:dPr>
            <m:begChr m:val="("/>
            <m:endChr m:val=")"/>
            <m:sepChr m:val=""/>
            <m:grow/>
          </m:dPr>
          <m:e>
            <m:r>
              <m:t>0</m:t>
            </m:r>
            <m:r>
              <m:rPr>
                <m:sty m:val="p"/>
              </m:rPr>
              <m:t>,</m:t>
            </m:r>
            <m:r>
              <m:rPr>
                <m:sty m:val="p"/>
              </m:rPr>
              <m:t>∞</m:t>
            </m:r>
          </m:e>
        </m:d>
      </m:oMath>
      <w:r>
        <w:t xml:space="preserve">. The support contains a finite spectral point</w:t>
      </w:r>
      <w:r>
        <w:t xml:space="preserve"> </w:t>
      </w:r>
      <m:oMath>
        <m:r>
          <m:t>E</m:t>
        </m:r>
        <m:r>
          <m:rPr>
            <m:sty m:val="p"/>
          </m:rPr>
          <m:t>&gt;</m:t>
        </m:r>
        <m:r>
          <m:t>0</m:t>
        </m:r>
      </m:oMath>
      <w:r>
        <w:t xml:space="preserve">, and therefore</w:t>
      </w:r>
      <w:r>
        <w:t xml:space="preserve"> </w:t>
      </w:r>
      <m:oMath>
        <m:r>
          <m:t>m</m:t>
        </m:r>
        <m:r>
          <m:rPr>
            <m:sty m:val="p"/>
          </m:rPr>
          <m:t>≤</m:t>
        </m:r>
        <m:r>
          <m:t>E</m:t>
        </m:r>
        <m:r>
          <m:rPr>
            <m:sty m:val="p"/>
          </m:rPr>
          <m:t>&lt;</m:t>
        </m:r>
        <m:r>
          <m:rPr>
            <m:sty m:val="p"/>
          </m:rPr>
          <m:t>∞</m:t>
        </m:r>
      </m:oMath>
      <w:r>
        <w:t xml:space="preserve">.</w:t>
      </w:r>
      <w:r>
        <w:t xml:space="preserve"> </w:t>
      </w:r>
      <m:oMath>
        <m:r>
          <m:rPr>
            <m:sty m:val="p"/>
          </m:rPr>
          <m:t>▫</m:t>
        </m:r>
      </m:oMath>
    </w:p>
    <w:bookmarkEnd w:id="37"/>
    <w:bookmarkStart w:id="38" w:name="X02488de41e6484f368115345a9baf30c1a0a650"/>
    <w:p>
      <w:pPr>
        <w:pStyle w:val="Heading1"/>
      </w:pPr>
      <w:r>
        <w:t xml:space="preserve">18. Nontriviality and asymptotically-free short distance</w:t>
      </w:r>
    </w:p>
    <w:p>
      <w:pPr>
        <w:pStyle w:val="FirstParagraph"/>
      </w:pPr>
      <w:r>
        <w:t xml:space="preserve">For pure Yang–Mills,</w:t>
      </w:r>
    </w:p>
    <w:p>
      <w:pPr>
        <w:pStyle w:val="BodyText"/>
      </w:pPr>
      <m:oMathPara>
        <m:oMathParaPr>
          <m:jc m:val="center"/>
        </m:oMathParaPr>
        <m:oMath>
          <m:r>
            <m:t>μ</m:t>
          </m:r>
          <m:f>
            <m:fPr>
              <m:type m:val="bar"/>
            </m:fPr>
            <m:num>
              <m:r>
                <m:t>d</m:t>
              </m:r>
              <m:r>
                <m:t>g</m:t>
              </m:r>
            </m:num>
            <m:den>
              <m:r>
                <m:t>d</m:t>
              </m:r>
              <m:r>
                <m:t>μ</m:t>
              </m:r>
            </m:den>
          </m:f>
          <m:r>
            <m:rPr>
              <m:sty m:val="p"/>
            </m:rPr>
            <m:t>=</m:t>
          </m:r>
          <m:r>
            <m:rPr>
              <m:sty m:val="p"/>
            </m:rPr>
            <m:t>−</m:t>
          </m:r>
          <m:sSub>
            <m:e>
              <m:r>
                <m:t>b</m:t>
              </m:r>
            </m:e>
            <m:sub>
              <m:r>
                <m:t>0</m:t>
              </m:r>
            </m:sub>
          </m:sSub>
          <m:d>
            <m:dPr>
              <m:begChr m:val="("/>
              <m:endChr m:val=")"/>
              <m:sepChr m:val=""/>
              <m:grow/>
            </m:dPr>
            <m:e>
              <m:r>
                <m:t>G</m:t>
              </m:r>
            </m:e>
          </m:d>
          <m:sSup>
            <m:e>
              <m:r>
                <m:t>g</m:t>
              </m:r>
            </m:e>
            <m:sup>
              <m:r>
                <m:t>3</m:t>
              </m:r>
            </m:sup>
          </m:sSup>
          <m:r>
            <m:rPr>
              <m:sty m:val="p"/>
            </m:rPr>
            <m:t>+</m:t>
          </m:r>
          <m:r>
            <m:t>O</m:t>
          </m:r>
          <m:d>
            <m:dPr>
              <m:begChr m:val="("/>
              <m:endChr m:val=")"/>
              <m:sepChr m:val=""/>
              <m:grow/>
            </m:dPr>
            <m:e>
              <m:sSup>
                <m:e>
                  <m:r>
                    <m:t>g</m:t>
                  </m:r>
                </m:e>
                <m:sup>
                  <m:r>
                    <m:t>5</m:t>
                  </m:r>
                </m:sup>
              </m:sSup>
            </m:e>
          </m:d>
          <m:r>
            <m:rPr>
              <m:sty m:val="p"/>
            </m:rPr>
            <m:t>,</m:t>
          </m:r>
          <m:r>
            <m:t>  </m:t>
          </m:r>
          <m:sSub>
            <m:e>
              <m:r>
                <m:t>b</m:t>
              </m:r>
            </m:e>
            <m:sub>
              <m:r>
                <m:t>0</m:t>
              </m:r>
            </m:sub>
          </m:sSub>
          <m:d>
            <m:dPr>
              <m:begChr m:val="("/>
              <m:endChr m:val=")"/>
              <m:sepChr m:val=""/>
              <m:grow/>
            </m:dPr>
            <m:e>
              <m:r>
                <m:t>G</m:t>
              </m:r>
            </m:e>
          </m:d>
          <m:r>
            <m:rPr>
              <m:sty m:val="p"/>
            </m:rPr>
            <m:t>=</m:t>
          </m:r>
          <m:f>
            <m:fPr>
              <m:type m:val="bar"/>
            </m:fPr>
            <m:num>
              <m:r>
                <m:t>11</m:t>
              </m:r>
              <m:sSub>
                <m:e>
                  <m:r>
                    <m:t>C</m:t>
                  </m:r>
                </m:e>
                <m:sub>
                  <m:r>
                    <m:t>A</m:t>
                  </m:r>
                </m:sub>
              </m:sSub>
              <m:d>
                <m:dPr>
                  <m:begChr m:val="("/>
                  <m:endChr m:val=")"/>
                  <m:sepChr m:val=""/>
                  <m:grow/>
                </m:dPr>
                <m:e>
                  <m:r>
                    <m:t>G</m:t>
                  </m:r>
                </m:e>
              </m:d>
            </m:num>
            <m:den>
              <m:r>
                <m:t>48</m:t>
              </m:r>
              <m:sSup>
                <m:e>
                  <m:r>
                    <m:t>π</m:t>
                  </m:r>
                </m:e>
                <m:sup>
                  <m:r>
                    <m:t>2</m:t>
                  </m:r>
                </m:sup>
              </m:sSup>
            </m:den>
          </m:f>
          <m:r>
            <m:rPr>
              <m:sty m:val="p"/>
            </m:rPr>
            <m:t>&gt;</m:t>
          </m:r>
          <m:r>
            <m:t>0</m:t>
          </m:r>
          <m:r>
            <m:rPr>
              <m:sty m:val="p"/>
            </m:rPr>
            <m:t>.</m:t>
          </m:r>
        </m:oMath>
      </m:oMathPara>
    </w:p>
    <w:p>
      <w:pPr>
        <w:pStyle w:val="FirstParagraph"/>
      </w:pPr>
      <w:r>
        <w:t xml:space="preserve">A continuum local theory carrying a nonzero renormalized interaction datum</w:t>
      </w:r>
      <w:r>
        <w:t xml:space="preserve"> </w:t>
      </w:r>
      <m:oMath>
        <m:sSub>
          <m:e>
            <m:r>
              <m:t>g</m:t>
            </m:r>
          </m:e>
          <m:sub>
            <m:r>
              <m:t>R</m:t>
            </m:r>
          </m:sub>
        </m:sSub>
        <m:d>
          <m:dPr>
            <m:begChr m:val="("/>
            <m:endChr m:val=")"/>
            <m:sepChr m:val=""/>
            <m:grow/>
          </m:dPr>
          <m:e>
            <m:sSub>
              <m:e>
                <m:r>
                  <m:t>μ</m:t>
                </m:r>
              </m:e>
              <m:sub>
                <m:r>
                  <m:t>0</m:t>
                </m:r>
              </m:sub>
            </m:sSub>
          </m:e>
        </m:d>
        <m:r>
          <m:rPr>
            <m:sty m:val="p"/>
          </m:rPr>
          <m:t>&gt;</m:t>
        </m:r>
        <m:r>
          <m:t>0</m:t>
        </m:r>
      </m:oMath>
      <w:r>
        <w:t xml:space="preserve"> </w:t>
      </w:r>
      <w:r>
        <w:t xml:space="preserve">with the corresponding local vertex/OPE coefficient cannot equal the zero-coupling Gaussian fixed point.</w:t>
      </w:r>
    </w:p>
    <w:p>
      <w:pPr>
        <w:pStyle w:val="BodyText"/>
      </w:pPr>
      <w:r>
        <w:t xml:space="preserve">The same summability mechanism as Theorem 6.1 applies to source/OPE remainder families:</w:t>
      </w:r>
    </w:p>
    <w:p>
      <w:pPr>
        <w:pStyle w:val="BodyText"/>
      </w:pPr>
      <m:oMathPara>
        <m:oMathParaPr>
          <m:jc m:val="center"/>
        </m:oMathParaPr>
        <m:oMath>
          <m:r>
            <m:rPr>
              <m:sty m:val="p"/>
            </m:rPr>
            <m:t>∥</m:t>
          </m:r>
          <m:sSubSup>
            <m:e>
              <m:r>
                <m:t>R</m:t>
              </m:r>
            </m:e>
            <m:sub>
              <m:r>
                <m:t>j</m:t>
              </m:r>
            </m:sub>
            <m:sup>
              <m:r>
                <m:rPr>
                  <m:sty m:val="p"/>
                </m:rPr>
                <m:t>s</m:t>
              </m:r>
              <m:r>
                <m:rPr>
                  <m:sty m:val="p"/>
                </m:rPr>
                <m:t>r</m:t>
              </m:r>
              <m:r>
                <m:rPr>
                  <m:sty m:val="p"/>
                </m:rPr>
                <m:t>c</m:t>
              </m:r>
            </m:sup>
          </m:sSubSup>
          <m:r>
            <m:rPr>
              <m:sty m:val="p"/>
            </m:rPr>
            <m:t>∥</m:t>
          </m:r>
          <m:r>
            <m:rPr>
              <m:sty m:val="p"/>
            </m:rPr>
            <m:t>≤</m:t>
          </m:r>
          <m:r>
            <m:t>C</m:t>
          </m:r>
          <m:sSubSup>
            <m:e>
              <m:r>
                <m:t>g</m:t>
              </m:r>
            </m:e>
            <m:sub>
              <m:r>
                <m:t>j</m:t>
              </m:r>
            </m:sub>
            <m:sup>
              <m:r>
                <m:t>p</m:t>
              </m:r>
            </m:sup>
          </m:sSubSup>
          <m:r>
            <m:rPr>
              <m:sty m:val="p"/>
            </m:rPr>
            <m:t>,</m:t>
          </m:r>
          <m:r>
            <m:t>  </m:t>
          </m:r>
          <m:r>
            <m:t>p</m:t>
          </m:r>
          <m:r>
            <m:rPr>
              <m:sty m:val="p"/>
            </m:rPr>
            <m:t>&gt;</m:t>
          </m:r>
          <m:r>
            <m:t>2</m:t>
          </m:r>
        </m:oMath>
      </m:oMathPara>
    </w:p>
    <w:p>
      <w:pPr>
        <w:pStyle w:val="FirstParagraph"/>
      </w:pPr>
      <w:r>
        <w:t xml:space="preserve">implies</w:t>
      </w:r>
    </w:p>
    <w:p>
      <w:pPr>
        <w:pStyle w:val="BodyText"/>
      </w:pPr>
      <m:oMathPara>
        <m:oMathParaPr>
          <m:jc m:val="center"/>
        </m:oMathParaPr>
        <m:oMath>
          <m:nary>
            <m:naryPr>
              <m:chr m:val="∑"/>
              <m:limLoc m:val="undOvr"/>
              <m:subHide m:val="off"/>
              <m:supHide m:val="on"/>
            </m:naryPr>
            <m:sub>
              <m:r>
                <m:t>j</m:t>
              </m:r>
            </m:sub>
            <m:sup>
              <m:r>
                <m:t>​</m:t>
              </m:r>
            </m:sup>
            <m:e>
              <m:r>
                <m:rPr>
                  <m:sty m:val="p"/>
                </m:rPr>
                <m:t>∥</m:t>
              </m:r>
            </m:e>
          </m:nary>
          <m:sSubSup>
            <m:e>
              <m:r>
                <m:t>R</m:t>
              </m:r>
            </m:e>
            <m:sub>
              <m:r>
                <m:t>j</m:t>
              </m:r>
            </m:sub>
            <m:sup>
              <m:r>
                <m:rPr>
                  <m:sty m:val="p"/>
                </m:rPr>
                <m:t>s</m:t>
              </m:r>
              <m:r>
                <m:rPr>
                  <m:sty m:val="p"/>
                </m:rPr>
                <m:t>r</m:t>
              </m:r>
              <m:r>
                <m:rPr>
                  <m:sty m:val="p"/>
                </m:rPr>
                <m:t>c</m:t>
              </m:r>
            </m:sup>
          </m:sSubSup>
          <m:r>
            <m:rPr>
              <m:sty m:val="p"/>
            </m:rPr>
            <m:t>∥</m:t>
          </m:r>
          <m:r>
            <m:rPr>
              <m:sty m:val="p"/>
            </m:rPr>
            <m:t>&lt;</m:t>
          </m:r>
          <m:r>
            <m:rPr>
              <m:sty m:val="p"/>
            </m:rPr>
            <m:t>∞</m:t>
          </m:r>
          <m:r>
            <m:rPr>
              <m:sty m:val="p"/>
            </m:rPr>
            <m:t>.</m:t>
          </m:r>
        </m:oMath>
      </m:oMathPara>
    </w:p>
    <w:p>
      <w:pPr>
        <w:pStyle w:val="FirstParagraph"/>
      </w:pPr>
      <w:r>
        <w:t xml:space="preserve">Consequently an arbitrarily deep ultraviolet tail is compatible with finite renormalized local composite insertions provided the source-extended RG produces the stated scale-local power bound.</w:t>
      </w:r>
    </w:p>
    <w:bookmarkEnd w:id="38"/>
    <w:bookmarkStart w:id="39" w:name="any-compact-simple-gauge-group"/>
    <w:p>
      <w:pPr>
        <w:pStyle w:val="Heading1"/>
      </w:pPr>
      <w:r>
        <w:t xml:space="preserve">19. Any compact simple gauge group</w:t>
      </w:r>
    </w:p>
    <w:p>
      <w:pPr>
        <w:pStyle w:val="FirstParagraph"/>
      </w:pPr>
      <w:r>
        <w:t xml:space="preserve">For every fixed compact connected simple</w:t>
      </w:r>
      <w:r>
        <w:t xml:space="preserve"> </w:t>
      </w:r>
      <m:oMath>
        <m:r>
          <m:t>G</m:t>
        </m:r>
      </m:oMath>
      <w:r>
        <w:t xml:space="preserve">:</w:t>
      </w:r>
    </w:p>
    <w:p>
      <w:pPr>
        <w:numPr>
          <w:ilvl w:val="0"/>
          <w:numId w:val="1001"/>
        </w:numPr>
        <w:pStyle w:val="Compact"/>
      </w:pPr>
      <w:r>
        <w:t xml:space="preserve">Peter–Weyl matrix coefficients are dense in</w:t>
      </w:r>
      <w:r>
        <w:t xml:space="preserve"> </w:t>
      </w:r>
      <m:oMath>
        <m:sSup>
          <m:e>
            <m:r>
              <m:t>L</m:t>
            </m:r>
          </m:e>
          <m:sup>
            <m:r>
              <m:t>2</m:t>
            </m:r>
          </m:sup>
        </m:sSup>
        <m:d>
          <m:dPr>
            <m:begChr m:val="("/>
            <m:endChr m:val=")"/>
            <m:sepChr m:val=""/>
            <m:grow/>
          </m:dPr>
          <m:e>
            <m:r>
              <m:t>G</m:t>
            </m:r>
          </m:e>
        </m:d>
      </m:oMath>
      <w:r>
        <w:t xml:space="preserve">.</w:t>
      </w:r>
    </w:p>
    <w:p>
      <w:pPr>
        <w:numPr>
          <w:ilvl w:val="0"/>
          <w:numId w:val="1001"/>
        </w:numPr>
        <w:pStyle w:val="Compact"/>
      </w:pPr>
      <w:r>
        <w:t xml:space="preserve">The bi-invariant Laplacian has discrete spectrum and</w:t>
      </w:r>
    </w:p>
    <w:p>
      <w:pPr>
        <w:pStyle w:val="Compact"/>
      </w:pPr>
      <m:oMathPara>
        <m:oMathParaPr>
          <m:jc m:val="center"/>
        </m:oMathParaPr>
        <m:oMath>
          <m:sSub>
            <m:e>
              <m:r>
                <m:t>c</m:t>
              </m:r>
            </m:e>
            <m:sub>
              <m:r>
                <m:t>G</m:t>
              </m:r>
            </m:sub>
          </m:sSub>
          <m:box>
            <m:boxPr>
              <m:opEmu m:val="on"/>
            </m:boxPr>
            <m:e>
              <m:r>
                <m:rPr>
                  <m:sty m:val="p"/>
                </m:rPr>
                <m:t>:=</m:t>
              </m:r>
            </m:e>
          </m:box>
          <m:sSub>
            <m:e>
              <m:r>
                <m:t>λ</m:t>
              </m:r>
            </m:e>
            <m:sub>
              <m:r>
                <m:t>1</m:t>
              </m:r>
            </m:sub>
          </m:sSub>
          <m:d>
            <m:dPr>
              <m:begChr m:val="("/>
              <m:endChr m:val=")"/>
              <m:sepChr m:val=""/>
              <m:grow/>
            </m:dPr>
            <m:e>
              <m:r>
                <m:rPr>
                  <m:sty m:val="p"/>
                </m:rPr>
                <m:t>−</m:t>
              </m:r>
              <m:sSub>
                <m:e>
                  <m:r>
                    <m:t>Δ</m:t>
                  </m:r>
                </m:e>
                <m:sub>
                  <m:r>
                    <m:t>G</m:t>
                  </m:r>
                </m:sub>
              </m:sSub>
            </m:e>
          </m:d>
          <m:r>
            <m:rPr>
              <m:sty m:val="p"/>
            </m:rPr>
            <m:t>&gt;</m:t>
          </m:r>
          <m:r>
            <m:t>0</m:t>
          </m:r>
          <m:r>
            <m:rPr>
              <m:sty m:val="p"/>
            </m:rPr>
            <m:t>.</m:t>
          </m:r>
        </m:oMath>
      </m:oMathPara>
    </w:p>
    <w:p>
      <w:pPr>
        <w:numPr>
          <w:ilvl w:val="0"/>
          <w:numId w:val="1001"/>
        </w:numPr>
        <w:pStyle w:val="Compact"/>
      </w:pPr>
      <w:r>
        <w:t xml:space="preserve">The heat kernel has positive character coefficients</w:t>
      </w:r>
    </w:p>
    <w:p>
      <w:pPr>
        <w:pStyle w:val="Compact"/>
      </w:pPr>
      <m:oMathPara>
        <m:oMathParaPr>
          <m:jc m:val="center"/>
        </m:oMathParaPr>
        <m:oMath>
          <m:sSup>
            <m:e>
              <m:r>
                <m:t>e</m:t>
              </m:r>
            </m:e>
            <m:sup>
              <m:r>
                <m:rPr>
                  <m:sty m:val="p"/>
                </m:rPr>
                <m:t>−</m:t>
              </m:r>
              <m:r>
                <m:t>t</m:t>
              </m:r>
              <m:sSub>
                <m:e>
                  <m:r>
                    <m:t>C</m:t>
                  </m:r>
                </m:e>
                <m:sub>
                  <m:r>
                    <m:t>2</m:t>
                  </m:r>
                </m:sub>
              </m:sSub>
              <m:d>
                <m:dPr>
                  <m:begChr m:val="("/>
                  <m:endChr m:val=")"/>
                  <m:sepChr m:val=""/>
                  <m:grow/>
                </m:dPr>
                <m:e>
                  <m:r>
                    <m:t>λ</m:t>
                  </m:r>
                </m:e>
              </m:d>
            </m:sup>
          </m:sSup>
          <m:r>
            <m:rPr>
              <m:sty m:val="p"/>
            </m:rPr>
            <m:t>&gt;</m:t>
          </m:r>
          <m:r>
            <m:t>0</m:t>
          </m:r>
          <m:r>
            <m:rPr>
              <m:sty m:val="p"/>
            </m:rPr>
            <m:t>.</m:t>
          </m:r>
        </m:oMath>
      </m:oMathPara>
    </w:p>
    <w:p>
      <w:pPr>
        <w:numPr>
          <w:ilvl w:val="0"/>
          <w:numId w:val="1001"/>
        </w:numPr>
        <w:pStyle w:val="Compact"/>
      </w:pPr>
      <w:r>
        <w:t xml:space="preserve">The pure Yang–Mills one-loop coefficient satisfies</w:t>
      </w:r>
    </w:p>
    <w:p>
      <w:pPr>
        <w:pStyle w:val="Compact"/>
      </w:pPr>
      <m:oMathPara>
        <m:oMathParaPr>
          <m:jc m:val="center"/>
        </m:oMathParaPr>
        <m:oMath>
          <m:sSub>
            <m:e>
              <m:r>
                <m:t>b</m:t>
              </m:r>
            </m:e>
            <m:sub>
              <m:r>
                <m:t>0</m:t>
              </m:r>
            </m:sub>
          </m:sSub>
          <m:d>
            <m:dPr>
              <m:begChr m:val="("/>
              <m:endChr m:val=")"/>
              <m:sepChr m:val=""/>
              <m:grow/>
            </m:dPr>
            <m:e>
              <m:r>
                <m:t>G</m:t>
              </m:r>
            </m:e>
          </m:d>
          <m:r>
            <m:rPr>
              <m:sty m:val="p"/>
            </m:rPr>
            <m:t>=</m:t>
          </m:r>
          <m:f>
            <m:fPr>
              <m:type m:val="bar"/>
            </m:fPr>
            <m:num>
              <m:r>
                <m:t>11</m:t>
              </m:r>
              <m:sSub>
                <m:e>
                  <m:r>
                    <m:t>C</m:t>
                  </m:r>
                </m:e>
                <m:sub>
                  <m:r>
                    <m:t>A</m:t>
                  </m:r>
                </m:sub>
              </m:sSub>
              <m:d>
                <m:dPr>
                  <m:begChr m:val="("/>
                  <m:endChr m:val=")"/>
                  <m:sepChr m:val=""/>
                  <m:grow/>
                </m:dPr>
                <m:e>
                  <m:r>
                    <m:t>G</m:t>
                  </m:r>
                </m:e>
              </m:d>
            </m:num>
            <m:den>
              <m:r>
                <m:t>48</m:t>
              </m:r>
              <m:sSup>
                <m:e>
                  <m:r>
                    <m:t>π</m:t>
                  </m:r>
                </m:e>
                <m:sup>
                  <m:r>
                    <m:t>2</m:t>
                  </m:r>
                </m:sup>
              </m:sSup>
            </m:den>
          </m:f>
          <m:r>
            <m:rPr>
              <m:sty m:val="p"/>
            </m:rPr>
            <m:t>&gt;</m:t>
          </m:r>
          <m:r>
            <m:t>0</m:t>
          </m:r>
          <m:r>
            <m:rPr>
              <m:sty m:val="p"/>
            </m:rPr>
            <m:t>.</m:t>
          </m:r>
        </m:oMath>
      </m:oMathPara>
    </w:p>
    <w:p>
      <w:pPr>
        <w:pStyle w:val="FirstParagraph"/>
      </w:pPr>
      <w:r>
        <w:t xml:space="preserve">Therefore the regulator, Peter–Weyl exhaustion, positive heat-kernel transfer and AF-tail theorem are group-parametric. The constants in the two master estimates below are allowed to depend on the fixed group</w:t>
      </w:r>
      <w:r>
        <w:t xml:space="preserve"> </w:t>
      </w:r>
      <m:oMath>
        <m:r>
          <m:t>G</m:t>
        </m:r>
      </m:oMath>
      <w:r>
        <w:t xml:space="preserve">; the quantifier</w:t>
      </w:r>
      <w:r>
        <w:t xml:space="preserve"> </w:t>
      </w:r>
      <w:r>
        <w:t xml:space="preserve">“</w:t>
      </w:r>
      <w:r>
        <w:t xml:space="preserve">for any compact simple</w:t>
      </w:r>
      <w:r>
        <w:t xml:space="preserve"> </w:t>
      </w:r>
      <m:oMath>
        <m:r>
          <m:t>G</m:t>
        </m:r>
      </m:oMath>
      <w:r>
        <w:t xml:space="preserve">”</w:t>
      </w:r>
      <w:r>
        <w:t xml:space="preserve"> </w:t>
      </w:r>
      <w:r>
        <w:t xml:space="preserve">does not require a single numerical gap common to all simple groups.</w:t>
      </w:r>
    </w:p>
    <w:bookmarkEnd w:id="39"/>
    <w:bookmarkStart w:id="42" w:name="two-atomic-estimates"/>
    <w:p>
      <w:pPr>
        <w:pStyle w:val="Heading1"/>
      </w:pPr>
      <w:r>
        <w:t xml:space="preserve">20. Two atomic estimates</w:t>
      </w:r>
    </w:p>
    <w:p>
      <w:pPr>
        <w:pStyle w:val="FirstParagraph"/>
      </w:pPr>
      <w:r>
        <w:t xml:space="preserve">All line-item Jaffe–Witten gates reduce to two quantitative statements.</w:t>
      </w:r>
    </w:p>
    <w:bookmarkStart w:id="40" w:name="a1.-nonperturbative-rg-corridor"/>
    <w:p>
      <w:pPr>
        <w:pStyle w:val="Heading2"/>
      </w:pPr>
      <w:r>
        <w:t xml:space="preserve">A1. Nonperturbative RG corridor</w:t>
      </w:r>
    </w:p>
    <w:p>
      <w:pPr>
        <w:pStyle w:val="FirstParagraph"/>
      </w:pPr>
      <w:r>
        <w:t xml:space="preserve">For each fixed compact simple</w:t>
      </w:r>
      <w:r>
        <w:t xml:space="preserve"> </w:t>
      </w:r>
      <m:oMath>
        <m:r>
          <m:t>G</m:t>
        </m:r>
      </m:oMath>
      <w:r>
        <w:t xml:space="preserve">, construct the exact block RG map</w:t>
      </w:r>
      <w:r>
        <w:t xml:space="preserve"> </w:t>
      </w:r>
      <m:oMath>
        <m:sSub>
          <m:e>
            <m:r>
              <m:rPr>
                <m:sty m:val="p"/>
                <m:scr m:val="script"/>
              </m:rPr>
              <m:t>R</m:t>
            </m:r>
          </m:e>
          <m:sub>
            <m:r>
              <m:t>G</m:t>
            </m:r>
          </m:sub>
        </m:sSub>
      </m:oMath>
      <w:r>
        <w:t xml:space="preserve"> </w:t>
      </w:r>
      <w:r>
        <w:t xml:space="preserve">for the Wilson/heat-kernel regulator and prove constants independent of ultraviolet depth and volume such that:</w:t>
      </w:r>
    </w:p>
    <w:p>
      <w:pPr>
        <w:pStyle w:val="BodyText"/>
      </w:pPr>
      <m:oMathPara>
        <m:oMathParaPr>
          <m:jc m:val="center"/>
        </m:oMathParaPr>
        <m:oMath>
          <m:r>
            <m:rPr>
              <m:sty m:val="p"/>
            </m:rPr>
            <m:t>∥</m:t>
          </m:r>
          <m:sSub>
            <m:e>
              <m:r>
                <m:t>R</m:t>
              </m:r>
            </m:e>
            <m:sub>
              <m:r>
                <m:t>k</m:t>
              </m:r>
            </m:sub>
          </m:sSub>
          <m:sSub>
            <m:e>
              <m:r>
                <m:rPr>
                  <m:sty m:val="p"/>
                </m:rPr>
                <m:t>∥</m:t>
              </m:r>
            </m:e>
            <m:sub>
              <m:r>
                <m:rPr>
                  <m:sty m:val="p"/>
                </m:rPr>
                <m:t>l</m:t>
              </m:r>
              <m:r>
                <m:rPr>
                  <m:sty m:val="p"/>
                </m:rPr>
                <m:t>o</m:t>
              </m:r>
              <m:r>
                <m:rPr>
                  <m:sty m:val="p"/>
                </m:rPr>
                <m:t>c</m:t>
              </m:r>
            </m:sub>
          </m:sSub>
          <m:r>
            <m:rPr>
              <m:sty m:val="p"/>
            </m:rPr>
            <m:t>≤</m:t>
          </m:r>
          <m:sSub>
            <m:e>
              <m:r>
                <m:t>C</m:t>
              </m:r>
            </m:e>
            <m:sub>
              <m:r>
                <m:t>G</m:t>
              </m:r>
            </m:sub>
          </m:sSub>
          <m:sSubSup>
            <m:e>
              <m:r>
                <m:t>g</m:t>
              </m:r>
            </m:e>
            <m:sub>
              <m:r>
                <m:t>k</m:t>
              </m:r>
            </m:sub>
            <m:sup>
              <m:r>
                <m:t>p</m:t>
              </m:r>
            </m:sup>
          </m:sSubSup>
          <m:sSup>
            <m:e>
              <m:r>
                <m:t>e</m:t>
              </m:r>
            </m:e>
            <m:sup>
              <m:r>
                <m:rPr>
                  <m:sty m:val="p"/>
                </m:rPr>
                <m:t>−</m:t>
              </m:r>
              <m:sSub>
                <m:e>
                  <m:r>
                    <m:t>κ</m:t>
                  </m:r>
                </m:e>
                <m:sub>
                  <m:r>
                    <m:t>G</m:t>
                  </m:r>
                </m:sub>
              </m:sSub>
              <m:sSub>
                <m:e>
                  <m:r>
                    <m:t>d</m:t>
                  </m:r>
                </m:e>
                <m:sub>
                  <m:r>
                    <m:t>k</m:t>
                  </m:r>
                </m:sub>
              </m:sSub>
            </m:sup>
          </m:sSup>
          <m:r>
            <m:rPr>
              <m:sty m:val="p"/>
            </m:rPr>
            <m:t>,</m:t>
          </m:r>
          <m:r>
            <m:t>  </m:t>
          </m:r>
          <m:r>
            <m:t>p</m:t>
          </m:r>
          <m:r>
            <m:rPr>
              <m:sty m:val="p"/>
            </m:rPr>
            <m:t>&gt;</m:t>
          </m:r>
          <m:r>
            <m:t>2</m:t>
          </m:r>
          <m:r>
            <m:rPr>
              <m:sty m:val="p"/>
            </m:rPr>
            <m:t>,</m:t>
          </m:r>
        </m:oMath>
      </m:oMathPara>
    </w:p>
    <w:p>
      <w:pPr>
        <w:pStyle w:val="FirstParagraph"/>
      </w:pPr>
      <w:r>
        <w:t xml:space="preserve">and on the compact intermediate interval,</w:t>
      </w:r>
    </w:p>
    <w:p>
      <w:pPr>
        <w:pStyle w:val="BodyText"/>
      </w:pPr>
      <m:oMathPara>
        <m:oMathParaPr>
          <m:jc m:val="center"/>
        </m:oMathParaPr>
        <m:oMath>
          <m:sSub>
            <m:e>
              <m:r>
                <m:t>q</m:t>
              </m:r>
            </m:e>
            <m:sub>
              <m:r>
                <m:t>k</m:t>
              </m:r>
              <m:r>
                <m:rPr>
                  <m:sty m:val="p"/>
                </m:rPr>
                <m:t>+</m:t>
              </m:r>
              <m:r>
                <m:t>1</m:t>
              </m:r>
            </m:sub>
          </m:sSub>
          <m:r>
            <m:rPr>
              <m:sty m:val="p"/>
            </m:rPr>
            <m:t>≤</m:t>
          </m:r>
          <m:sSub>
            <m:e>
              <m:r>
                <m:t>q</m:t>
              </m:r>
            </m:e>
            <m:sub>
              <m:r>
                <m:t>k</m:t>
              </m:r>
            </m:sub>
          </m:sSub>
          <m:r>
            <m:rPr>
              <m:sty m:val="p"/>
            </m:rPr>
            <m:t>−</m:t>
          </m:r>
          <m:sSub>
            <m:e>
              <m:r>
                <m:t>c</m:t>
              </m:r>
            </m:e>
            <m:sub>
              <m:r>
                <m:t>G</m:t>
              </m:r>
            </m:sub>
          </m:sSub>
          <m:r>
            <m:rPr>
              <m:sty m:val="p"/>
            </m:rPr>
            <m:t>,</m:t>
          </m:r>
          <m:r>
            <m:t>  </m:t>
          </m:r>
          <m:sSub>
            <m:e>
              <m:r>
                <m:t>q</m:t>
              </m:r>
            </m:e>
            <m:sub>
              <m:r>
                <m:t>k</m:t>
              </m:r>
            </m:sub>
          </m:sSub>
          <m:r>
            <m:rPr>
              <m:sty m:val="p"/>
            </m:rPr>
            <m:t>=</m:t>
          </m:r>
          <m:sSubSup>
            <m:e>
              <m:r>
                <m:t>g</m:t>
              </m:r>
            </m:e>
            <m:sub>
              <m:r>
                <m:t>k</m:t>
              </m:r>
            </m:sub>
            <m:sup>
              <m:r>
                <m:rPr>
                  <m:sty m:val="p"/>
                </m:rPr>
                <m:t>−</m:t>
              </m:r>
              <m:r>
                <m:t>2</m:t>
              </m:r>
            </m:sup>
          </m:sSubSup>
          <m:r>
            <m:rPr>
              <m:sty m:val="p"/>
            </m:rPr>
            <m:t>,</m:t>
          </m:r>
          <m:r>
            <m:t>  </m:t>
          </m:r>
          <m:sSub>
            <m:e>
              <m:r>
                <m:t>c</m:t>
              </m:r>
            </m:e>
            <m:sub>
              <m:r>
                <m:t>G</m:t>
              </m:r>
            </m:sub>
          </m:sSub>
          <m:r>
            <m:rPr>
              <m:sty m:val="p"/>
            </m:rPr>
            <m:t>&gt;</m:t>
          </m:r>
          <m:r>
            <m:t>0</m:t>
          </m:r>
          <m:r>
            <m:rPr>
              <m:sty m:val="p"/>
            </m:rPr>
            <m:t>.</m:t>
          </m:r>
        </m:oMath>
      </m:oMathPara>
    </w:p>
    <w:p>
      <w:pPr>
        <w:pStyle w:val="FirstParagraph"/>
      </w:pPr>
      <w:r>
        <w:t xml:space="preserve">At the landing scale</w:t>
      </w:r>
      <w:r>
        <w:t xml:space="preserve"> </w:t>
      </w:r>
      <m:oMath>
        <m:sSub>
          <m:e>
            <m:r>
              <m:t>k</m:t>
            </m:r>
          </m:e>
          <m:sub>
            <m:r>
              <m:rPr>
                <m:sty m:val="p"/>
              </m:rPr>
              <m:t>*</m:t>
            </m:r>
          </m:sub>
        </m:sSub>
      </m:oMath>
      <w:r>
        <w:t xml:space="preserve">, require either the strong-coupling perturbation inequalities</w:t>
      </w:r>
    </w:p>
    <w:p>
      <w:pPr>
        <w:pStyle w:val="BodyText"/>
      </w:pPr>
      <m:oMathPara>
        <m:oMathParaPr>
          <m:jc m:val="center"/>
        </m:oMathParaPr>
        <m:oMath>
          <m:sSub>
            <m:e>
              <m:r>
                <m:t>g</m:t>
              </m:r>
            </m:e>
            <m:sub>
              <m:sSub>
                <m:e>
                  <m:r>
                    <m:t>k</m:t>
                  </m:r>
                </m:e>
                <m:sub>
                  <m:r>
                    <m:rPr>
                      <m:sty m:val="p"/>
                    </m:rPr>
                    <m:t>*</m:t>
                  </m:r>
                </m:sub>
              </m:sSub>
            </m:sub>
          </m:sSub>
          <m:r>
            <m:rPr>
              <m:sty m:val="p"/>
            </m:rPr>
            <m:t>≥</m:t>
          </m:r>
          <m:sSub>
            <m:e>
              <m:r>
                <m:t>g</m:t>
              </m:r>
            </m:e>
            <m:sub>
              <m:r>
                <m:rPr>
                  <m:sty m:val="p"/>
                </m:rPr>
                <m:t>*</m:t>
              </m:r>
            </m:sub>
          </m:sSub>
          <m:d>
            <m:dPr>
              <m:begChr m:val="("/>
              <m:endChr m:val=")"/>
              <m:sepChr m:val=""/>
              <m:grow/>
            </m:dPr>
            <m:e>
              <m:r>
                <m:t>G</m:t>
              </m:r>
            </m:e>
          </m:d>
          <m:r>
            <m:rPr>
              <m:sty m:val="p"/>
            </m:rPr>
            <m:t>,</m:t>
          </m:r>
          <m:r>
            <m:t>  </m:t>
          </m:r>
          <m:sSub>
            <m:e>
              <m:r>
                <m:t>ϵ</m:t>
              </m:r>
            </m:e>
            <m:sub>
              <m:r>
                <m:rPr>
                  <m:sty m:val="p"/>
                </m:rPr>
                <m:t>H</m:t>
              </m:r>
              <m:r>
                <m:rPr>
                  <m:sty m:val="p"/>
                </m:rPr>
                <m:t>e</m:t>
              </m:r>
              <m:r>
                <m:rPr>
                  <m:sty m:val="p"/>
                </m:rPr>
                <m:t>s</m:t>
              </m:r>
              <m:r>
                <m:rPr>
                  <m:sty m:val="p"/>
                </m:rPr>
                <m:t>s</m:t>
              </m:r>
            </m:sub>
          </m:sSub>
          <m:r>
            <m:rPr>
              <m:sty m:val="p"/>
            </m:rPr>
            <m:t>&lt;</m:t>
          </m:r>
          <m:sSub>
            <m:e>
              <m:r>
                <m:t>K</m:t>
              </m:r>
            </m:e>
            <m:sub>
              <m:r>
                <m:t>G</m:t>
              </m:r>
            </m:sub>
          </m:sSub>
          <m:r>
            <m:rPr>
              <m:sty m:val="p"/>
            </m:rPr>
            <m:t>,</m:t>
          </m:r>
          <m:r>
            <m:t>  </m:t>
          </m:r>
          <m:sSub>
            <m:e>
              <m:r>
                <m:t>ϵ</m:t>
              </m:r>
            </m:e>
            <m:sub>
              <m:r>
                <m:rPr>
                  <m:sty m:val="p"/>
                </m:rPr>
                <m:t>m</m:t>
              </m:r>
              <m:r>
                <m:rPr>
                  <m:sty m:val="p"/>
                </m:rPr>
                <m:t>i</m:t>
              </m:r>
              <m:r>
                <m:rPr>
                  <m:sty m:val="p"/>
                </m:rPr>
                <m:t>x</m:t>
              </m:r>
            </m:sub>
          </m:sSub>
          <m:r>
            <m:rPr>
              <m:sty m:val="p"/>
            </m:rPr>
            <m:t>&lt;</m:t>
          </m:r>
          <m:sSub>
            <m:e>
              <m:r>
                <m:t>K</m:t>
              </m:r>
            </m:e>
            <m:sub>
              <m:r>
                <m:rPr>
                  <m:sty m:val="p"/>
                </m:rPr>
                <m:t>m</m:t>
              </m:r>
              <m:r>
                <m:rPr>
                  <m:sty m:val="p"/>
                </m:rPr>
                <m:t>i</m:t>
              </m:r>
              <m:r>
                <m:rPr>
                  <m:sty m:val="p"/>
                </m:rPr>
                <m:t>x</m:t>
              </m:r>
              <m:r>
                <m:rPr>
                  <m:sty m:val="p"/>
                </m:rPr>
                <m:t>,</m:t>
              </m:r>
              <m:r>
                <m:t>G</m:t>
              </m:r>
            </m:sub>
          </m:sSub>
          <m:r>
            <m:rPr>
              <m:sty m:val="p"/>
            </m:rPr>
            <m:t>,</m:t>
          </m:r>
        </m:oMath>
      </m:oMathPara>
    </w:p>
    <w:p>
      <w:pPr>
        <w:pStyle w:val="FirstParagraph"/>
      </w:pPr>
      <w:r>
        <w:t xml:space="preserve">or an equivalent exact Schur/KP terminal inequality with a positive volume-independent exponential-decay rate</w:t>
      </w:r>
      <w:r>
        <w:t xml:space="preserve"> </w:t>
      </w:r>
      <m:oMath>
        <m:sSub>
          <m:e>
            <m:r>
              <m:t>m</m:t>
            </m:r>
          </m:e>
          <m:sub>
            <m:r>
              <m:t>G</m:t>
            </m:r>
          </m:sub>
        </m:sSub>
      </m:oMath>
      <w:r>
        <w:t xml:space="preserve">.</w:t>
      </w:r>
    </w:p>
    <w:p>
      <w:pPr>
        <w:pStyle w:val="BodyText"/>
      </w:pPr>
      <w:r>
        <w:t xml:space="preserve">Theorem 6.1 controls the infinite UV tail, Theorem 15.1 makes the landing time finite, Theorem 14.1 gives a rigorous terminal perturbation margin in the Bakry–Émery lane, and Theorem 16.1 transfers the resulting exponential decay to the continuum Hamiltonian spectrum.</w:t>
      </w:r>
    </w:p>
    <w:bookmarkEnd w:id="40"/>
    <w:bookmarkStart w:id="41" w:name="a2.-source-extended-rg-uniformity"/>
    <w:p>
      <w:pPr>
        <w:pStyle w:val="Heading2"/>
      </w:pPr>
      <w:r>
        <w:t xml:space="preserve">A2. Source-extended RG uniformity</w:t>
      </w:r>
    </w:p>
    <w:p>
      <w:pPr>
        <w:pStyle w:val="FirstParagraph"/>
      </w:pPr>
      <w:r>
        <w:t xml:space="preserve">For each finite collection of gauge-invariant curvature differential polynomials</w:t>
      </w:r>
      <w:r>
        <w:t xml:space="preserve"> </w:t>
      </w:r>
      <m:oMath>
        <m:sSub>
          <m:e>
            <m:r>
              <m:t>P</m:t>
            </m:r>
          </m:e>
          <m:sub>
            <m:r>
              <m:t>i</m:t>
            </m:r>
          </m:sub>
        </m:sSub>
      </m:oMath>
      <w:r>
        <w:t xml:space="preserve">, their metric/source insertions, and Schwartz functions</w:t>
      </w:r>
      <w:r>
        <w:t xml:space="preserve"> </w:t>
      </w:r>
      <m:oMath>
        <m:sSub>
          <m:e>
            <m:r>
              <m:t>f</m:t>
            </m:r>
          </m:e>
          <m:sub>
            <m:r>
              <m:t>i</m:t>
            </m:r>
          </m:sub>
        </m:sSub>
      </m:oMath>
      <w:r>
        <w:t xml:space="preserve">, prove a regulator- and volume-independent polydisc</w:t>
      </w:r>
      <w:r>
        <w:t xml:space="preserve"> </w:t>
      </w:r>
      <m:oMath>
        <m:d>
          <m:dPr>
            <m:begChr m:val="|"/>
            <m:endChr m:val="|"/>
            <m:sepChr m:val=""/>
            <m:grow/>
          </m:dPr>
          <m:e>
            <m:sSub>
              <m:e>
                <m:r>
                  <m:t>z</m:t>
                </m:r>
              </m:e>
              <m:sub>
                <m:r>
                  <m:t>i</m:t>
                </m:r>
              </m:sub>
            </m:sSub>
          </m:e>
        </m:d>
        <m:r>
          <m:rPr>
            <m:sty m:val="p"/>
          </m:rPr>
          <m:t>&lt;</m:t>
        </m:r>
        <m:sSub>
          <m:e>
            <m:r>
              <m:t>R</m:t>
            </m:r>
          </m:e>
          <m:sub>
            <m:r>
              <m:t>i</m:t>
            </m:r>
          </m:sub>
        </m:sSub>
      </m:oMath>
      <w:r>
        <w:t xml:space="preserve"> </w:t>
      </w:r>
      <w:r>
        <w:t xml:space="preserve">with</w:t>
      </w:r>
    </w:p>
    <w:p>
      <w:pPr>
        <w:pStyle w:val="BodyText"/>
      </w:pPr>
      <m:oMathPara>
        <m:oMathParaPr>
          <m:jc m:val="center"/>
        </m:oMathParaPr>
        <m:oMath>
          <m:borderBox>
            <m:e>
              <m:d>
                <m:dPr>
                  <m:begChr m:val="|"/>
                  <m:endChr m:val="|"/>
                  <m:sepChr m:val=""/>
                  <m:grow/>
                </m:dPr>
                <m:e>
                  <m:sSub>
                    <m:e>
                      <m:r>
                        <m:t>W</m:t>
                      </m:r>
                    </m:e>
                    <m:sub>
                      <m:r>
                        <m:t>a</m:t>
                      </m:r>
                    </m:sub>
                  </m:sSub>
                  <m:d>
                    <m:dPr>
                      <m:begChr m:val="("/>
                      <m:endChr m:val=")"/>
                      <m:sepChr m:val=""/>
                      <m:grow/>
                    </m:dPr>
                    <m:e>
                      <m:r>
                        <m:t>z</m:t>
                      </m:r>
                    </m:e>
                  </m:d>
                </m:e>
              </m:d>
              <m:r>
                <m:rPr>
                  <m:sty m:val="p"/>
                </m:rPr>
                <m:t>≤</m:t>
              </m:r>
              <m:sSub>
                <m:e>
                  <m:r>
                    <m:t>M</m:t>
                  </m:r>
                </m:e>
                <m:sub>
                  <m:r>
                    <m:t>G</m:t>
                  </m:r>
                </m:sub>
              </m:sSub>
            </m:e>
          </m:borderBox>
        </m:oMath>
      </m:oMathPara>
    </w:p>
    <w:p>
      <w:pPr>
        <w:pStyle w:val="FirstParagraph"/>
      </w:pPr>
      <w:r>
        <w:t xml:space="preserve">and source RG remainders</w:t>
      </w:r>
    </w:p>
    <w:p>
      <w:pPr>
        <w:pStyle w:val="BodyText"/>
      </w:pPr>
      <m:oMathPara>
        <m:oMathParaPr>
          <m:jc m:val="center"/>
        </m:oMathParaPr>
        <m:oMath>
          <m:borderBox>
            <m:e>
              <m:r>
                <m:rPr>
                  <m:sty m:val="p"/>
                </m:rPr>
                <m:t>∥</m:t>
              </m:r>
              <m:sSubSup>
                <m:e>
                  <m:r>
                    <m:t>R</m:t>
                  </m:r>
                </m:e>
                <m:sub>
                  <m:r>
                    <m:t>j</m:t>
                  </m:r>
                </m:sub>
                <m:sup>
                  <m:r>
                    <m:rPr>
                      <m:sty m:val="p"/>
                    </m:rPr>
                    <m:t>s</m:t>
                  </m:r>
                  <m:r>
                    <m:rPr>
                      <m:sty m:val="p"/>
                    </m:rPr>
                    <m:t>r</m:t>
                  </m:r>
                  <m:r>
                    <m:rPr>
                      <m:sty m:val="p"/>
                    </m:rPr>
                    <m:t>c</m:t>
                  </m:r>
                </m:sup>
              </m:sSubSup>
              <m:r>
                <m:rPr>
                  <m:sty m:val="p"/>
                </m:rPr>
                <m:t>∥</m:t>
              </m:r>
              <m:r>
                <m:rPr>
                  <m:sty m:val="p"/>
                </m:rPr>
                <m:t>≤</m:t>
              </m:r>
              <m:sSub>
                <m:e>
                  <m:r>
                    <m:t>C</m:t>
                  </m:r>
                </m:e>
                <m:sub>
                  <m:r>
                    <m:t>G</m:t>
                  </m:r>
                </m:sub>
              </m:sSub>
              <m:sSubSup>
                <m:e>
                  <m:r>
                    <m:t>g</m:t>
                  </m:r>
                </m:e>
                <m:sub>
                  <m:r>
                    <m:t>j</m:t>
                  </m:r>
                </m:sub>
                <m:sup>
                  <m:r>
                    <m:t>p</m:t>
                  </m:r>
                </m:sup>
              </m:sSubSup>
              <m:r>
                <m:rPr>
                  <m:sty m:val="p"/>
                </m:rPr>
                <m:t>,</m:t>
              </m:r>
              <m:r>
                <m:t>  </m:t>
              </m:r>
              <m:r>
                <m:t>p</m:t>
              </m:r>
              <m:r>
                <m:rPr>
                  <m:sty m:val="p"/>
                </m:rPr>
                <m:t>&gt;</m:t>
              </m:r>
              <m:r>
                <m:t>2</m:t>
              </m:r>
              <m:r>
                <m:rPr>
                  <m:sty m:val="p"/>
                </m:rPr>
                <m:t>.</m:t>
              </m:r>
            </m:e>
          </m:borderBox>
        </m:oMath>
      </m:oMathPara>
    </w:p>
    <w:p>
      <w:pPr>
        <w:pStyle w:val="FirstParagraph"/>
      </w:pPr>
      <w:r>
        <w:t xml:space="preserve">Include the anisotropy/metric insertion so that</w:t>
      </w:r>
    </w:p>
    <w:p>
      <w:pPr>
        <w:pStyle w:val="BodyText"/>
      </w:pPr>
      <m:oMathPara>
        <m:oMathParaPr>
          <m:jc m:val="center"/>
        </m:oMathParaPr>
        <m:oMath>
          <m:limLow>
            <m:e>
              <m:r>
                <m:rPr>
                  <m:sty m:val="p"/>
                </m:rPr>
                <m:t>sup</m:t>
              </m:r>
            </m:e>
            <m:lim>
              <m:r>
                <m:t>a</m:t>
              </m:r>
              <m:r>
                <m:rPr>
                  <m:sty m:val="p"/>
                </m:rPr>
                <m:t>,</m:t>
              </m:r>
              <m:r>
                <m:t>L</m:t>
              </m:r>
              <m:r>
                <m:rPr>
                  <m:sty m:val="p"/>
                </m:rPr>
                <m:t>,</m:t>
              </m:r>
              <m:r>
                <m:t>λ</m:t>
              </m:r>
            </m:lim>
          </m:limLow>
          <m:d>
            <m:dPr>
              <m:begChr m:val="|"/>
              <m:endChr m:val="|"/>
              <m:sepChr m:val=""/>
              <m:grow/>
            </m:dPr>
            <m:e>
              <m:sSub>
                <m:e>
                  <m:r>
                    <m:rPr>
                      <m:sty m:val="p"/>
                    </m:rPr>
                    <m:t>Cov</m:t>
                  </m:r>
                </m:e>
                <m:sub>
                  <m:r>
                    <m:t>a</m:t>
                  </m:r>
                  <m:r>
                    <m:rPr>
                      <m:sty m:val="p"/>
                    </m:rPr>
                    <m:t>,</m:t>
                  </m:r>
                  <m:r>
                    <m:t>λ</m:t>
                  </m:r>
                </m:sub>
              </m:sSub>
              <m:d>
                <m:dPr>
                  <m:begChr m:val="("/>
                  <m:endChr m:val=")"/>
                  <m:sepChr m:val=""/>
                  <m:grow/>
                </m:dPr>
                <m:e>
                  <m:r>
                    <m:t>O</m:t>
                  </m:r>
                  <m:r>
                    <m:rPr>
                      <m:sty m:val="p"/>
                    </m:rPr>
                    <m:t>,</m:t>
                  </m:r>
                  <m:sSub>
                    <m:e>
                      <m:r>
                        <m:t>V</m:t>
                      </m:r>
                    </m:e>
                    <m:sub>
                      <m:r>
                        <m:rPr>
                          <m:sty m:val="p"/>
                        </m:rPr>
                        <m:t>a</m:t>
                      </m:r>
                      <m:r>
                        <m:rPr>
                          <m:sty m:val="p"/>
                        </m:rPr>
                        <m:t>n</m:t>
                      </m:r>
                      <m:r>
                        <m:rPr>
                          <m:sty m:val="p"/>
                        </m:rPr>
                        <m:t>i</m:t>
                      </m:r>
                      <m:r>
                        <m:rPr>
                          <m:sty m:val="p"/>
                        </m:rPr>
                        <m:t>s</m:t>
                      </m:r>
                      <m:r>
                        <m:rPr>
                          <m:sty m:val="p"/>
                        </m:rPr>
                        <m:t>o</m:t>
                      </m:r>
                    </m:sub>
                  </m:sSub>
                </m:e>
              </m:d>
            </m:e>
          </m:d>
          <m:r>
            <m:rPr>
              <m:sty m:val="p"/>
            </m:rPr>
            <m:t>≤</m:t>
          </m:r>
          <m:sSub>
            <m:e>
              <m:r>
                <m:t>C</m:t>
              </m:r>
            </m:e>
            <m:sub>
              <m:r>
                <m:t>O</m:t>
              </m:r>
            </m:sub>
          </m:sSub>
          <m:r>
            <m:rPr>
              <m:sty m:val="p"/>
            </m:rPr>
            <m:t>.</m:t>
          </m:r>
        </m:oMath>
      </m:oMathPara>
    </w:p>
    <w:p>
      <w:pPr>
        <w:pStyle w:val="FirstParagraph"/>
      </w:pPr>
      <w:r>
        <w:t xml:space="preserve">Fix the finite renormalization conditions so the local coefficients reproduce the Yang–Mills beta function, gauge Ward/Slavnov identities, the conserved stress tensor, and the local OPE normalization.</w:t>
      </w:r>
    </w:p>
    <w:p>
      <w:pPr>
        <w:pStyle w:val="BodyText"/>
      </w:pPr>
      <w:r>
        <w:t xml:space="preserve">Then Theorems 10–13 and 18 yield the required local fields, tempered Schwinger functions, full Euclidean covariance, nontriviality and AF short-distance data.</w:t>
      </w:r>
    </w:p>
    <w:bookmarkEnd w:id="41"/>
    <w:bookmarkEnd w:id="42"/>
    <w:bookmarkStart w:id="43" w:name="main-reduction-theorem"/>
    <w:p>
      <w:pPr>
        <w:pStyle w:val="Heading1"/>
      </w:pPr>
      <w:r>
        <w:t xml:space="preserve">21. Main reduction theorem</w:t>
      </w:r>
    </w:p>
    <w:p>
      <w:pPr>
        <w:pStyle w:val="FirstParagraph"/>
      </w:pPr>
      <w:r>
        <w:rPr>
          <w:bCs/>
          <w:b/>
        </w:rPr>
        <w:t xml:space="preserve">Theorem 21.1 (Jaffe–Witten closure from A1+A2).</w:t>
      </w:r>
      <w:r>
        <w:t xml:space="preserve"> </w:t>
      </w:r>
      <w:r>
        <w:t xml:space="preserve">Fix a compact simple gauge group</w:t>
      </w:r>
      <w:r>
        <w:t xml:space="preserve"> </w:t>
      </w:r>
      <m:oMath>
        <m:r>
          <m:t>G</m:t>
        </m:r>
      </m:oMath>
      <w:r>
        <w:t xml:space="preserve">. Assume A1 and A2 for the Wilson/heat-kernel regulator described above. Then there exists a nontrivial quantum Yang–Mills theory on</w:t>
      </w:r>
      <w:r>
        <w:t xml:space="preserve"> </w:t>
      </w:r>
      <m:oMath>
        <m:sSup>
          <m:e>
            <m:r>
              <m:rPr>
                <m:sty m:val="p"/>
                <m:scr m:val="double-struck"/>
              </m:rPr>
              <m:t>R</m:t>
            </m:r>
          </m:e>
          <m:sup>
            <m:r>
              <m:t>4</m:t>
            </m:r>
          </m:sup>
        </m:sSup>
      </m:oMath>
      <w:r>
        <w:t xml:space="preserve">, with local gauge-invariant fields corresponding to renormalized curvature differential polynomials, satisfying the Osterwalder–Schrader axioms and hence admitting Wightman reconstruction. Its Hamiltonian obeys</w:t>
      </w:r>
    </w:p>
    <w:p>
      <w:pPr>
        <w:pStyle w:val="BodyText"/>
      </w:pPr>
      <m:oMathPara>
        <m:oMathParaPr>
          <m:jc m:val="center"/>
        </m:oMathParaPr>
        <m:oMath>
          <m:borderBox>
            <m:e>
              <m:r>
                <m:rPr>
                  <m:sty m:val="p"/>
                </m:rPr>
                <m:t>Spec</m:t>
              </m:r>
              <m:d>
                <m:dPr>
                  <m:begChr m:val="("/>
                  <m:endChr m:val=")"/>
                  <m:sepChr m:val=""/>
                  <m:grow/>
                </m:dPr>
                <m:e>
                  <m:r>
                    <m:t>H</m:t>
                  </m:r>
                </m:e>
              </m:d>
              <m:r>
                <m:rPr>
                  <m:sty m:val="p"/>
                </m:rPr>
                <m:t>∩</m:t>
              </m:r>
              <m:d>
                <m:dPr>
                  <m:begChr m:val="("/>
                  <m:endChr m:val=")"/>
                  <m:sepChr m:val=""/>
                  <m:grow/>
                </m:dPr>
                <m:e>
                  <m:r>
                    <m:t>0</m:t>
                  </m:r>
                  <m:r>
                    <m:rPr>
                      <m:sty m:val="p"/>
                    </m:rPr>
                    <m:t>,</m:t>
                  </m:r>
                  <m:sSub>
                    <m:e>
                      <m:r>
                        <m:t>m</m:t>
                      </m:r>
                    </m:e>
                    <m:sub>
                      <m:r>
                        <m:t>G</m:t>
                      </m:r>
                    </m:sub>
                  </m:sSub>
                </m:e>
              </m:d>
              <m:r>
                <m:rPr>
                  <m:sty m:val="p"/>
                </m:rPr>
                <m:t>=</m:t>
              </m:r>
              <m:r>
                <m:rPr>
                  <m:sty m:val="p"/>
                </m:rPr>
                <m:t>⌀</m:t>
              </m:r>
              <m:r>
                <m:rPr>
                  <m:sty m:val="p"/>
                </m:rPr>
                <m:t>,</m:t>
              </m:r>
              <m:r>
                <m:t>  </m:t>
              </m:r>
              <m:r>
                <m:t>0</m:t>
              </m:r>
              <m:r>
                <m:rPr>
                  <m:sty m:val="p"/>
                </m:rPr>
                <m:t>&lt;</m:t>
              </m:r>
              <m:sSub>
                <m:e>
                  <m:r>
                    <m:t>m</m:t>
                  </m:r>
                </m:e>
                <m:sub>
                  <m:r>
                    <m:t>G</m:t>
                  </m:r>
                </m:sub>
              </m:sSub>
              <m:r>
                <m:rPr>
                  <m:sty m:val="p"/>
                </m:rPr>
                <m:t>&lt;</m:t>
              </m:r>
              <m:r>
                <m:rPr>
                  <m:sty m:val="p"/>
                </m:rPr>
                <m:t>∞</m:t>
              </m:r>
              <m:r>
                <m:rPr>
                  <m:sty m:val="p"/>
                </m:rPr>
                <m:t>.</m:t>
              </m:r>
            </m:e>
          </m:borderBox>
        </m:oMath>
      </m:oMathPara>
    </w:p>
    <w:p>
      <w:pPr>
        <w:pStyle w:val="FirstParagraph"/>
      </w:pPr>
      <w:r>
        <w:rPr>
          <w:bCs/>
          <w:b/>
        </w:rPr>
        <w:t xml:space="preserve">Proof.</w:t>
      </w:r>
    </w:p>
    <w:p>
      <w:pPr>
        <w:pStyle w:val="BodyText"/>
      </w:pPr>
      <w:r>
        <w:t xml:space="preserve">A1 supplies a regulator- and volume-independent exponential-decay rate</w:t>
      </w:r>
      <w:r>
        <w:t xml:space="preserve"> </w:t>
      </w:r>
      <m:oMath>
        <m:sSub>
          <m:e>
            <m:r>
              <m:t>m</m:t>
            </m:r>
          </m:e>
          <m:sub>
            <m:r>
              <m:t>G</m:t>
            </m:r>
          </m:sub>
        </m:sSub>
        <m:r>
          <m:rPr>
            <m:sty m:val="p"/>
          </m:rPr>
          <m:t>&gt;</m:t>
        </m:r>
        <m:r>
          <m:t>0</m:t>
        </m:r>
      </m:oMath>
      <w:r>
        <w:t xml:space="preserve"> </w:t>
      </w:r>
      <w:r>
        <w:t xml:space="preserve">after exact RG transport to the terminal basin. The thermodynamic state exists by Theorem 7.1. A2 and Theorem 11.1 give regulator-independent factorial source-derivative bounds; Theorem 10.1 gives a common continuum family of tempered Schwinger distributions for the local curvature composites. Regulator reflection positivity passes to the limit by Theorem 9.1. Translation invariance extends from the dense refinement subgroup by Theorem 13.1. The anisotropy estimate in A2 and Theorem 12.1 yield full</w:t>
      </w:r>
      <w:r>
        <w:t xml:space="preserve"> </w:t>
      </w:r>
      <m:oMath>
        <m:r>
          <m:t>O</m:t>
        </m:r>
        <m:d>
          <m:dPr>
            <m:begChr m:val="("/>
            <m:endChr m:val=")"/>
            <m:sepChr m:val=""/>
            <m:grow/>
          </m:dPr>
          <m:e>
            <m:r>
              <m:t>4</m:t>
            </m:r>
          </m:e>
        </m:d>
      </m:oMath>
      <w:r>
        <w:t xml:space="preserve"> </w:t>
      </w:r>
      <w:r>
        <w:t xml:space="preserve">invariance. The uniform exponential connected-correlation estimate passes to the limit and supplies clustering. The resulting Schwinger family satisfies the OS input package and reconstructs a Hilbert space</w:t>
      </w:r>
      <w:r>
        <w:t xml:space="preserve"> </w:t>
      </w:r>
      <m:oMath>
        <m:r>
          <m:rPr>
            <m:sty m:val="p"/>
            <m:scr m:val="script"/>
          </m:rPr>
          <m:t>H</m:t>
        </m:r>
      </m:oMath>
      <w:r>
        <w:t xml:space="preserve">, vacuum</w:t>
      </w:r>
      <w:r>
        <w:t xml:space="preserve"> </w:t>
      </w:r>
      <m:oMath>
        <m:r>
          <m:t>Ω</m:t>
        </m:r>
      </m:oMath>
      <w:r>
        <w:t xml:space="preserve">, positive-energy representation and local fields. A2 fixes a nonzero running local interaction datum and the Yang–Mills short-distance/OPE structure, so the reconstructed theory is nontrivial. Theorem 16.1 excludes spectrum in</w:t>
      </w:r>
      <w:r>
        <w:t xml:space="preserve"> </w:t>
      </w:r>
      <m:oMath>
        <m:d>
          <m:dPr>
            <m:begChr m:val="("/>
            <m:endChr m:val=")"/>
            <m:sepChr m:val=""/>
            <m:grow/>
          </m:dPr>
          <m:e>
            <m:r>
              <m:t>0</m:t>
            </m:r>
            <m:r>
              <m:rPr>
                <m:sty m:val="p"/>
              </m:rPr>
              <m:t>,</m:t>
            </m:r>
            <m:sSub>
              <m:e>
                <m:r>
                  <m:t>m</m:t>
                </m:r>
              </m:e>
              <m:sub>
                <m:r>
                  <m:t>G</m:t>
                </m:r>
              </m:sub>
            </m:sSub>
          </m:e>
        </m:d>
      </m:oMath>
      <w:r>
        <w:t xml:space="preserve">. Vacuum uniqueness in the massive terminal phase and nontriviality imply</w:t>
      </w:r>
      <w:r>
        <w:t xml:space="preserve"> </w:t>
      </w:r>
      <m:oMath>
        <m:sSub>
          <m:e>
            <m:r>
              <m:t>m</m:t>
            </m:r>
          </m:e>
          <m:sub>
            <m:r>
              <m:t>G</m:t>
            </m:r>
          </m:sub>
        </m:sSub>
        <m:r>
          <m:rPr>
            <m:sty m:val="p"/>
          </m:rPr>
          <m:t>&lt;</m:t>
        </m:r>
        <m:r>
          <m:rPr>
            <m:sty m:val="p"/>
          </m:rPr>
          <m:t>∞</m:t>
        </m:r>
      </m:oMath>
      <w:r>
        <w:t xml:space="preserve"> </w:t>
      </w:r>
      <w:r>
        <w:t xml:space="preserve">by Theorem 17.1.</w:t>
      </w:r>
      <w:r>
        <w:t xml:space="preserve"> </w:t>
      </w:r>
      <m:oMath>
        <m:r>
          <m:rPr>
            <m:sty m:val="p"/>
          </m:rPr>
          <m:t>▫</m:t>
        </m:r>
      </m:oMath>
    </w:p>
    <w:bookmarkEnd w:id="43"/>
    <w:bookmarkStart w:id="44" w:name="Xf4937e8c064aa90638a3507ae82a23d82b8034a"/>
    <w:p>
      <w:pPr>
        <w:pStyle w:val="Heading1"/>
      </w:pPr>
      <w:r>
        <w:t xml:space="preserve">22. Exact dependency map to the Jaffe–Witten statement</w:t>
      </w:r>
    </w:p>
    <w:p>
      <w:pPr>
        <w:pStyle w:val="FirstParagraph"/>
      </w:pPr>
      <w:r>
        <w:t xml:space="preserve">The official statement requires both a mathematically complete four-dimensional quantum gauge theory and a positive mass gap. The proof graph implemented in the repository is</w:t>
      </w:r>
    </w:p>
    <w:p>
      <w:pPr>
        <w:pStyle w:val="BodyText"/>
      </w:pPr>
      <m:oMathPara>
        <m:oMathParaPr>
          <m:jc m:val="center"/>
        </m:oMathParaPr>
        <m:oMath>
          <m:borderBox>
            <m:e>
              <m:m>
                <m:mPr>
                  <m:baseJc m:val="center"/>
                  <m:plcHide m:val="on"/>
                  <m:mcs>
                    <m:mc>
                      <m:mcPr>
                        <m:mcJc m:val="right"/>
                        <m:count m:val="1"/>
                      </m:mcPr>
                    </m:mc>
                    <m:mc>
                      <m:mcPr>
                        <m:mcJc m:val="left"/>
                        <m:count m:val="1"/>
                      </m:mcPr>
                    </m:mc>
                  </m:mcs>
                </m:mPr>
                <m:mr>
                  <m:e/>
                  <m:e>
                    <m:sSup>
                      <m:e>
                        <m:r>
                          <m:t>L</m:t>
                        </m:r>
                      </m:e>
                      <m:sup>
                        <m:r>
                          <m:t>2</m:t>
                        </m:r>
                      </m:sup>
                    </m:sSup>
                    <m:d>
                      <m:dPr>
                        <m:begChr m:val="("/>
                        <m:endChr m:val=")"/>
                        <m:sepChr m:val=""/>
                        <m:grow/>
                      </m:dPr>
                      <m:e>
                        <m:r>
                          <m:t>G</m:t>
                        </m:r>
                      </m:e>
                    </m:d>
                    <m:r>
                      <m:rPr>
                        <m:nor/>
                        <m:sty m:val="p"/>
                      </m:rPr>
                      <m:t> regulator</m:t>
                    </m:r>
                    <m:r>
                      <m:rPr>
                        <m:sty m:val="p"/>
                      </m:rPr>
                      <m:t>+</m:t>
                    </m:r>
                    <m:r>
                      <m:rPr>
                        <m:nor/>
                        <m:sty m:val="p"/>
                      </m:rPr>
                      <m:t> gauge covariance</m:t>
                    </m:r>
                    <m:r>
                      <m:rPr>
                        <m:sty m:val="p"/>
                      </m:rPr>
                      <m:t>+</m:t>
                    </m:r>
                    <m:r>
                      <m:rPr>
                        <m:nor/>
                        <m:sty m:val="p"/>
                      </m:rPr>
                      <m:t> RP</m:t>
                    </m:r>
                    <m:r>
                      <m:rPr>
                        <m:sty m:val="p"/>
                      </m:rPr>
                      <m:t>+</m:t>
                    </m:r>
                    <m:sSub>
                      <m:e>
                        <m:r>
                          <m:t>Γ</m:t>
                        </m:r>
                      </m:e>
                      <m:sub>
                        <m:r>
                          <m:t>r</m:t>
                        </m:r>
                        <m:r>
                          <m:rPr>
                            <m:sty m:val="p"/>
                          </m:rPr>
                          <m:t>,</m:t>
                        </m:r>
                        <m:r>
                          <m:t>s</m:t>
                        </m:r>
                      </m:sub>
                    </m:sSub>
                  </m:e>
                </m:mr>
                <m:mr>
                  <m:e/>
                  <m:e>
                    <m:r>
                      <m:t> </m:t>
                    </m:r>
                    <m:r>
                      <m:rPr>
                        <m:sty m:val="p"/>
                      </m:rPr>
                      <m:t>⇓</m:t>
                    </m:r>
                  </m:e>
                </m:mr>
                <m:mr>
                  <m:e/>
                  <m:e>
                    <m:r>
                      <m:rPr>
                        <m:nor/>
                        <m:sty m:val="p"/>
                      </m:rPr>
                      <m:t>Balaban/MRS UV structure</m:t>
                    </m:r>
                    <m:r>
                      <m:rPr>
                        <m:sty m:val="p"/>
                      </m:rPr>
                      <m:t>+</m:t>
                    </m:r>
                    <m:r>
                      <m:rPr>
                        <m:nor/>
                        <m:sty m:val="p"/>
                      </m:rPr>
                      <m:t>AF tail theorem</m:t>
                    </m:r>
                    <m:r>
                      <m:rPr>
                        <m:sty m:val="p"/>
                      </m:rPr>
                      <m:t>+</m:t>
                    </m:r>
                    <m:r>
                      <m:rPr>
                        <m:sty m:val="b"/>
                      </m:rPr>
                      <m:t>A</m:t>
                    </m:r>
                    <m:r>
                      <m:rPr>
                        <m:sty m:val="b"/>
                      </m:rPr>
                      <m:t>1</m:t>
                    </m:r>
                  </m:e>
                </m:mr>
                <m:mr>
                  <m:e/>
                  <m:e>
                    <m:r>
                      <m:t> </m:t>
                    </m:r>
                    <m:r>
                      <m:rPr>
                        <m:sty m:val="p"/>
                      </m:rPr>
                      <m:t>⇓</m:t>
                    </m:r>
                  </m:e>
                </m:mr>
                <m:mr>
                  <m:e/>
                  <m:e>
                    <m:r>
                      <m:rPr>
                        <m:nor/>
                        <m:sty m:val="p"/>
                      </m:rPr>
                      <m:t>uniform massive terminal correlation bound</m:t>
                    </m:r>
                  </m:e>
                </m:mr>
                <m:mr>
                  <m:e/>
                  <m:e>
                    <m:r>
                      <m:t> </m:t>
                    </m:r>
                    <m:r>
                      <m:rPr>
                        <m:sty m:val="p"/>
                      </m:rPr>
                      <m:t>⇓</m:t>
                    </m:r>
                  </m:e>
                </m:mr>
                <m:mr>
                  <m:e/>
                  <m:e>
                    <m:r>
                      <m:rPr>
                        <m:sty m:val="b"/>
                      </m:rPr>
                      <m:t>A</m:t>
                    </m:r>
                    <m:r>
                      <m:rPr>
                        <m:sty m:val="b"/>
                      </m:rPr>
                      <m:t>2</m:t>
                    </m:r>
                    <m:r>
                      <m:rPr>
                        <m:sty m:val="p"/>
                      </m:rPr>
                      <m:t>+</m:t>
                    </m:r>
                    <m:r>
                      <m:rPr>
                        <m:nor/>
                        <m:sty m:val="p"/>
                      </m:rPr>
                      <m:t>Schwinger compactness</m:t>
                    </m:r>
                    <m:r>
                      <m:rPr>
                        <m:sty m:val="p"/>
                      </m:rPr>
                      <m:t>+</m:t>
                    </m:r>
                    <m:r>
                      <m:t>O</m:t>
                    </m:r>
                    <m:d>
                      <m:dPr>
                        <m:begChr m:val="("/>
                        <m:endChr m:val=")"/>
                        <m:sepChr m:val=""/>
                        <m:grow/>
                      </m:dPr>
                      <m:e>
                        <m:r>
                          <m:t>4</m:t>
                        </m:r>
                      </m:e>
                    </m:d>
                    <m:r>
                      <m:rPr>
                        <m:nor/>
                        <m:sty m:val="p"/>
                      </m:rPr>
                      <m:t> restoration</m:t>
                    </m:r>
                    <m:r>
                      <m:rPr>
                        <m:sty m:val="p"/>
                      </m:rPr>
                      <m:t>+</m:t>
                    </m:r>
                    <m:r>
                      <m:rPr>
                        <m:nor/>
                        <m:sty m:val="p"/>
                      </m:rPr>
                      <m:t>local AF/OPE fields</m:t>
                    </m:r>
                  </m:e>
                </m:mr>
                <m:mr>
                  <m:e/>
                  <m:e>
                    <m:r>
                      <m:t> </m:t>
                    </m:r>
                    <m:r>
                      <m:rPr>
                        <m:sty m:val="p"/>
                      </m:rPr>
                      <m:t>⇓</m:t>
                    </m:r>
                  </m:e>
                </m:mr>
                <m:mr>
                  <m:e/>
                  <m:e>
                    <m:r>
                      <m:rPr>
                        <m:nor/>
                        <m:sty m:val="p"/>
                      </m:rPr>
                      <m:t>OS reconstruction</m:t>
                    </m:r>
                  </m:e>
                </m:mr>
                <m:mr>
                  <m:e/>
                  <m:e>
                    <m:r>
                      <m:t> </m:t>
                    </m:r>
                    <m:r>
                      <m:rPr>
                        <m:sty m:val="p"/>
                      </m:rPr>
                      <m:t>⇓</m:t>
                    </m:r>
                  </m:e>
                </m:mr>
                <m:mr>
                  <m:e/>
                  <m:e>
                    <m:r>
                      <m:rPr>
                        <m:sty m:val="p"/>
                      </m:rPr>
                      <m:t>Spec</m:t>
                    </m:r>
                    <m:d>
                      <m:dPr>
                        <m:begChr m:val="("/>
                        <m:endChr m:val=")"/>
                        <m:sepChr m:val=""/>
                        <m:grow/>
                      </m:dPr>
                      <m:e>
                        <m:r>
                          <m:t>H</m:t>
                        </m:r>
                      </m:e>
                    </m:d>
                    <m:r>
                      <m:rPr>
                        <m:sty m:val="p"/>
                      </m:rPr>
                      <m:t>∩</m:t>
                    </m:r>
                    <m:d>
                      <m:dPr>
                        <m:begChr m:val="("/>
                        <m:endChr m:val=")"/>
                        <m:sepChr m:val=""/>
                        <m:grow/>
                      </m:dPr>
                      <m:e>
                        <m:r>
                          <m:t>0</m:t>
                        </m:r>
                        <m:r>
                          <m:rPr>
                            <m:sty m:val="p"/>
                          </m:rPr>
                          <m:t>,</m:t>
                        </m:r>
                        <m:sSub>
                          <m:e>
                            <m:r>
                              <m:t>m</m:t>
                            </m:r>
                          </m:e>
                          <m:sub>
                            <m:r>
                              <m:t>G</m:t>
                            </m:r>
                          </m:sub>
                        </m:sSub>
                      </m:e>
                    </m:d>
                    <m:r>
                      <m:rPr>
                        <m:sty m:val="p"/>
                      </m:rPr>
                      <m:t>=</m:t>
                    </m:r>
                    <m:r>
                      <m:rPr>
                        <m:sty m:val="p"/>
                      </m:rPr>
                      <m:t>⌀</m:t>
                    </m:r>
                    <m:r>
                      <m:rPr>
                        <m:sty m:val="p"/>
                      </m:rPr>
                      <m:t>,</m:t>
                    </m:r>
                    <m:r>
                      <m:t> </m:t>
                    </m:r>
                    <m:r>
                      <m:t>0</m:t>
                    </m:r>
                    <m:r>
                      <m:rPr>
                        <m:sty m:val="p"/>
                      </m:rPr>
                      <m:t>&lt;</m:t>
                    </m:r>
                    <m:sSub>
                      <m:e>
                        <m:r>
                          <m:t>m</m:t>
                        </m:r>
                      </m:e>
                      <m:sub>
                        <m:r>
                          <m:t>G</m:t>
                        </m:r>
                      </m:sub>
                    </m:sSub>
                    <m:r>
                      <m:rPr>
                        <m:sty m:val="p"/>
                      </m:rPr>
                      <m:t>&lt;</m:t>
                    </m:r>
                    <m:r>
                      <m:rPr>
                        <m:sty m:val="p"/>
                      </m:rPr>
                      <m:t>∞</m:t>
                    </m:r>
                    <m:r>
                      <m:rPr>
                        <m:sty m:val="p"/>
                      </m:rPr>
                      <m:t>.</m:t>
                    </m:r>
                  </m:e>
                </m:mr>
              </m:m>
            </m:e>
          </m:borderBox>
        </m:oMath>
      </m:oMathPara>
    </w:p>
    <w:p>
      <w:pPr>
        <w:pStyle w:val="FirstParagraph"/>
      </w:pPr>
      <w:r>
        <w:t xml:space="preserve">The machine-readable line-by-line mapping is</w:t>
      </w:r>
      <w:r>
        <w:t xml:space="preserve"> </w:t>
      </w:r>
      <w:r>
        <w:rPr>
          <w:rStyle w:val="VerbatimChar"/>
        </w:rPr>
        <w:t xml:space="preserve">results/jaffe_witten_obligation_ledger_v6.csv</w:t>
      </w:r>
      <w:r>
        <w:t xml:space="preserve">. The final atomic dependency graph is</w:t>
      </w:r>
      <w:r>
        <w:t xml:space="preserve"> </w:t>
      </w:r>
      <w:r>
        <w:rPr>
          <w:rStyle w:val="VerbatimChar"/>
        </w:rPr>
        <w:t xml:space="preserve">results/ATOMIC_PROOF_FRONTIER_v6.json</w:t>
      </w:r>
      <w:r>
        <w:t xml:space="preserve">.</w:t>
      </w:r>
    </w:p>
    <w:bookmarkEnd w:id="44"/>
    <w:bookmarkStart w:id="45" w:name="computational-verification"/>
    <w:p>
      <w:pPr>
        <w:pStyle w:val="Heading1"/>
      </w:pPr>
      <w:r>
        <w:t xml:space="preserve">23. Computational verification</w:t>
      </w:r>
    </w:p>
    <w:p>
      <w:pPr>
        <w:pStyle w:val="FirstParagraph"/>
      </w:pPr>
      <w:r>
        <w:t xml:space="preserve">The computational layer verifies finite algebra and the numerical inequalities entering the reduction. It does not replace any infinite-dimensional theorem.</w:t>
      </w:r>
    </w:p>
    <w:p>
      <w:pPr>
        <w:pStyle w:val="BodyText"/>
      </w:pPr>
      <w:r>
        <w:t xml:space="preserve">The current package runs:</w:t>
      </w:r>
    </w:p>
    <w:p>
      <w:pPr>
        <w:pStyle w:val="BodyText"/>
      </w:pPr>
      <m:oMathPara>
        <m:oMathParaPr>
          <m:jc m:val="center"/>
        </m:oMathParaPr>
        <m:oMath>
          <m:borderBox>
            <m:e>
              <m:r>
                <m:t>24</m:t>
              </m:r>
              <m:r>
                <m:rPr>
                  <m:sty m:val="p"/>
                </m:rPr>
                <m:t>/</m:t>
              </m:r>
              <m:r>
                <m:t>24</m:t>
              </m:r>
              <m:r>
                <m:t> </m:t>
              </m:r>
              <m:r>
                <m:rPr>
                  <m:nor/>
                  <m:sty m:val="p"/>
                </m:rPr>
                <m:t>pytest regression tests PASS</m:t>
              </m:r>
            </m:e>
          </m:borderBox>
        </m:oMath>
      </m:oMathPara>
    </w:p>
    <w:p>
      <w:pPr>
        <w:pStyle w:val="FirstParagraph"/>
      </w:pPr>
      <w:r>
        <w:t xml:space="preserve">and the final v6 independent verifier reports</w:t>
      </w:r>
    </w:p>
    <w:p>
      <w:pPr>
        <w:pStyle w:val="BodyText"/>
      </w:pPr>
      <m:oMathPara>
        <m:oMathParaPr>
          <m:jc m:val="center"/>
        </m:oMathParaPr>
        <m:oMath>
          <m:borderBox>
            <m:e>
              <m:r>
                <m:t>6</m:t>
              </m:r>
              <m:r>
                <m:rPr>
                  <m:sty m:val="p"/>
                </m:rPr>
                <m:t>/</m:t>
              </m:r>
              <m:r>
                <m:t>6</m:t>
              </m:r>
              <m:r>
                <m:t> </m:t>
              </m:r>
              <m:r>
                <m:rPr>
                  <m:nor/>
                  <m:sty m:val="p"/>
                </m:rPr>
                <m:t>meta-verification checks PASS</m:t>
              </m:r>
            </m:e>
          </m:borderBox>
          <m:r>
            <m:rPr>
              <m:sty m:val="p"/>
            </m:rPr>
            <m:t>.</m:t>
          </m:r>
        </m:oMath>
      </m:oMathPara>
    </w:p>
    <w:p>
      <w:pPr>
        <w:pStyle w:val="FirstParagraph"/>
      </w:pPr>
      <w:r>
        <w:t xml:space="preserve">The earlier independent finite-block verifier remains</w:t>
      </w:r>
    </w:p>
    <w:p>
      <w:pPr>
        <w:pStyle w:val="BodyText"/>
      </w:pPr>
      <m:oMathPara>
        <m:oMathParaPr>
          <m:jc m:val="center"/>
        </m:oMathParaPr>
        <m:oMath>
          <m:borderBox>
            <m:e>
              <m:r>
                <m:t>11</m:t>
              </m:r>
              <m:r>
                <m:rPr>
                  <m:sty m:val="p"/>
                </m:rPr>
                <m:t>/</m:t>
              </m:r>
              <m:r>
                <m:t>11</m:t>
              </m:r>
              <m:r>
                <m:t> </m:t>
              </m:r>
              <m:r>
                <m:rPr>
                  <m:nor/>
                  <m:sty m:val="p"/>
                </m:rPr>
                <m:t>PASS</m:t>
              </m:r>
            </m:e>
          </m:borderBox>
          <m:r>
            <m:rPr>
              <m:sty m:val="p"/>
            </m:rPr>
            <m:t>.</m:t>
          </m:r>
        </m:oMath>
      </m:oMathPara>
    </w:p>
    <w:p>
      <w:pPr>
        <w:pStyle w:val="FirstParagraph"/>
      </w:pPr>
      <w:r>
        <w:t xml:space="preserve">The package contains:</w:t>
      </w:r>
    </w:p>
    <w:p>
      <w:pPr>
        <w:numPr>
          <w:ilvl w:val="0"/>
          <w:numId w:val="1002"/>
        </w:numPr>
        <w:pStyle w:val="Compact"/>
      </w:pPr>
      <w:r>
        <w:t xml:space="preserve">exact SU(3) generator/Casimir checks;</w:t>
      </w:r>
    </w:p>
    <w:p>
      <w:pPr>
        <w:numPr>
          <w:ilvl w:val="0"/>
          <w:numId w:val="1002"/>
        </w:numPr>
        <w:pStyle w:val="Compact"/>
      </w:pPr>
      <w:r>
        <w:t xml:space="preserve">Peter–Weyl dimension and heat-kernel semigroup ledgers;</w:t>
      </w:r>
    </w:p>
    <w:p>
      <w:pPr>
        <w:numPr>
          <w:ilvl w:val="0"/>
          <w:numId w:val="1002"/>
        </w:numPr>
        <w:pStyle w:val="Compact"/>
      </w:pPr>
      <w:r>
        <w:t xml:space="preserve">H504 and native-block Schur replay data;</w:t>
      </w:r>
    </w:p>
    <w:p>
      <w:pPr>
        <w:numPr>
          <w:ilvl w:val="0"/>
          <w:numId w:val="1002"/>
        </w:numPr>
        <w:pStyle w:val="Compact"/>
      </w:pPr>
      <w:r>
        <w:t xml:space="preserve">AF-tail numerical comparisons against the analytic infinite bound;</w:t>
      </w:r>
    </w:p>
    <w:p>
      <w:pPr>
        <w:numPr>
          <w:ilvl w:val="0"/>
          <w:numId w:val="1002"/>
        </w:numPr>
        <w:pStyle w:val="Compact"/>
      </w:pPr>
      <w:r>
        <w:t xml:space="preserve">strong-coupling normalization and</w:t>
      </w:r>
      <w:r>
        <w:t xml:space="preserve"> </w:t>
      </w:r>
      <m:oMath>
        <m:sSub>
          <m:e>
            <m:r>
              <m:t>K</m:t>
            </m:r>
          </m:e>
          <m:sub>
            <m:r>
              <m:t>S</m:t>
            </m:r>
          </m:sub>
        </m:sSub>
      </m:oMath>
      <w:r>
        <w:t xml:space="preserve"> </w:t>
      </w:r>
      <w:r>
        <w:t xml:space="preserve">margin calculations;</w:t>
      </w:r>
    </w:p>
    <w:p>
      <w:pPr>
        <w:numPr>
          <w:ilvl w:val="0"/>
          <w:numId w:val="1002"/>
        </w:numPr>
        <w:pStyle w:val="Compact"/>
      </w:pPr>
      <w:r>
        <w:t xml:space="preserve">refinement and fixed-physical-block ledgers;</w:t>
      </w:r>
    </w:p>
    <w:p>
      <w:pPr>
        <w:numPr>
          <w:ilvl w:val="0"/>
          <w:numId w:val="1002"/>
        </w:numPr>
        <w:pStyle w:val="Compact"/>
      </w:pPr>
      <w:r>
        <w:t xml:space="preserve">the complete Jaffe–Witten obligation graph;</w:t>
      </w:r>
    </w:p>
    <w:p>
      <w:pPr>
        <w:numPr>
          <w:ilvl w:val="0"/>
          <w:numId w:val="1002"/>
        </w:numPr>
        <w:pStyle w:val="Compact"/>
      </w:pPr>
      <w:r>
        <w:t xml:space="preserve">deterministic SHA-256 manifests.</w:t>
      </w:r>
    </w:p>
    <w:bookmarkEnd w:id="45"/>
    <w:bookmarkStart w:id="46" w:name="reproduction"/>
    <w:p>
      <w:pPr>
        <w:pStyle w:val="Heading1"/>
      </w:pPr>
      <w:r>
        <w:t xml:space="preserve">24. Reproduction</w:t>
      </w:r>
    </w:p>
    <w:p>
      <w:pPr>
        <w:pStyle w:val="FirstParagraph"/>
      </w:pPr>
      <w:r>
        <w:t xml:space="preserve">From the repository root:</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run_all.py</w:t>
      </w:r>
      <w:r>
        <w:br/>
      </w:r>
      <w:r>
        <w:rPr>
          <w:rStyle w:val="ExtensionTok"/>
        </w:rPr>
        <w:t xml:space="preserve">python</w:t>
      </w:r>
      <w:r>
        <w:rPr>
          <w:rStyle w:val="NormalTok"/>
        </w:rPr>
        <w:t xml:space="preserve"> </w:t>
      </w:r>
      <w:r>
        <w:rPr>
          <w:rStyle w:val="AttributeTok"/>
        </w:rPr>
        <w:t xml:space="preserve">-m</w:t>
      </w:r>
      <w:r>
        <w:rPr>
          <w:rStyle w:val="NormalTok"/>
        </w:rPr>
        <w:t xml:space="preserve"> pytest </w:t>
      </w:r>
      <w:r>
        <w:rPr>
          <w:rStyle w:val="AttributeTok"/>
        </w:rPr>
        <w:t xml:space="preserve">-q</w:t>
      </w:r>
    </w:p>
    <w:p>
      <w:pPr>
        <w:pStyle w:val="FirstParagraph"/>
      </w:pPr>
      <w:r>
        <w:t xml:space="preserve">The two decisive machine-readable files are:</w:t>
      </w:r>
    </w:p>
    <w:p>
      <w:pPr>
        <w:pStyle w:val="SourceCode"/>
      </w:pPr>
      <w:r>
        <w:rPr>
          <w:rStyle w:val="VerbatimChar"/>
        </w:rPr>
        <w:t xml:space="preserve">results/ATOMIC_PROOF_FRONTIER_v6.json</w:t>
      </w:r>
      <w:r>
        <w:br/>
      </w:r>
      <w:r>
        <w:rPr>
          <w:rStyle w:val="VerbatimChar"/>
        </w:rPr>
        <w:t xml:space="preserve">results/MASTER_VERDICT_v6.json</w:t>
      </w:r>
    </w:p>
    <w:p>
      <w:pPr>
        <w:pStyle w:val="FirstParagraph"/>
      </w:pPr>
      <w:r>
        <w:t xml:space="preserve">The first states the two exact remaining quantitative estimates. The second records all closure theorems and regression status.</w:t>
      </w:r>
    </w:p>
    <w:bookmarkEnd w:id="46"/>
    <w:bookmarkStart w:id="47" w:name="conclusion"/>
    <w:p>
      <w:pPr>
        <w:pStyle w:val="Heading1"/>
      </w:pPr>
      <w:r>
        <w:t xml:space="preserve">25. Conclusion</w:t>
      </w:r>
    </w:p>
    <w:p>
      <w:pPr>
        <w:pStyle w:val="FirstParagraph"/>
      </w:pPr>
      <w:r>
        <w:t xml:space="preserve">The constructive chain has been reduced from the original Jaffe–Witten obligation list to two quantitative estimates with no hidden intermediate logical gates:</w:t>
      </w:r>
    </w:p>
    <w:p>
      <w:pPr>
        <w:pStyle w:val="BodyText"/>
      </w:pPr>
      <m:oMathPara>
        <m:oMathParaPr>
          <m:jc m:val="center"/>
        </m:oMathParaPr>
        <m:oMath>
          <m:borderBox>
            <m:e>
              <m:r>
                <m:rPr>
                  <m:sty m:val="b"/>
                </m:rPr>
                <m:t>A</m:t>
              </m:r>
              <m:r>
                <m:rPr>
                  <m:sty m:val="b"/>
                </m:rPr>
                <m:t>1</m:t>
              </m:r>
              <m:r>
                <m:rPr>
                  <m:sty m:val="p"/>
                </m:rPr>
                <m:t>:</m:t>
              </m:r>
              <m:r>
                <m:rPr>
                  <m:nor/>
                  <m:sty m:val="p"/>
                </m:rPr>
                <m:t> all-field AF-to-massive RG corridor</m:t>
              </m:r>
            </m:e>
          </m:borderBox>
        </m:oMath>
      </m:oMathPara>
    </w:p>
    <w:p>
      <w:pPr>
        <w:pStyle w:val="FirstParagraph"/>
      </w:pPr>
      <w:r>
        <w:t xml:space="preserve">and</w:t>
      </w:r>
    </w:p>
    <w:p>
      <w:pPr>
        <w:pStyle w:val="BodyText"/>
      </w:pPr>
      <m:oMathPara>
        <m:oMathParaPr>
          <m:jc m:val="center"/>
        </m:oMathParaPr>
        <m:oMath>
          <m:borderBox>
            <m:e>
              <m:r>
                <m:rPr>
                  <m:sty m:val="b"/>
                </m:rPr>
                <m:t>A</m:t>
              </m:r>
              <m:r>
                <m:rPr>
                  <m:sty m:val="b"/>
                </m:rPr>
                <m:t>2</m:t>
              </m:r>
              <m:r>
                <m:rPr>
                  <m:sty m:val="p"/>
                </m:rPr>
                <m:t>:</m:t>
              </m:r>
              <m:r>
                <m:rPr>
                  <m:nor/>
                  <m:sty m:val="p"/>
                </m:rPr>
                <m:t> source-extended local-field RG uniformity</m:t>
              </m:r>
            </m:e>
          </m:borderBox>
          <m:r>
            <m:rPr>
              <m:sty m:val="p"/>
            </m:rPr>
            <m:t>.</m:t>
          </m:r>
        </m:oMath>
      </m:oMathPara>
    </w:p>
    <w:p>
      <w:pPr>
        <w:pStyle w:val="FirstParagraph"/>
      </w:pPr>
      <w:r>
        <w:t xml:space="preserve">Every other step in the A→B→C→D chain is supplied by an explicit regulator construction, a theorem proved in this paper, or a standard reconstruction theorem whose input hypotheses are displayed in the obligation ledger.</w:t>
      </w:r>
    </w:p>
    <w:p>
      <w:pPr>
        <w:pStyle w:val="BodyText"/>
      </w:pPr>
      <w:r>
        <w:t xml:space="preserve">The central mass-gap implication is exact:</w:t>
      </w:r>
    </w:p>
    <w:p>
      <w:pPr>
        <w:pStyle w:val="BodyText"/>
      </w:pPr>
      <m:oMathPara>
        <m:oMathParaPr>
          <m:jc m:val="center"/>
        </m:oMathParaPr>
        <m:oMath>
          <m:borderBox>
            <m:e>
              <m:r>
                <m:rPr>
                  <m:sty m:val="b"/>
                </m:rPr>
                <m:t>A</m:t>
              </m:r>
              <m:r>
                <m:rPr>
                  <m:sty m:val="b"/>
                </m:rPr>
                <m:t>1</m:t>
              </m:r>
              <m:r>
                <m:rPr>
                  <m:sty m:val="p"/>
                </m:rPr>
                <m:t>+</m:t>
              </m:r>
              <m:r>
                <m:rPr>
                  <m:sty m:val="b"/>
                </m:rPr>
                <m:t>A</m:t>
              </m:r>
              <m:r>
                <m:rPr>
                  <m:sty m:val="b"/>
                </m:rPr>
                <m:t>2</m:t>
              </m:r>
              <m:r>
                <m:rPr>
                  <m:sty m:val="p"/>
                </m:rPr>
                <m:t>⇒</m:t>
              </m:r>
              <m:r>
                <m:rPr>
                  <m:sty m:val="p"/>
                </m:rPr>
                <m:t>Spec</m:t>
              </m:r>
              <m:d>
                <m:dPr>
                  <m:begChr m:val="("/>
                  <m:endChr m:val=")"/>
                  <m:sepChr m:val=""/>
                  <m:grow/>
                </m:dPr>
                <m:e>
                  <m:r>
                    <m:t>H</m:t>
                  </m:r>
                </m:e>
              </m:d>
              <m:r>
                <m:rPr>
                  <m:sty m:val="p"/>
                </m:rPr>
                <m:t>=</m:t>
              </m:r>
              <m:r>
                <m:rPr>
                  <m:sty m:val="p"/>
                </m:rPr>
                <m:t>{</m:t>
              </m:r>
              <m:r>
                <m:t>0</m:t>
              </m:r>
              <m:r>
                <m:rPr>
                  <m:sty m:val="p"/>
                </m:rPr>
                <m:t>}</m:t>
              </m:r>
              <m:r>
                <m:rPr>
                  <m:sty m:val="p"/>
                </m:rPr>
                <m:t>∪</m:t>
              </m:r>
              <m:sSub>
                <m:e>
                  <m:r>
                    <m:t>Σ</m:t>
                  </m:r>
                </m:e>
                <m:sub>
                  <m:r>
                    <m:t>G</m:t>
                  </m:r>
                </m:sub>
              </m:sSub>
              <m:r>
                <m:rPr>
                  <m:sty m:val="p"/>
                </m:rPr>
                <m:t>,</m:t>
              </m:r>
              <m:r>
                <m:t>  </m:t>
              </m:r>
              <m:r>
                <m:rPr>
                  <m:sty m:val="p"/>
                </m:rPr>
                <m:t>inf</m:t>
              </m:r>
              <m:sSub>
                <m:e>
                  <m:r>
                    <m:t>Σ</m:t>
                  </m:r>
                </m:e>
                <m:sub>
                  <m:r>
                    <m:t>G</m:t>
                  </m:r>
                </m:sub>
              </m:sSub>
              <m:r>
                <m:rPr>
                  <m:sty m:val="p"/>
                </m:rPr>
                <m:t>=</m:t>
              </m:r>
              <m:sSub>
                <m:e>
                  <m:r>
                    <m:t>m</m:t>
                  </m:r>
                </m:e>
                <m:sub>
                  <m:r>
                    <m:t>G</m:t>
                  </m:r>
                </m:sub>
              </m:sSub>
              <m:r>
                <m:rPr>
                  <m:sty m:val="p"/>
                </m:rPr>
                <m:t>&gt;</m:t>
              </m:r>
              <m:r>
                <m:t>0</m:t>
              </m:r>
              <m:r>
                <m:rPr>
                  <m:sty m:val="p"/>
                </m:rPr>
                <m:t>,</m:t>
              </m:r>
              <m:r>
                <m:t>  </m:t>
              </m:r>
              <m:sSub>
                <m:e>
                  <m:r>
                    <m:t>m</m:t>
                  </m:r>
                </m:e>
                <m:sub>
                  <m:r>
                    <m:t>G</m:t>
                  </m:r>
                </m:sub>
              </m:sSub>
              <m:r>
                <m:rPr>
                  <m:sty m:val="p"/>
                </m:rPr>
                <m:t>&lt;</m:t>
              </m:r>
              <m:r>
                <m:rPr>
                  <m:sty m:val="p"/>
                </m:rPr>
                <m:t>∞</m:t>
              </m:r>
              <m:r>
                <m:rPr>
                  <m:sty m:val="p"/>
                </m:rPr>
                <m:t>.</m:t>
              </m:r>
            </m:e>
          </m:borderBox>
        </m:oMath>
      </m:oMathPara>
    </w:p>
    <w:bookmarkEnd w:id="47"/>
    <w:bookmarkStart w:id="48" w:name="Xbf0413ce45b11c18b0e348ef4a2248279c513c1"/>
    <w:p>
      <w:pPr>
        <w:pStyle w:val="Heading1"/>
      </w:pPr>
      <w:r>
        <w:t xml:space="preserve">Appendix A. Canonical constants and formulas</w:t>
      </w:r>
    </w:p>
    <w:p>
      <w:pPr>
        <w:pStyle w:val="FirstParagraph"/>
      </w:pPr>
      <w:r>
        <w:t xml:space="preserve">For</w:t>
      </w:r>
      <w:r>
        <w:t xml:space="preserve"> </w:t>
      </w:r>
      <m:oMath>
        <m:r>
          <m:t>S</m:t>
        </m:r>
        <m:r>
          <m:t>U</m:t>
        </m:r>
        <m:d>
          <m:dPr>
            <m:begChr m:val="("/>
            <m:endChr m:val=")"/>
            <m:sepChr m:val=""/>
            <m:grow/>
          </m:dPr>
          <m:e>
            <m:r>
              <m:t>3</m:t>
            </m:r>
          </m:e>
        </m:d>
      </m:oMath>
      <w:r>
        <w:t xml:space="preserve">,</w:t>
      </w:r>
    </w:p>
    <w:p>
      <w:pPr>
        <w:pStyle w:val="BodyText"/>
      </w:pPr>
      <m:oMathPara>
        <m:oMathParaPr>
          <m:jc m:val="center"/>
        </m:oMathParaPr>
        <m:oMath>
          <m:sSub>
            <m:e>
              <m:r>
                <m:t>C</m:t>
              </m:r>
            </m:e>
            <m:sub>
              <m:r>
                <m:t>F</m:t>
              </m:r>
            </m:sub>
          </m:sSub>
          <m:r>
            <m:rPr>
              <m:sty m:val="p"/>
            </m:rPr>
            <m:t>=</m:t>
          </m:r>
          <m:f>
            <m:fPr>
              <m:type m:val="bar"/>
            </m:fPr>
            <m:num>
              <m:r>
                <m:t>4</m:t>
              </m:r>
            </m:num>
            <m:den>
              <m:r>
                <m:t>3</m:t>
              </m:r>
            </m:den>
          </m:f>
          <m:r>
            <m:rPr>
              <m:sty m:val="p"/>
            </m:rPr>
            <m:t>,</m:t>
          </m:r>
          <m:r>
            <m:t>  </m:t>
          </m:r>
          <m:sSub>
            <m:e>
              <m:r>
                <m:t>C</m:t>
              </m:r>
            </m:e>
            <m:sub>
              <m:r>
                <m:t>A</m:t>
              </m:r>
            </m:sub>
          </m:sSub>
          <m:r>
            <m:rPr>
              <m:sty m:val="p"/>
            </m:rPr>
            <m:t>=</m:t>
          </m:r>
          <m:r>
            <m:t>3</m:t>
          </m:r>
          <m:r>
            <m:rPr>
              <m:sty m:val="p"/>
            </m:rPr>
            <m:t>,</m:t>
          </m:r>
          <m:r>
            <m:t>  </m:t>
          </m:r>
          <m:sSub>
            <m:e>
              <m:r>
                <m:t>b</m:t>
              </m:r>
            </m:e>
            <m:sub>
              <m:r>
                <m:t>0</m:t>
              </m:r>
            </m:sub>
          </m:sSub>
          <m:r>
            <m:rPr>
              <m:sty m:val="p"/>
            </m:rPr>
            <m:t>=</m:t>
          </m:r>
          <m:f>
            <m:fPr>
              <m:type m:val="bar"/>
            </m:fPr>
            <m:num>
              <m:r>
                <m:t>33</m:t>
              </m:r>
            </m:num>
            <m:den>
              <m:r>
                <m:t>48</m:t>
              </m:r>
              <m:sSup>
                <m:e>
                  <m:r>
                    <m:t>π</m:t>
                  </m:r>
                </m:e>
                <m:sup>
                  <m:r>
                    <m:t>2</m:t>
                  </m:r>
                </m:sup>
              </m:sSup>
            </m:den>
          </m:f>
          <m:r>
            <m:rPr>
              <m:sty m:val="p"/>
            </m:rPr>
            <m:t>.</m:t>
          </m:r>
        </m:oMath>
      </m:oMathPara>
    </w:p>
    <w:p>
      <w:pPr>
        <w:pStyle w:val="FirstParagraph"/>
      </w:pPr>
      <w:r>
        <w:t xml:space="preserve">Strong-coupling sufficient endpoint in four dimensions:</w:t>
      </w:r>
    </w:p>
    <w:p>
      <w:pPr>
        <w:pStyle w:val="BodyText"/>
      </w:pPr>
      <m:oMathPara>
        <m:oMathParaPr>
          <m:jc m:val="center"/>
        </m:oMathParaPr>
        <m:oMath>
          <m:sSub>
            <m:e>
              <m:r>
                <m:t>β</m:t>
              </m:r>
            </m:e>
            <m:sub>
              <m:r>
                <m:rPr>
                  <m:sty m:val="p"/>
                </m:rPr>
                <m:t>S</m:t>
              </m:r>
              <m:r>
                <m:rPr>
                  <m:sty m:val="p"/>
                </m:rPr>
                <m:t>h</m:t>
              </m:r>
              <m:r>
                <m:rPr>
                  <m:sty m:val="p"/>
                </m:rPr>
                <m:t>e</m:t>
              </m:r>
              <m:r>
                <m:rPr>
                  <m:sty m:val="p"/>
                </m:rPr>
                <m:t>n</m:t>
              </m:r>
            </m:sub>
          </m:sSub>
          <m:r>
            <m:rPr>
              <m:sty m:val="p"/>
            </m:rPr>
            <m:t>&lt;</m:t>
          </m:r>
          <m:f>
            <m:fPr>
              <m:type m:val="bar"/>
            </m:fPr>
            <m:num>
              <m:r>
                <m:t>1</m:t>
              </m:r>
            </m:num>
            <m:den>
              <m:r>
                <m:t>48</m:t>
              </m:r>
            </m:den>
          </m:f>
          <m:r>
            <m:rPr>
              <m:sty m:val="p"/>
            </m:rPr>
            <m:t>,</m:t>
          </m:r>
          <m:r>
            <m:t>  </m:t>
          </m:r>
          <m:sSub>
            <m:e>
              <m:r>
                <m:t>β</m:t>
              </m:r>
            </m:e>
            <m:sub>
              <m:r>
                <m:rPr>
                  <m:sty m:val="p"/>
                </m:rPr>
                <m:t>S</m:t>
              </m:r>
              <m:r>
                <m:rPr>
                  <m:sty m:val="p"/>
                </m:rPr>
                <m:t>h</m:t>
              </m:r>
              <m:r>
                <m:rPr>
                  <m:sty m:val="p"/>
                </m:rPr>
                <m:t>e</m:t>
              </m:r>
              <m:r>
                <m:rPr>
                  <m:sty m:val="p"/>
                </m:rPr>
                <m:t>n</m:t>
              </m:r>
            </m:sub>
          </m:sSub>
          <m:r>
            <m:rPr>
              <m:sty m:val="p"/>
            </m:rPr>
            <m:t>=</m:t>
          </m:r>
          <m:f>
            <m:fPr>
              <m:type m:val="bar"/>
            </m:fPr>
            <m:num>
              <m:r>
                <m:t>2</m:t>
              </m:r>
            </m:num>
            <m:den>
              <m:r>
                <m:t>3</m:t>
              </m:r>
              <m:sSup>
                <m:e>
                  <m:r>
                    <m:t>g</m:t>
                  </m:r>
                </m:e>
                <m:sup>
                  <m:r>
                    <m:t>2</m:t>
                  </m:r>
                </m:sup>
              </m:sSup>
            </m:den>
          </m:f>
          <m:r>
            <m:rPr>
              <m:sty m:val="p"/>
            </m:rPr>
            <m:t>,</m:t>
          </m:r>
        </m:oMath>
      </m:oMathPara>
    </w:p>
    <w:p>
      <w:pPr>
        <w:pStyle w:val="FirstParagraph"/>
      </w:pPr>
      <w:r>
        <w:t xml:space="preserve">so</w:t>
      </w:r>
    </w:p>
    <w:p>
      <w:pPr>
        <w:pStyle w:val="BodyText"/>
      </w:pPr>
      <m:oMathPara>
        <m:oMathParaPr>
          <m:jc m:val="center"/>
        </m:oMathParaPr>
        <m:oMath>
          <m:sSup>
            <m:e>
              <m:r>
                <m:t>g</m:t>
              </m:r>
            </m:e>
            <m:sup>
              <m:r>
                <m:t>2</m:t>
              </m:r>
            </m:sup>
          </m:sSup>
          <m:r>
            <m:rPr>
              <m:sty m:val="p"/>
            </m:rPr>
            <m:t>&gt;</m:t>
          </m:r>
          <m:r>
            <m:t>32</m:t>
          </m:r>
          <m:r>
            <m:rPr>
              <m:sty m:val="p"/>
            </m:rPr>
            <m:t>.</m:t>
          </m:r>
        </m:oMath>
      </m:oMathPara>
    </w:p>
    <w:p>
      <w:pPr>
        <w:pStyle w:val="FirstParagraph"/>
      </w:pPr>
      <w:r>
        <w:t xml:space="preserve">At</w:t>
      </w:r>
      <w:r>
        <w:t xml:space="preserve"> </w:t>
      </w:r>
      <m:oMath>
        <m:r>
          <m:t>g</m:t>
        </m:r>
        <m:r>
          <m:rPr>
            <m:sty m:val="p"/>
          </m:rPr>
          <m:t>=</m:t>
        </m:r>
        <m:r>
          <m:t>8</m:t>
        </m:r>
      </m:oMath>
      <w:r>
        <w:t xml:space="preserve">,</w:t>
      </w:r>
    </w:p>
    <w:p>
      <w:pPr>
        <w:pStyle w:val="BodyText"/>
      </w:pPr>
      <m:oMathPara>
        <m:oMathParaPr>
          <m:jc m:val="center"/>
        </m:oMathParaPr>
        <m:oMath>
          <m:r>
            <m:t>β</m:t>
          </m:r>
          <m:r>
            <m:rPr>
              <m:sty m:val="p"/>
            </m:rPr>
            <m:t>=</m:t>
          </m:r>
          <m:f>
            <m:fPr>
              <m:type m:val="bar"/>
            </m:fPr>
            <m:num>
              <m:r>
                <m:t>1</m:t>
              </m:r>
            </m:num>
            <m:den>
              <m:r>
                <m:t>96</m:t>
              </m:r>
            </m:den>
          </m:f>
          <m:r>
            <m:rPr>
              <m:sty m:val="p"/>
            </m:rPr>
            <m:t>,</m:t>
          </m:r>
          <m:r>
            <m:t>  </m:t>
          </m:r>
          <m:sSub>
            <m:e>
              <m:r>
                <m:t>K</m:t>
              </m:r>
            </m:e>
            <m:sub>
              <m:r>
                <m:t>S</m:t>
              </m:r>
            </m:sub>
          </m:sSub>
          <m:r>
            <m:rPr>
              <m:sty m:val="p"/>
            </m:rPr>
            <m:t>=</m:t>
          </m:r>
          <m:f>
            <m:fPr>
              <m:type m:val="bar"/>
            </m:fPr>
            <m:num>
              <m:r>
                <m:t>3</m:t>
              </m:r>
            </m:num>
            <m:den>
              <m:r>
                <m:t>2</m:t>
              </m:r>
            </m:den>
          </m:f>
          <m:r>
            <m:rPr>
              <m:sty m:val="p"/>
            </m:rPr>
            <m:t>−</m:t>
          </m:r>
          <m:r>
            <m:t>72</m:t>
          </m:r>
          <m:d>
            <m:dPr>
              <m:begChr m:val="("/>
              <m:endChr m:val=")"/>
              <m:sepChr m:val=""/>
              <m:grow/>
            </m:dPr>
            <m:e>
              <m:f>
                <m:fPr>
                  <m:type m:val="bar"/>
                </m:fPr>
                <m:num>
                  <m:r>
                    <m:t>1</m:t>
                  </m:r>
                </m:num>
                <m:den>
                  <m:r>
                    <m:t>96</m:t>
                  </m:r>
                </m:den>
              </m:f>
            </m:e>
          </m:d>
          <m:r>
            <m:rPr>
              <m:sty m:val="p"/>
            </m:rPr>
            <m:t>=</m:t>
          </m:r>
          <m:f>
            <m:fPr>
              <m:type m:val="bar"/>
            </m:fPr>
            <m:num>
              <m:r>
                <m:t>3</m:t>
              </m:r>
            </m:num>
            <m:den>
              <m:r>
                <m:t>4</m:t>
              </m:r>
            </m:den>
          </m:f>
          <m:r>
            <m:rPr>
              <m:sty m:val="p"/>
            </m:rPr>
            <m:t>.</m:t>
          </m:r>
        </m:oMath>
      </m:oMathPara>
    </w:p>
    <w:p>
      <w:pPr>
        <w:pStyle w:val="FirstParagraph"/>
      </w:pPr>
      <w:r>
        <w:t xml:space="preserve">H504 ring gap:</w:t>
      </w:r>
    </w:p>
    <w:p>
      <w:pPr>
        <w:pStyle w:val="BodyText"/>
      </w:pPr>
      <m:oMathPara>
        <m:oMathParaPr>
          <m:jc m:val="center"/>
        </m:oMathParaPr>
        <m:oMath>
          <m:sSub>
            <m:e>
              <m:r>
                <m:t>Δ</m:t>
              </m:r>
            </m:e>
            <m:sub>
              <m:r>
                <m:t>504</m:t>
              </m:r>
            </m:sub>
          </m:sSub>
          <m:r>
            <m:rPr>
              <m:sty m:val="p"/>
            </m:rPr>
            <m:t>=</m:t>
          </m:r>
          <m:r>
            <m:t>2</m:t>
          </m:r>
          <m:r>
            <m:t>κ</m:t>
          </m:r>
          <m:sSup>
            <m:e>
              <m:r>
                <m:t>e</m:t>
              </m:r>
            </m:e>
            <m:sup>
              <m:r>
                <m:rPr>
                  <m:sty m:val="p"/>
                </m:rPr>
                <m:t>−</m:t>
              </m:r>
              <m:r>
                <m:t>1</m:t>
              </m:r>
              <m:r>
                <m:rPr>
                  <m:sty m:val="p"/>
                </m:rPr>
                <m:t>/</m:t>
              </m:r>
              <m:r>
                <m:t>72</m:t>
              </m:r>
            </m:sup>
          </m:sSup>
          <m:r>
            <m:rPr>
              <m:sty m:val="p"/>
            </m:rPr>
            <m:t>.</m:t>
          </m:r>
        </m:oMath>
      </m:oMathPara>
    </w:p>
    <w:p>
      <w:pPr>
        <w:pStyle w:val="FirstParagraph"/>
      </w:pPr>
      <w:r>
        <w:t xml:space="preserve">Canonical v4 Schur-workbench gap floor:</w:t>
      </w:r>
    </w:p>
    <w:p>
      <w:pPr>
        <w:pStyle w:val="BodyText"/>
      </w:pPr>
      <m:oMathPara>
        <m:oMathParaPr>
          <m:jc m:val="center"/>
        </m:oMathParaPr>
        <m:oMath>
          <m:sSub>
            <m:e>
              <m:r>
                <m:t>Δ</m:t>
              </m:r>
            </m:e>
            <m:sub>
              <m:r>
                <m:t>0</m:t>
              </m:r>
            </m:sub>
          </m:sSub>
          <m:r>
            <m:rPr>
              <m:sty m:val="p"/>
            </m:rPr>
            <m:t>=</m:t>
          </m:r>
          <m:r>
            <m:t>0.09998915391358655</m:t>
          </m:r>
          <m:r>
            <m:rPr>
              <m:sty m:val="p"/>
            </m:rPr>
            <m:t>,</m:t>
          </m:r>
        </m:oMath>
      </m:oMathPara>
    </w:p>
    <w:p>
      <w:pPr>
        <w:pStyle w:val="FirstParagraph"/>
      </w:pPr>
      <m:oMathPara>
        <m:oMathParaPr>
          <m:jc m:val="center"/>
        </m:oMathParaPr>
        <m:oMath>
          <m:sSub>
            <m:e>
              <m:r>
                <m:t>Δ</m:t>
              </m:r>
            </m:e>
            <m:sub>
              <m:r>
                <m:rPr>
                  <m:sty m:val="p"/>
                </m:rPr>
                <m:t>c</m:t>
              </m:r>
              <m:r>
                <m:rPr>
                  <m:sty m:val="p"/>
                </m:rPr>
                <m:t>e</m:t>
              </m:r>
              <m:r>
                <m:rPr>
                  <m:sty m:val="p"/>
                </m:rPr>
                <m:t>r</m:t>
              </m:r>
              <m:r>
                <m:rPr>
                  <m:sty m:val="p"/>
                </m:rPr>
                <m:t>t</m:t>
              </m:r>
            </m:sub>
          </m:sSub>
          <m:r>
            <m:rPr>
              <m:sty m:val="p"/>
            </m:rPr>
            <m:t>=</m:t>
          </m:r>
          <m:r>
            <m:t>0.09985923248577395</m:t>
          </m:r>
          <m:r>
            <m:rPr>
              <m:sty m:val="p"/>
            </m:rPr>
            <m:t>.</m:t>
          </m:r>
        </m:oMath>
      </m:oMathPara>
    </w:p>
    <w:p>
      <w:pPr>
        <w:pStyle w:val="FirstParagraph"/>
      </w:pPr>
      <w:r>
        <w:t xml:space="preserve">These finite workbench constants are retained as regression anchors for the exact elimination machinery.</w:t>
      </w:r>
    </w:p>
    <w:bookmarkEnd w:id="48"/>
    <w:bookmarkStart w:id="49" w:name="Xc037184fa4cf1495afb38f0929eebbcbfb64c4d"/>
    <w:p>
      <w:pPr>
        <w:pStyle w:val="Heading1"/>
      </w:pPr>
      <w:r>
        <w:t xml:space="preserve">Appendix B. Jaffe–Witten obligation checklist</w:t>
      </w:r>
    </w:p>
    <w:p>
      <w:pPr>
        <w:pStyle w:val="FirstParagraph"/>
      </w:pPr>
      <w:r>
        <w:t xml:space="preserve">The official target is represented in the repository by identifiers</w:t>
      </w:r>
      <w:r>
        <w:t xml:space="preserve"> </w:t>
      </w:r>
      <w:r>
        <w:rPr>
          <w:rStyle w:val="VerbatimChar"/>
        </w:rPr>
        <w:t xml:space="preserve">JW-00</w:t>
      </w:r>
      <w:r>
        <w:t xml:space="preserve"> </w:t>
      </w:r>
      <w:r>
        <w:t xml:space="preserve">through</w:t>
      </w:r>
      <w:r>
        <w:t xml:space="preserve"> </w:t>
      </w:r>
      <w:r>
        <w:rPr>
          <w:rStyle w:val="VerbatimChar"/>
        </w:rPr>
        <w:t xml:space="preserve">JW-13</w:t>
      </w:r>
      <w:r>
        <w:t xml:space="preserve">. The v6 ledger separates:</w:t>
      </w:r>
    </w:p>
    <w:p>
      <w:pPr>
        <w:numPr>
          <w:ilvl w:val="0"/>
          <w:numId w:val="1003"/>
        </w:numPr>
        <w:pStyle w:val="Compact"/>
      </w:pPr>
      <w:r>
        <w:t xml:space="preserve">direct regulator theorems;</w:t>
      </w:r>
    </w:p>
    <w:p>
      <w:pPr>
        <w:numPr>
          <w:ilvl w:val="0"/>
          <w:numId w:val="1003"/>
        </w:numPr>
        <w:pStyle w:val="Compact"/>
      </w:pPr>
      <w:r>
        <w:t xml:space="preserve">external published theorem inputs;</w:t>
      </w:r>
    </w:p>
    <w:p>
      <w:pPr>
        <w:numPr>
          <w:ilvl w:val="0"/>
          <w:numId w:val="1003"/>
        </w:numPr>
        <w:pStyle w:val="Compact"/>
      </w:pPr>
      <w:r>
        <w:t xml:space="preserve">consequences of A1;</w:t>
      </w:r>
    </w:p>
    <w:p>
      <w:pPr>
        <w:numPr>
          <w:ilvl w:val="0"/>
          <w:numId w:val="1003"/>
        </w:numPr>
        <w:pStyle w:val="Compact"/>
      </w:pPr>
      <w:r>
        <w:t xml:space="preserve">consequences of A2;</w:t>
      </w:r>
    </w:p>
    <w:p>
      <w:pPr>
        <w:numPr>
          <w:ilvl w:val="0"/>
          <w:numId w:val="1003"/>
        </w:numPr>
        <w:pStyle w:val="Compact"/>
      </w:pPr>
      <w:r>
        <w:t xml:space="preserve">standard OS reconstruction.</w:t>
      </w:r>
    </w:p>
    <w:p>
      <w:pPr>
        <w:pStyle w:val="FirstParagraph"/>
      </w:pPr>
      <w:r>
        <w:t xml:space="preserve">No line is discharged by renaming a finite-dimensional gap as a continuum mass.</w:t>
      </w:r>
    </w:p>
    <w:bookmarkEnd w:id="49"/>
    <w:bookmarkStart w:id="50" w:name="references"/>
    <w:p>
      <w:pPr>
        <w:pStyle w:val="Heading1"/>
      </w:pPr>
      <w:r>
        <w:t xml:space="preserve">References</w:t>
      </w:r>
    </w:p>
    <w:p>
      <w:pPr>
        <w:pStyle w:val="FirstParagraph"/>
      </w:pPr>
      <w:r>
        <w:t xml:space="preserve">Jaffe, A. and Witten, E.</w:t>
      </w:r>
      <w:r>
        <w:t xml:space="preserve"> </w:t>
      </w:r>
      <w:r>
        <w:rPr>
          <w:iCs/>
          <w:i/>
        </w:rPr>
        <w:t xml:space="preserve">Quantum Yang–Mills Theory</w:t>
      </w:r>
      <w:r>
        <w:t xml:space="preserve">, in</w:t>
      </w:r>
      <w:r>
        <w:t xml:space="preserve"> </w:t>
      </w:r>
      <w:r>
        <w:rPr>
          <w:iCs/>
          <w:i/>
        </w:rPr>
        <w:t xml:space="preserve">The Millennium Prize Problems</w:t>
      </w:r>
      <w:r>
        <w:t xml:space="preserve">, Clay Mathematics Institute/American Mathematical Society.</w:t>
      </w:r>
    </w:p>
    <w:p>
      <w:pPr>
        <w:pStyle w:val="BodyText"/>
      </w:pPr>
      <w:r>
        <w:t xml:space="preserve">Osterwalder, K. and Schrader, R.</w:t>
      </w:r>
      <w:r>
        <w:t xml:space="preserve"> </w:t>
      </w:r>
      <w:r>
        <w:t xml:space="preserve">“</w:t>
      </w:r>
      <w:r>
        <w:t xml:space="preserve">Axioms for Euclidean Green’s Functions I,</w:t>
      </w:r>
      <w:r>
        <w:t xml:space="preserve">”</w:t>
      </w:r>
      <w:r>
        <w:t xml:space="preserve"> </w:t>
      </w:r>
      <w:r>
        <w:rPr>
          <w:iCs/>
          <w:i/>
        </w:rPr>
        <w:t xml:space="preserve">Communications in Mathematical Physics</w:t>
      </w:r>
      <w:r>
        <w:t xml:space="preserve"> </w:t>
      </w:r>
      <w:r>
        <w:rPr>
          <w:bCs/>
          <w:b/>
        </w:rPr>
        <w:t xml:space="preserve">31</w:t>
      </w:r>
      <w:r>
        <w:t xml:space="preserve"> </w:t>
      </w:r>
      <w:r>
        <w:t xml:space="preserve">(1973), 83–112; and</w:t>
      </w:r>
      <w:r>
        <w:t xml:space="preserve"> </w:t>
      </w:r>
      <w:r>
        <w:t xml:space="preserve">“</w:t>
      </w:r>
      <w:r>
        <w:t xml:space="preserve">II,</w:t>
      </w:r>
      <w:r>
        <w:t xml:space="preserve">”</w:t>
      </w:r>
      <w:r>
        <w:t xml:space="preserve"> </w:t>
      </w:r>
      <w:r>
        <w:rPr>
          <w:bCs/>
          <w:b/>
        </w:rPr>
        <w:t xml:space="preserve">42</w:t>
      </w:r>
      <w:r>
        <w:t xml:space="preserve"> </w:t>
      </w:r>
      <w:r>
        <w:t xml:space="preserve">(1975), 281–305.</w:t>
      </w:r>
    </w:p>
    <w:p>
      <w:pPr>
        <w:pStyle w:val="BodyText"/>
      </w:pPr>
      <w:r>
        <w:t xml:space="preserve">Osterwalder, K. and Seiler, E.</w:t>
      </w:r>
      <w:r>
        <w:t xml:space="preserve"> </w:t>
      </w:r>
      <w:r>
        <w:t xml:space="preserve">“</w:t>
      </w:r>
      <w:r>
        <w:t xml:space="preserve">Gauge Field Theories on a Lattice,</w:t>
      </w:r>
      <w:r>
        <w:t xml:space="preserve">”</w:t>
      </w:r>
      <w:r>
        <w:t xml:space="preserve"> </w:t>
      </w:r>
      <w:r>
        <w:rPr>
          <w:iCs/>
          <w:i/>
        </w:rPr>
        <w:t xml:space="preserve">Annals of Physics</w:t>
      </w:r>
      <w:r>
        <w:t xml:space="preserve"> </w:t>
      </w:r>
      <w:r>
        <w:rPr>
          <w:bCs/>
          <w:b/>
        </w:rPr>
        <w:t xml:space="preserve">110</w:t>
      </w:r>
      <w:r>
        <w:t xml:space="preserve"> </w:t>
      </w:r>
      <w:r>
        <w:t xml:space="preserve">(1978), 440–471.</w:t>
      </w:r>
    </w:p>
    <w:p>
      <w:pPr>
        <w:pStyle w:val="BodyText"/>
      </w:pPr>
      <w:r>
        <w:t xml:space="preserve">Balaban, T.</w:t>
      </w:r>
      <w:r>
        <w:t xml:space="preserve"> </w:t>
      </w:r>
      <w:r>
        <w:t xml:space="preserve">“</w:t>
      </w:r>
      <w:r>
        <w:t xml:space="preserve">Renormalization Group Approach to Lattice Gauge Field Theories I,</w:t>
      </w:r>
      <w:r>
        <w:t xml:space="preserve">”</w:t>
      </w:r>
      <w:r>
        <w:t xml:space="preserve"> </w:t>
      </w:r>
      <w:r>
        <w:rPr>
          <w:iCs/>
          <w:i/>
        </w:rPr>
        <w:t xml:space="preserve">Communications in Mathematical Physics</w:t>
      </w:r>
      <w:r>
        <w:t xml:space="preserve"> </w:t>
      </w:r>
      <w:r>
        <w:rPr>
          <w:bCs/>
          <w:b/>
        </w:rPr>
        <w:t xml:space="preserve">109</w:t>
      </w:r>
      <w:r>
        <w:t xml:space="preserve"> </w:t>
      </w:r>
      <w:r>
        <w:t xml:space="preserve">(1987), 249–301.</w:t>
      </w:r>
    </w:p>
    <w:p>
      <w:pPr>
        <w:pStyle w:val="BodyText"/>
      </w:pPr>
      <w:r>
        <w:t xml:space="preserve">Balaban, T.</w:t>
      </w:r>
      <w:r>
        <w:t xml:space="preserve"> </w:t>
      </w:r>
      <w:r>
        <w:t xml:space="preserve">“</w:t>
      </w:r>
      <w:r>
        <w:t xml:space="preserve">Renormalization Group Approach to Lattice Gauge Field Theories II: Cluster Expansions,</w:t>
      </w:r>
      <w:r>
        <w:t xml:space="preserve">”</w:t>
      </w:r>
      <w:r>
        <w:t xml:space="preserve"> </w:t>
      </w:r>
      <w:r>
        <w:rPr>
          <w:iCs/>
          <w:i/>
        </w:rPr>
        <w:t xml:space="preserve">Communications in Mathematical Physics</w:t>
      </w:r>
      <w:r>
        <w:t xml:space="preserve"> </w:t>
      </w:r>
      <w:r>
        <w:rPr>
          <w:bCs/>
          <w:b/>
        </w:rPr>
        <w:t xml:space="preserve">116</w:t>
      </w:r>
      <w:r>
        <w:t xml:space="preserve"> </w:t>
      </w:r>
      <w:r>
        <w:t xml:space="preserve">(1988), 1–22.</w:t>
      </w:r>
    </w:p>
    <w:p>
      <w:pPr>
        <w:pStyle w:val="BodyText"/>
      </w:pPr>
      <w:r>
        <w:t xml:space="preserve">Balaban, T.</w:t>
      </w:r>
      <w:r>
        <w:t xml:space="preserve"> </w:t>
      </w:r>
      <w:r>
        <w:t xml:space="preserve">“</w:t>
      </w:r>
      <w:r>
        <w:t xml:space="preserve">Convergent Renormalization Expansions for Lattice Gauge Theories,</w:t>
      </w:r>
      <w:r>
        <w:t xml:space="preserve">”</w:t>
      </w:r>
      <w:r>
        <w:t xml:space="preserve"> </w:t>
      </w:r>
      <w:r>
        <w:rPr>
          <w:iCs/>
          <w:i/>
        </w:rPr>
        <w:t xml:space="preserve">Communications in Mathematical Physics</w:t>
      </w:r>
      <w:r>
        <w:t xml:space="preserve"> </w:t>
      </w:r>
      <w:r>
        <w:rPr>
          <w:bCs/>
          <w:b/>
        </w:rPr>
        <w:t xml:space="preserve">119</w:t>
      </w:r>
      <w:r>
        <w:t xml:space="preserve"> </w:t>
      </w:r>
      <w:r>
        <w:t xml:space="preserve">(1988), 243–285.</w:t>
      </w:r>
    </w:p>
    <w:p>
      <w:pPr>
        <w:pStyle w:val="BodyText"/>
      </w:pPr>
      <w:r>
        <w:t xml:space="preserve">Balaban, T.</w:t>
      </w:r>
      <w:r>
        <w:t xml:space="preserve"> </w:t>
      </w:r>
      <w:r>
        <w:t xml:space="preserve">“</w:t>
      </w:r>
      <w:r>
        <w:t xml:space="preserve">Large Field Renormalization I,</w:t>
      </w:r>
      <w:r>
        <w:t xml:space="preserve">”</w:t>
      </w:r>
      <w:r>
        <w:t xml:space="preserve"> </w:t>
      </w:r>
      <w:r>
        <w:rPr>
          <w:iCs/>
          <w:i/>
        </w:rPr>
        <w:t xml:space="preserve">Communications in Mathematical Physics</w:t>
      </w:r>
      <w:r>
        <w:t xml:space="preserve"> </w:t>
      </w:r>
      <w:r>
        <w:rPr>
          <w:bCs/>
          <w:b/>
        </w:rPr>
        <w:t xml:space="preserve">122</w:t>
      </w:r>
      <w:r>
        <w:t xml:space="preserve"> </w:t>
      </w:r>
      <w:r>
        <w:t xml:space="preserve">(1989), 175–202; and</w:t>
      </w:r>
      <w:r>
        <w:t xml:space="preserve"> </w:t>
      </w:r>
      <w:r>
        <w:t xml:space="preserve">“</w:t>
      </w:r>
      <w:r>
        <w:t xml:space="preserve">Large Field Renormalization II,</w:t>
      </w:r>
      <w:r>
        <w:t xml:space="preserve">”</w:t>
      </w:r>
      <w:r>
        <w:t xml:space="preserve"> </w:t>
      </w:r>
      <w:r>
        <w:rPr>
          <w:bCs/>
          <w:b/>
        </w:rPr>
        <w:t xml:space="preserve">122</w:t>
      </w:r>
      <w:r>
        <w:t xml:space="preserve"> </w:t>
      </w:r>
      <w:r>
        <w:t xml:space="preserve">(1989), 355–392.</w:t>
      </w:r>
    </w:p>
    <w:p>
      <w:pPr>
        <w:pStyle w:val="BodyText"/>
      </w:pPr>
      <w:r>
        <w:t xml:space="preserve">Magnen, J., Rivasseau, V. and Sénéor, R.</w:t>
      </w:r>
      <w:r>
        <w:t xml:space="preserve"> </w:t>
      </w:r>
      <w:r>
        <w:t xml:space="preserve">“</w:t>
      </w:r>
      <w:r>
        <w:t xml:space="preserve">Construction of YM4 with an Infrared Cutoff,</w:t>
      </w:r>
      <w:r>
        <w:t xml:space="preserve">”</w:t>
      </w:r>
      <w:r>
        <w:t xml:space="preserve"> </w:t>
      </w:r>
      <w:r>
        <w:rPr>
          <w:iCs/>
          <w:i/>
        </w:rPr>
        <w:t xml:space="preserve">Communications in Mathematical Physics</w:t>
      </w:r>
      <w:r>
        <w:t xml:space="preserve"> </w:t>
      </w:r>
      <w:r>
        <w:rPr>
          <w:bCs/>
          <w:b/>
        </w:rPr>
        <w:t xml:space="preserve">155</w:t>
      </w:r>
      <w:r>
        <w:t xml:space="preserve"> </w:t>
      </w:r>
      <w:r>
        <w:t xml:space="preserve">(1993), 325–383.</w:t>
      </w:r>
    </w:p>
    <w:p>
      <w:pPr>
        <w:pStyle w:val="BodyText"/>
      </w:pPr>
      <w:r>
        <w:t xml:space="preserve">Shen, H., Zhu, R. and Zhu, X.</w:t>
      </w:r>
      <w:r>
        <w:t xml:space="preserve"> </w:t>
      </w:r>
      <w:r>
        <w:t xml:space="preserve">“</w:t>
      </w:r>
      <w:r>
        <w:t xml:space="preserve">A Stochastic Analysis Approach to Lattice Yang–Mills at Strong Coupling,</w:t>
      </w:r>
      <w:r>
        <w:t xml:space="preserve">”</w:t>
      </w:r>
      <w:r>
        <w:t xml:space="preserve"> </w:t>
      </w:r>
      <w:r>
        <w:rPr>
          <w:iCs/>
          <w:i/>
        </w:rPr>
        <w:t xml:space="preserve">Communications in Mathematical Physics</w:t>
      </w:r>
      <w:r>
        <w:t xml:space="preserve"> </w:t>
      </w:r>
      <w:r>
        <w:rPr>
          <w:bCs/>
          <w:b/>
        </w:rPr>
        <w:t xml:space="preserve">400</w:t>
      </w:r>
      <w:r>
        <w:t xml:space="preserve"> </w:t>
      </w:r>
      <w:r>
        <w:t xml:space="preserve">(2023).</w:t>
      </w:r>
    </w:p>
    <w:p>
      <w:pPr>
        <w:pStyle w:val="BodyText"/>
      </w:pPr>
      <w:r>
        <w:t xml:space="preserve">Guo, Y., Li, Z., Yang, G. and Zhu, G.</w:t>
      </w:r>
      <w:r>
        <w:t xml:space="preserve"> </w:t>
      </w:r>
      <w:r>
        <w:t xml:space="preserve">“</w:t>
      </w:r>
      <w:r>
        <w:t xml:space="preserve">Bootstrapping SU(3) Lattice Yang–Mills Theory,</w:t>
      </w:r>
      <w:r>
        <w:t xml:space="preserve">”</w:t>
      </w:r>
      <w:r>
        <w:t xml:space="preserve"> </w:t>
      </w:r>
      <w:r>
        <w:rPr>
          <w:iCs/>
          <w:i/>
        </w:rPr>
        <w:t xml:space="preserve">Journal of High Energy Physics</w:t>
      </w:r>
      <w:r>
        <w:t xml:space="preserve"> </w:t>
      </w:r>
      <w:r>
        <w:rPr>
          <w:bCs/>
          <w:b/>
        </w:rPr>
        <w:t xml:space="preserve">2025</w:t>
      </w:r>
      <w:r>
        <w:t xml:space="preserve">(12), 33 (2025).</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 Yang–Mills Existence and Mass Gap</dc:title>
  <dc:creator>Richard Wise</dc:creator>
  <cp:keywords/>
  <dcterms:created xsi:type="dcterms:W3CDTF">2026-09-11T02:05:34Z</dcterms:created>
  <dcterms:modified xsi:type="dcterms:W3CDTF">2026-09-11T02:05:34Z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10 September 2026</vt:lpwstr>
  </property>
  <property fmtid="{D5CDD505-2E9C-101B-9397-08002B2CF9AE}" pid="3" name="fontsize">
    <vt:lpwstr>11pt</vt:lpwstr>
  </property>
  <property fmtid="{D5CDD505-2E9C-101B-9397-08002B2CF9AE}" pid="4" name="geometry">
    <vt:lpwstr>margin=1in</vt:lpwstr>
  </property>
  <property fmtid="{D5CDD505-2E9C-101B-9397-08002B2CF9AE}" pid="5" name="header-includes">
    <vt:lpwstr/>
  </property>
  <property fmtid="{D5CDD505-2E9C-101B-9397-08002B2CF9AE}" pid="6" name="subtitle">
    <vt:lpwstr>Jaffe–Witten Closure Theorems, Exact Regulator Construction, and Two-Estimate Reduction</vt:lpwstr>
  </property>
</Properties>
</file>