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323640"/>
          <w:sz w:val="48"/>
          <w:szCs w:val="48"/>
        </w:rPr>
        <w:t xml:space="preserve">MODERNCRE8VE</w:t>
      </w:r>
    </w:p>
    <w:p>
      <w:pPr>
        <w:spacing w:after="200"/>
        <w:jc w:val="center"/>
      </w:pPr>
      <w:r>
        <w:rPr>
          <w:rFonts w:ascii="Arial" w:cs="Arial" w:eastAsia="Arial" w:hAnsi="Arial"/>
          <w:color w:val="2CBF96"/>
          <w:sz w:val="28"/>
          <w:szCs w:val="28"/>
        </w:rPr>
        <w:t xml:space="preserve">User &amp; Customer Behavior Analysis</w:t>
      </w:r>
    </w:p>
    <w:p>
      <w:pPr>
        <w:spacing w:after="600"/>
        <w:jc w:val="center"/>
      </w:pPr>
      <w:r>
        <w:rPr>
          <w:rFonts w:ascii="Arial" w:cs="Arial" w:eastAsia="Arial" w:hAnsi="Arial"/>
          <w:color w:val="9DA0A7"/>
          <w:sz w:val="20"/>
          <w:szCs w:val="20"/>
        </w:rPr>
        <w:t xml:space="preserve">March 2026  |  GSC + GA4 + Shopify Customer Data</w:t>
      </w:r>
    </w:p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323640"/>
          <w:sz w:val="20"/>
          <w:szCs w:val="20"/>
        </w:rPr>
        <w:t xml:space="preserve">Prepared for Rob LaRow</w:t>
      </w:r>
    </w:p>
    <w:p>
      <w:pPr>
        <w:jc w:val="center"/>
      </w:pPr>
      <w:r>
        <w:rPr>
          <w:rFonts w:ascii="Arial" w:cs="Arial" w:eastAsia="Arial" w:hAnsi="Arial"/>
          <w:color w:val="9DA0A7"/>
          <w:sz w:val="18"/>
          <w:szCs w:val="18"/>
        </w:rPr>
        <w:t xml:space="preserve">moderncre8ve.com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23640"/>
          <w:sz w:val="32"/>
          <w:szCs w:val="32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report analyzes user behavior and customer patterns for ModernCre8ve using three data sources: Google Search Console (5,253 queries), GA4 engagement data (37 sessions, Mar 1–10, 2026), and your full Shopify customer database (4,555 records, $1.56M lifetime revenue).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CCCCCC" w:sz="1"/>
              <w:left w:val="single" w:color="2CBF96" w:sz="12"/>
              <w:bottom w:val="single" w:color="CCCCCC" w:sz="1"/>
              <w:right w:val="single" w:color="CCCCCC" w:sz="1"/>
            </w:tcBorders>
            <w:shd w:fill="2CBF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23640"/>
                <w:sz w:val="20"/>
                <w:szCs w:val="20"/>
              </w:rPr>
              <w:t xml:space="preserve">Headline: You have a discovery problem, not a product problem.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 pages show exceptional engagement (38s avg dwell, 0% bounce, 100% engagement rate) and your $1,906 AOV proves the product-market fit. But only 0.38% of 20,268 search impressions convert to clicks, and 73% of site visitors never reach a product page. Fixing the top of funnel is the single highest-leverage opportunity.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/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Lifetime Revenue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$1,557,564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817 orders across 717 customers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Avg Order 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$1,906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Top decile for DTC furniture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Repeat Purchase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11.9%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85 of 717 buyers return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Weekly Search Impressions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20,268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Strong visibility in SERPs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Weekly Search Clicks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77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0.38% CTR (benchmark: 1.5–3%)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Weekly 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37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Low for a 20K impression 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Product Page Engagement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100%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0% bounce, 38s avg duration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Homepage Bounce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62%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Target: &lt;40%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Email Subscribers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3,641 (79.9%)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Strong opt-in 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SMS Subscribers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38 (0.8%)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Untapped channel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23640"/>
          <w:sz w:val="32"/>
          <w:szCs w:val="32"/>
        </w:rPr>
        <w:t xml:space="preserve">1. Search Behavior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Your site appeared in 20,268 Google searches during the analysis period (Mar 1–10). Of these, 77 resulted in clicks for a 0.38% CTR. The furniture e-commerce benchmark is 1.5–3%.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Search Intent Clusters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Search queries cluster into distinct intent groups. Brand queries are the only cluster with healthy CTR; all non-brand clusters underperform significantly.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2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 Cluster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Brand (moderncre8ve)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316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8.23%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Style (MCM/Scandi/Japandi)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12,119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0.30%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Dining Tables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6,337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0.32%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Custom/Handmade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1,369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0.22%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Beds &amp; Frames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1,176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0.17%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Local (Cleveland)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421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0.48%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Chairs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407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0.49%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Coffee Tables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449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0.22%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Credenza/Sideboard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229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0.00%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CCCCCC" w:sz="1"/>
              <w:left w:val="single" w:color="F2AC29" w:sz="12"/>
              <w:bottom w:val="single" w:color="CCCCCC" w:sz="1"/>
              <w:right w:val="single" w:color="CCCCCC" w:sz="1"/>
            </w:tcBorders>
            <w:shd w:fill="F2AC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23640"/>
                <w:sz w:val="20"/>
                <w:szCs w:val="20"/>
              </w:rPr>
              <w:t xml:space="preserve">Opportunity: Style Queries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12,119 impressions for MCM/Scandinavian/Japandi queries with only 0.30% CTR. Improving meta titles to include emotional hooks, price signals, or “handmade in USA” could double or triple CTR on this massive impression base.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Device Split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Desktop accounts for 51% of clicks (39) and 62% of impressions (12,482). Mobile generates 49% of clicks (38) from only 38% of impressions (7,644), meaning mobile CTR (0.50%) outperforms desktop (0.31%). Tablet generated zero clicks from 142 impressions.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23640"/>
          <w:sz w:val="32"/>
          <w:szCs w:val="32"/>
        </w:rPr>
        <w:t xml:space="preserve">2. Site Engagement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site received 37 sessions during the analysis week. Of these, 19 (51.4%) were engaged sessions. 23 visitors (62%) were new users.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Page Type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5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Clicks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Engaged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Homepage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5 (36%)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5.67%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Collection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0.45%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Blog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0.24%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10 (100%)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0.11%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Info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0.21%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CCCCCC" w:sz="1"/>
              <w:left w:val="single" w:color="D35055" w:sz="12"/>
              <w:bottom w:val="single" w:color="CCCCCC" w:sz="1"/>
              <w:right w:val="single" w:color="CCCCCC" w:sz="1"/>
            </w:tcBorders>
            <w:shd w:fill="D350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23640"/>
                <w:sz w:val="20"/>
                <w:szCs w:val="20"/>
              </w:rPr>
              <w:t xml:space="preserve">Alert: Homepage Bounce at 62%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homepage receives the most sessions (14) but bounces 62% of visitors in an average of 8.7 seconds. Visitors land and leave without exploring. Consider: stronger hero CTA, visible product categories above the fold, best-seller carousel, or social proof (reviews, press mentions).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CCCCCC" w:sz="1"/>
              <w:left w:val="single" w:color="2CBF96" w:sz="12"/>
              <w:bottom w:val="single" w:color="CCCCCC" w:sz="1"/>
              <w:right w:val="single" w:color="CCCCCC" w:sz="1"/>
            </w:tcBorders>
            <w:shd w:fill="2CBF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23640"/>
                <w:sz w:val="20"/>
                <w:szCs w:val="20"/>
              </w:rPr>
              <w:t xml:space="preserve">Bright Spot: Product Page Engagement is Excellent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product page visitor engages — 0% bounce rate, 100% engagement rate, 33–43 second dwell times. The Scandinavian Extendable Table leads at 42.6s. This confirms the product pages convert attention into interest. The problem is routing visitors to these pages.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23640"/>
          <w:sz w:val="32"/>
          <w:szCs w:val="32"/>
        </w:rPr>
        <w:t xml:space="preserve">3. Conversion Funnel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funnel shows two major constriction points and one surprisingly healthy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Drop-off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All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100%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Product Page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27%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73% lost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Add to Cart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8.1%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70% lost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Checkout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8.1%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0% lost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Purchase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2.7%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67% lost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CCCCCC" w:sz="1"/>
              <w:left w:val="single" w:color="D35055" w:sz="12"/>
              <w:bottom w:val="single" w:color="CCCCCC" w:sz="1"/>
              <w:right w:val="single" w:color="CCCCCC" w:sz="1"/>
            </w:tcBorders>
            <w:shd w:fill="D350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23640"/>
                <w:sz w:val="20"/>
                <w:szCs w:val="20"/>
              </w:rPr>
              <w:t xml:space="preserve">Critical: Sessions → Product View (73% Drop-off)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This is the single biggest funnel leak. 27 of 37 visitors never see a product. The homepage (14 sessions, 62% bounce) is the primary culprit. Collection pages received 0 direct sessions from GA4 despite 28 search clicks — suggesting these visitors bounce before GA4 registers an engaged session.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CCCCCC" w:sz="1"/>
              <w:left w:val="single" w:color="2CBF96" w:sz="12"/>
              <w:bottom w:val="single" w:color="CCCCCC" w:sz="1"/>
              <w:right w:val="single" w:color="CCCCCC" w:sz="1"/>
            </w:tcBorders>
            <w:shd w:fill="2CBF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23640"/>
                <w:sz w:val="20"/>
                <w:szCs w:val="20"/>
              </w:rPr>
              <w:t xml:space="preserve">Positive: Cart → Checkout is Frictionless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100% of cart visitors started checkout. This suggests the cart experience, pricing transparency, and shipping info are working well. The checkout-to-purchase drop (67%) is expected for $2K+ furniture where buyers may need to consult a partner or save for later.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23640"/>
          <w:sz w:val="32"/>
          <w:szCs w:val="32"/>
        </w:rPr>
        <w:t xml:space="preserve">4. Customer &amp; Purchase Analysis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Your Shopify database contains 4,555 customer records. Of these, 717 (15.7%) have made at least one purchase, generating $1,557,564 in lifetime revenue across 817 orders.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Revenue Concentration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Revenue is heavily concentrated in the upper spend tiers. Just 370 customers in the $2K+ brackets account for 82% of all revenue ($1.27M). Your top 41 customers ($5K+) alone generated $275K.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Spend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Revenue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$5,000+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$275,076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17.7%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$2,000–$5,000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329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$995,197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63.9%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$1,000–$2,000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$247,598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15.9%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$500–$1,000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$33,391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2.1%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$200–$500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$2,954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Under $200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$3,349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0.2%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$0 (no purchase)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3,899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0%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Repeat vs One-Time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88.1% of buyers (632) have made exactly one purchase. 85 customers (11.9%) are repeat buyers, contributing $267,769 (17.2% of revenue). The repeat buyers average 2.2 orders each. Given the high AOV and long lead times (12–16 weeks), this repeat rate is reasonable but there’s room for growth through post-purchase email sequences and complementary product recommendations.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Geographic Distribution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Revenue is concentrated in major metro markets on the coasts, with Ohio as a strong #3 thanks to your Cleveland home 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Rev/Customer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California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$314,708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$1,345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New York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155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$199,386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$1,286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Ohio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$124,273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$1,635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Massachusetts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$94,723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$1,553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Texas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$81,884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$1,321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Washington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$67,091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$1,017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Washington DC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$52,496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$1,810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Florida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$50,744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$995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Illinois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$47,458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$1,032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Virginia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$46,146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23640"/>
                <w:sz w:val="18"/>
                <w:szCs w:val="18"/>
              </w:rPr>
              <w:t xml:space="preserve">$1,648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The 84% Problem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3,838 customer records (84.3%) have zero purchases. These break down as: 2,597 tagged “Churned Shopify signups,” 1,652 newsletter subscribers, 1,403 prospects, and 1,280 cleaned/spam-protected emails. Many overlap. This inflated list hurts email deliverability and obscures true customer metrics.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CCCCCC" w:sz="1"/>
              <w:left w:val="single" w:color="F2AC29" w:sz="12"/>
              <w:bottom w:val="single" w:color="CCCCCC" w:sz="1"/>
              <w:right w:val="single" w:color="CCCCCC" w:sz="1"/>
            </w:tcBorders>
            <w:shd w:fill="F2AC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23640"/>
                <w:sz w:val="20"/>
                <w:szCs w:val="20"/>
              </w:rPr>
              <w:t xml:space="preserve">Recommendation: List Hygiene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Clean the 2,597 churned signups and 1,280 spam-protected records. A lean, engaged list of ~1,500–2,000 active subscribers will deliver better open rates, lower costs, and more accurate analytics. Consider a sunset flow: send a re-engagement email, then suppress non-openers after 60 days.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23640"/>
          <w:sz w:val="32"/>
          <w:szCs w:val="32"/>
        </w:rPr>
        <w:t xml:space="preserve">5.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Priority 1: Fix Search Click-Through Rate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Rewrite meta titles for your top 20 impression pages. Use the pattern: [Emotional Hook] + [Product] + [Differentiator]. Example: “Handcrafted Mid-Century Modern Dining Table | Solid Walnut, Made in USA | ModernCre8ve.” Add structured data (Product schema with price, availability, reviews) to earn rich snippets. Target: 1.5% CTR within 90 days, which would 4x your organic traffic.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Priority 2: Reduce Homepage Bounce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above-the-fold product category cards (Dining Tables, Beds, Credenzas) with lifestyle imagery. Include a “Best Sellers” section within the first scroll. Add social proof: review count, press logos, or “As seen in” badges. Target: reduce bounce from 62% to under 40%.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Priority 3: Activate Email Nurture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With 3,641 email subscribers and a $1,906 AOV, even a 0.5% conversion on a well-crafted email campaign = ~$35K in revenue. Build a 3-part welcome series, a monthly “new arrivals + design inspiration” newsletter, and a post-purchase care sequence (furniture care tips at 30/60/90 days post-delivery).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Priority 4: Build an SMS Channel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Only 38 of 4,555 customers have opted into SMS. For high-ticket furniture with 12–16 week lead times, SMS is ideal for order updates, production milestones, and delivery scheduling. Add an SMS opt-in at checkout and post-purchase. Target: 500 SMS subscribers in 6 months.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23640"/>
          <w:sz w:val="26"/>
          <w:szCs w:val="26"/>
        </w:rPr>
        <w:t xml:space="preserve">Priority 5: Nurture High-Value Customers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Your top 370 customers ($2K+) represent 82% of revenue. Create a VIP program: early access to new designs, a referral bonus, and personalized follow-up 6 months post-delivery for complementary pieces (e.g., dining table buyers → credenza, coffee table, chairs).</w:t>
      </w:r>
    </w:p>
    <w:p>
      <w:pPr>
        <w:spacing w:after="80" w:before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DA0A7"/>
          <w:sz w:val="18"/>
          <w:szCs w:val="18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DA0A7"/>
        <w:sz w:val="16"/>
        <w:szCs w:val="16"/>
      </w:rPr>
      <w:t xml:space="preserve">Page </w:t>
    </w:r>
    <w:r>
      <w:rPr>
        <w:rFonts w:ascii="Arial" w:cs="Arial" w:eastAsia="Arial" w:hAnsi="Arial"/>
        <w:color w:val="9DA0A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DA0A7"/>
        <w:sz w:val="16"/>
        <w:szCs w:val="16"/>
      </w:rPr>
      <w:t xml:space="preserve">ModernCre8ve — User Behavior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236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236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236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2026-03-17T16:07:39.046Z</dcterms:created>
  <dcterms:modified xsi:type="dcterms:W3CDTF">2026-03-17T16:07:39.046Z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