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C11F" w14:textId="2A6E1E70" w:rsidR="00870801" w:rsidRDefault="00870801"/>
    <w:p w14:paraId="5D9286A7" w14:textId="6CB8CA2C" w:rsidR="00F344CA" w:rsidRDefault="00F344CA">
      <w:r>
        <w:t>Processo SEI nº 53180.02471/2025-08</w:t>
      </w:r>
    </w:p>
    <w:p w14:paraId="3786129B" w14:textId="1A8CE0B5" w:rsidR="00F344CA" w:rsidRDefault="00F344CA">
      <w:r>
        <w:rPr>
          <w:noProof/>
        </w:rPr>
        <w:drawing>
          <wp:inline distT="0" distB="0" distL="0" distR="0" wp14:anchorId="5B2C4991" wp14:editId="4B80781D">
            <wp:extent cx="5397500" cy="290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CA"/>
    <w:rsid w:val="00480FE0"/>
    <w:rsid w:val="00870801"/>
    <w:rsid w:val="00E406D8"/>
    <w:rsid w:val="00F3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6D85"/>
  <w15:chartTrackingRefBased/>
  <w15:docId w15:val="{413DF91E-AA6D-4EE9-AAE7-DB3BDE0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2025-06-03T11:39:00Z</dcterms:created>
  <dcterms:modified xsi:type="dcterms:W3CDTF">2025-06-03T11:45:00Z</dcterms:modified>
</cp:coreProperties>
</file>