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A05E" w14:textId="77777777" w:rsidR="00C87629" w:rsidRPr="006F0A43" w:rsidRDefault="00C87629" w:rsidP="00C87629">
      <w:pPr>
        <w:jc w:val="both"/>
        <w:rPr>
          <w:rFonts w:ascii="Arial" w:hAnsi="Arial" w:cs="Arial"/>
          <w:b/>
          <w:bCs/>
        </w:rPr>
      </w:pPr>
    </w:p>
    <w:tbl>
      <w:tblPr>
        <w:tblpPr w:leftFromText="141" w:rightFromText="141" w:vertAnchor="text" w:tblpX="70" w:tblpY="1"/>
        <w:tblOverlap w:val="never"/>
        <w:tblW w:w="963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722"/>
        <w:gridCol w:w="6397"/>
      </w:tblGrid>
      <w:tr w:rsidR="00C87629" w:rsidRPr="00FC13FC" w14:paraId="530E9167" w14:textId="77777777" w:rsidTr="007E0617">
        <w:tc>
          <w:tcPr>
            <w:tcW w:w="2520" w:type="dxa"/>
          </w:tcPr>
          <w:p w14:paraId="33D3EBB9" w14:textId="77777777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Oficio nº: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01/</w:t>
            </w: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722" w:type="dxa"/>
          </w:tcPr>
          <w:p w14:paraId="6406ED2D" w14:textId="77777777" w:rsidR="00C87629" w:rsidRPr="00FC13FC" w:rsidRDefault="00C87629" w:rsidP="007E0617">
            <w:pPr>
              <w:spacing w:before="60" w:after="60"/>
              <w:ind w:left="61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De:</w:t>
            </w:r>
          </w:p>
        </w:tc>
        <w:tc>
          <w:tcPr>
            <w:tcW w:w="6397" w:type="dxa"/>
          </w:tcPr>
          <w:p w14:paraId="0325720B" w14:textId="77777777" w:rsid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Rogério Wilson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Lélis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Caixeta</w:t>
            </w:r>
          </w:p>
          <w:p w14:paraId="78C5B06F" w14:textId="39A0D338" w:rsidR="00C87629" w:rsidRP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>Proprietário da unidade Jacarandás 29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D03D4">
              <w:rPr>
                <w:rFonts w:ascii="Arial" w:hAnsi="Arial" w:cs="Arial"/>
                <w:sz w:val="22"/>
                <w:szCs w:val="22"/>
              </w:rPr>
              <w:t xml:space="preserve">do </w:t>
            </w:r>
            <w:r w:rsidR="001D03D4" w:rsidRPr="00C87629">
              <w:rPr>
                <w:rFonts w:ascii="Arial" w:hAnsi="Arial" w:cs="Arial"/>
                <w:sz w:val="22"/>
                <w:szCs w:val="22"/>
              </w:rPr>
              <w:t>condomínio</w:t>
            </w:r>
            <w:r w:rsidRPr="00C87629">
              <w:rPr>
                <w:rFonts w:ascii="Arial" w:hAnsi="Arial" w:cs="Arial"/>
                <w:sz w:val="22"/>
                <w:szCs w:val="22"/>
              </w:rPr>
              <w:t xml:space="preserve"> Residencial Village </w:t>
            </w:r>
            <w:proofErr w:type="spellStart"/>
            <w:r w:rsidRPr="00C87629">
              <w:rPr>
                <w:rFonts w:ascii="Arial" w:hAnsi="Arial" w:cs="Arial"/>
                <w:sz w:val="22"/>
                <w:szCs w:val="22"/>
              </w:rPr>
              <w:t>Thermas</w:t>
            </w:r>
            <w:proofErr w:type="spellEnd"/>
            <w:r w:rsidRPr="00C87629">
              <w:rPr>
                <w:rFonts w:ascii="Arial" w:hAnsi="Arial" w:cs="Arial"/>
                <w:sz w:val="22"/>
                <w:szCs w:val="22"/>
              </w:rPr>
              <w:t xml:space="preserve"> das Caldas</w:t>
            </w:r>
          </w:p>
        </w:tc>
      </w:tr>
      <w:tr w:rsidR="00C87629" w:rsidRPr="00FC13FC" w14:paraId="2527611F" w14:textId="77777777" w:rsidTr="007E0617">
        <w:tc>
          <w:tcPr>
            <w:tcW w:w="2520" w:type="dxa"/>
          </w:tcPr>
          <w:p w14:paraId="70ECF8A7" w14:textId="1F9B007C" w:rsidR="00C87629" w:rsidRPr="00FC13FC" w:rsidRDefault="00C87629" w:rsidP="007E0617">
            <w:pPr>
              <w:spacing w:before="60" w:after="6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Data: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02/04/2025</w:t>
            </w:r>
          </w:p>
        </w:tc>
        <w:tc>
          <w:tcPr>
            <w:tcW w:w="722" w:type="dxa"/>
          </w:tcPr>
          <w:p w14:paraId="4E0C0F82" w14:textId="0523DDE6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bCs/>
                <w:sz w:val="22"/>
                <w:szCs w:val="22"/>
              </w:rPr>
              <w:t>Para:</w:t>
            </w:r>
          </w:p>
        </w:tc>
        <w:tc>
          <w:tcPr>
            <w:tcW w:w="6397" w:type="dxa"/>
          </w:tcPr>
          <w:p w14:paraId="0E24ED71" w14:textId="01D1C0B9" w:rsid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b/>
                <w:bCs/>
                <w:sz w:val="22"/>
                <w:szCs w:val="22"/>
              </w:rPr>
              <w:t>Ana Leda Tomaz Batista da Silv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  <w:p w14:paraId="20562ACD" w14:textId="77777777" w:rsid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C87629">
              <w:rPr>
                <w:rFonts w:ascii="Arial" w:hAnsi="Arial" w:cs="Arial"/>
                <w:sz w:val="22"/>
                <w:szCs w:val="22"/>
              </w:rPr>
              <w:t xml:space="preserve">índica do condomínio Residencial Village </w:t>
            </w:r>
            <w:proofErr w:type="spellStart"/>
            <w:r w:rsidRPr="00C87629">
              <w:rPr>
                <w:rFonts w:ascii="Arial" w:hAnsi="Arial" w:cs="Arial"/>
                <w:sz w:val="22"/>
                <w:szCs w:val="22"/>
              </w:rPr>
              <w:t>Thermas</w:t>
            </w:r>
            <w:proofErr w:type="spellEnd"/>
            <w:r w:rsidRPr="00C87629">
              <w:rPr>
                <w:rFonts w:ascii="Arial" w:hAnsi="Arial" w:cs="Arial"/>
                <w:sz w:val="22"/>
                <w:szCs w:val="22"/>
              </w:rPr>
              <w:t xml:space="preserve"> das Caldas</w:t>
            </w:r>
          </w:p>
          <w:p w14:paraId="3FBBDD58" w14:textId="343C212E" w:rsidR="00C87629" w:rsidRPr="00C87629" w:rsidRDefault="00C87629" w:rsidP="007E0617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87629">
              <w:rPr>
                <w:rFonts w:ascii="Arial" w:hAnsi="Arial" w:cs="Arial"/>
                <w:sz w:val="22"/>
                <w:szCs w:val="22"/>
              </w:rPr>
              <w:t>CNPJ 03.699.672/0001-25</w:t>
            </w:r>
          </w:p>
        </w:tc>
      </w:tr>
      <w:tr w:rsidR="00C87629" w:rsidRPr="00FC13FC" w14:paraId="0DF8ABF7" w14:textId="77777777" w:rsidTr="007E0617">
        <w:tc>
          <w:tcPr>
            <w:tcW w:w="3242" w:type="dxa"/>
            <w:gridSpan w:val="2"/>
          </w:tcPr>
          <w:p w14:paraId="6320E22C" w14:textId="77777777" w:rsidR="00C87629" w:rsidRPr="00FC13FC" w:rsidRDefault="00C87629" w:rsidP="007E0617">
            <w:pPr>
              <w:spacing w:before="60" w:after="60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FC13FC">
              <w:rPr>
                <w:rFonts w:ascii="Arial" w:hAnsi="Arial" w:cs="Arial"/>
                <w:b/>
                <w:sz w:val="22"/>
                <w:szCs w:val="22"/>
              </w:rPr>
              <w:t>Assunto:</w:t>
            </w:r>
          </w:p>
        </w:tc>
        <w:tc>
          <w:tcPr>
            <w:tcW w:w="6397" w:type="dxa"/>
          </w:tcPr>
          <w:p w14:paraId="7F918DC5" w14:textId="6634E19A" w:rsidR="00C87629" w:rsidRPr="00FC13FC" w:rsidRDefault="00C87629" w:rsidP="007E0617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F13BF">
              <w:rPr>
                <w:rFonts w:ascii="Arial" w:hAnsi="Arial" w:cs="Arial"/>
                <w:sz w:val="22"/>
                <w:szCs w:val="22"/>
              </w:rPr>
              <w:t xml:space="preserve">Solicitação </w:t>
            </w:r>
            <w:r>
              <w:rPr>
                <w:rFonts w:ascii="Arial" w:hAnsi="Arial" w:cs="Arial"/>
                <w:sz w:val="22"/>
                <w:szCs w:val="22"/>
              </w:rPr>
              <w:t xml:space="preserve">de informações atuais </w:t>
            </w:r>
            <w:r w:rsidR="001D03D4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>
              <w:rPr>
                <w:rFonts w:ascii="Arial" w:hAnsi="Arial" w:cs="Arial"/>
                <w:sz w:val="22"/>
                <w:szCs w:val="22"/>
              </w:rPr>
              <w:t>contratação de pessoal, processos jurídicos, cobrança de inadimplentes, poda de árvores, entre outros.</w:t>
            </w:r>
          </w:p>
        </w:tc>
      </w:tr>
    </w:tbl>
    <w:p w14:paraId="17E9DDB4" w14:textId="77777777" w:rsidR="00C87629" w:rsidRPr="00FC13FC" w:rsidRDefault="00C87629" w:rsidP="00C87629">
      <w:pPr>
        <w:jc w:val="both"/>
        <w:rPr>
          <w:rFonts w:ascii="Arial" w:hAnsi="Arial" w:cs="Arial"/>
          <w:sz w:val="20"/>
          <w:szCs w:val="20"/>
        </w:rPr>
      </w:pPr>
    </w:p>
    <w:p w14:paraId="01EAF3FF" w14:textId="77777777" w:rsidR="00C87629" w:rsidRDefault="00C87629" w:rsidP="00C87629"/>
    <w:p w14:paraId="2D9F3A8E" w14:textId="26982A8E" w:rsidR="00C87629" w:rsidRDefault="00C87629" w:rsidP="00C876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Prezado Sra. </w:t>
      </w:r>
      <w:r w:rsidRPr="00C87629">
        <w:rPr>
          <w:rFonts w:ascii="Arial" w:hAnsi="Arial" w:cs="Arial"/>
        </w:rPr>
        <w:t>Ana Leda Tomaz Batista da Silva</w:t>
      </w:r>
    </w:p>
    <w:p w14:paraId="509626EA" w14:textId="4D537294" w:rsidR="00C87629" w:rsidRDefault="00C87629" w:rsidP="00C876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Síndica do </w:t>
      </w:r>
      <w:r w:rsidRPr="00C87629">
        <w:rPr>
          <w:rFonts w:ascii="Arial" w:hAnsi="Arial" w:cs="Arial"/>
        </w:rPr>
        <w:t xml:space="preserve">condomínio Residencial Village </w:t>
      </w:r>
      <w:proofErr w:type="spellStart"/>
      <w:r w:rsidRPr="00C87629">
        <w:rPr>
          <w:rFonts w:ascii="Arial" w:hAnsi="Arial" w:cs="Arial"/>
        </w:rPr>
        <w:t>Thermas</w:t>
      </w:r>
      <w:proofErr w:type="spellEnd"/>
      <w:r w:rsidRPr="00C87629">
        <w:rPr>
          <w:rFonts w:ascii="Arial" w:hAnsi="Arial" w:cs="Arial"/>
        </w:rPr>
        <w:t xml:space="preserve"> das Caldas</w:t>
      </w:r>
      <w:r>
        <w:rPr>
          <w:rFonts w:ascii="Arial" w:hAnsi="Arial" w:cs="Arial"/>
        </w:rPr>
        <w:t>.</w:t>
      </w:r>
    </w:p>
    <w:p w14:paraId="120E8D29" w14:textId="77777777" w:rsidR="009337AF" w:rsidRDefault="009337AF" w:rsidP="00C87629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Venho, por meio deste, reiterar solicitações anteriormente realizadas desde janeiro de 2025, que, até a presente data, não foram atendidas ou devidamente esclarecidas. Considerando o prazo razoável transcorrido, entendo ser necessário um posicionamento formal sobre os temas em questão.</w:t>
      </w:r>
    </w:p>
    <w:p w14:paraId="56B34AAC" w14:textId="77777777" w:rsidR="009337AF" w:rsidRDefault="009337AF" w:rsidP="00C87629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Conforme registrado, tais solicitações foram realizadas presencialmente em janeiro e fevereiro junto à administração do condomínio e formalizadas por meio de documento enviado ao então advogado do condomínio, Sr. Tiago Moreira, em 10/02/2025. A solicitação foi novamente reforçada em 17/03/2025, sem que houvesse retorno.</w:t>
      </w:r>
    </w:p>
    <w:p w14:paraId="31268F9B" w14:textId="77777777" w:rsidR="009337AF" w:rsidRDefault="009337AF" w:rsidP="00C87629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Com base na Cláusula 31ª da Convenção do Condomínio, compete ao síndico prestar informações sobre os atos da administração a qualquer condômino ou morador, sempre que solicitado. Assim, solicito esclarecimentos sobre os seguintes pontos:</w:t>
      </w:r>
    </w:p>
    <w:p w14:paraId="42FDB7BA" w14:textId="698333CD" w:rsidR="006B66B7" w:rsidRPr="00BB5A4B" w:rsidRDefault="006B66B7" w:rsidP="009337AF">
      <w:pPr>
        <w:pStyle w:val="PargrafodaLista"/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b/>
          <w:bCs/>
        </w:rPr>
      </w:pPr>
      <w:r w:rsidRPr="00BB5A4B">
        <w:rPr>
          <w:rFonts w:ascii="Arial" w:hAnsi="Arial" w:cs="Arial"/>
          <w:b/>
          <w:bCs/>
        </w:rPr>
        <w:t>Jovem aprendiz</w:t>
      </w:r>
    </w:p>
    <w:p w14:paraId="794853CF" w14:textId="1F70CD68" w:rsidR="006B66B7" w:rsidRPr="00BB5A4B" w:rsidRDefault="006B66B7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</w:rPr>
        <w:t>“</w:t>
      </w:r>
      <w:r w:rsidRPr="00BB5A4B">
        <w:rPr>
          <w:rFonts w:ascii="Arial" w:hAnsi="Arial" w:cs="Arial"/>
          <w:i/>
          <w:iCs/>
        </w:rPr>
        <w:t>De acordo com a legislação brasileira, os condomínios residenciais não são obrigados a</w:t>
      </w:r>
      <w:r w:rsidR="00BB5A4B" w:rsidRPr="00BB5A4B">
        <w:rPr>
          <w:rFonts w:ascii="Arial" w:hAnsi="Arial" w:cs="Arial"/>
          <w:i/>
          <w:iCs/>
        </w:rPr>
        <w:t xml:space="preserve"> </w:t>
      </w:r>
      <w:r w:rsidRPr="00BB5A4B">
        <w:rPr>
          <w:rFonts w:ascii="Arial" w:hAnsi="Arial" w:cs="Arial"/>
          <w:i/>
          <w:iCs/>
        </w:rPr>
        <w:t>contratar jovens aprendizes.</w:t>
      </w:r>
    </w:p>
    <w:p w14:paraId="4162EA89" w14:textId="7487CD1B" w:rsidR="006B66B7" w:rsidRDefault="006B66B7" w:rsidP="00BB5A4B">
      <w:pPr>
        <w:spacing w:before="240"/>
        <w:ind w:firstLine="708"/>
        <w:jc w:val="both"/>
        <w:rPr>
          <w:rFonts w:ascii="Arial" w:hAnsi="Arial" w:cs="Arial"/>
        </w:rPr>
      </w:pPr>
      <w:r w:rsidRPr="00BB5A4B">
        <w:rPr>
          <w:rFonts w:ascii="Arial" w:hAnsi="Arial" w:cs="Arial"/>
          <w:i/>
          <w:iCs/>
        </w:rPr>
        <w:t>A Consolidação das Leis do Trabalho (CLT), em seu artigo 429, estabelece que "os</w:t>
      </w:r>
      <w:r w:rsidR="00BB5A4B" w:rsidRPr="00BB5A4B">
        <w:rPr>
          <w:rFonts w:ascii="Arial" w:hAnsi="Arial" w:cs="Arial"/>
          <w:i/>
          <w:iCs/>
        </w:rPr>
        <w:t xml:space="preserve"> </w:t>
      </w:r>
      <w:r w:rsidRPr="00BB5A4B">
        <w:rPr>
          <w:rFonts w:ascii="Arial" w:hAnsi="Arial" w:cs="Arial"/>
          <w:i/>
          <w:iCs/>
        </w:rPr>
        <w:t>estabelecimentos de qualquer natureza são obrigados a empregar e matricular nos cursos dos</w:t>
      </w:r>
      <w:r w:rsidR="00BB5A4B" w:rsidRPr="00BB5A4B">
        <w:rPr>
          <w:rFonts w:ascii="Arial" w:hAnsi="Arial" w:cs="Arial"/>
          <w:i/>
          <w:iCs/>
        </w:rPr>
        <w:t xml:space="preserve"> </w:t>
      </w:r>
      <w:r w:rsidRPr="00BB5A4B">
        <w:rPr>
          <w:rFonts w:ascii="Arial" w:hAnsi="Arial" w:cs="Arial"/>
          <w:i/>
          <w:iCs/>
        </w:rPr>
        <w:t>Serviços Nacionais de Aprendizagem número de aprendizes equivalente a cinco por cento, no</w:t>
      </w:r>
      <w:r w:rsidR="00BB5A4B" w:rsidRPr="00BB5A4B">
        <w:rPr>
          <w:rFonts w:ascii="Arial" w:hAnsi="Arial" w:cs="Arial"/>
          <w:i/>
          <w:iCs/>
        </w:rPr>
        <w:t xml:space="preserve"> </w:t>
      </w:r>
      <w:r w:rsidRPr="00BB5A4B">
        <w:rPr>
          <w:rFonts w:ascii="Arial" w:hAnsi="Arial" w:cs="Arial"/>
          <w:i/>
          <w:iCs/>
        </w:rPr>
        <w:t>mínimo, e quinze por cento, no máximo, dos trabalhadores existentes em cada estabelecimento,</w:t>
      </w:r>
      <w:r w:rsidR="00BB5A4B" w:rsidRPr="00BB5A4B">
        <w:rPr>
          <w:rFonts w:ascii="Arial" w:hAnsi="Arial" w:cs="Arial"/>
          <w:i/>
          <w:iCs/>
        </w:rPr>
        <w:t xml:space="preserve"> </w:t>
      </w:r>
      <w:r w:rsidRPr="00BB5A4B">
        <w:rPr>
          <w:rFonts w:ascii="Arial" w:hAnsi="Arial" w:cs="Arial"/>
          <w:i/>
          <w:iCs/>
        </w:rPr>
        <w:t>cujas funções demandem formação profissional</w:t>
      </w:r>
      <w:r w:rsidR="00BB5A4B">
        <w:rPr>
          <w:rFonts w:ascii="Arial" w:hAnsi="Arial" w:cs="Arial"/>
          <w:i/>
          <w:iCs/>
        </w:rPr>
        <w:t>”</w:t>
      </w:r>
      <w:r w:rsidRPr="00BB5A4B">
        <w:rPr>
          <w:rFonts w:ascii="Arial" w:hAnsi="Arial" w:cs="Arial"/>
        </w:rPr>
        <w:t>.</w:t>
      </w:r>
    </w:p>
    <w:p w14:paraId="18D47787" w14:textId="04B4629C" w:rsidR="00BB5A4B" w:rsidRPr="00BB5A4B" w:rsidRDefault="00BB5A4B" w:rsidP="00BB5A4B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18"/>
          <w:szCs w:val="18"/>
        </w:rPr>
      </w:pPr>
      <w:r w:rsidRPr="00BB5A4B">
        <w:rPr>
          <w:rFonts w:ascii="Arial" w:hAnsi="Arial" w:cs="Arial"/>
          <w:b/>
          <w:bCs/>
          <w:sz w:val="18"/>
          <w:szCs w:val="18"/>
        </w:rPr>
        <w:t>Fonte</w:t>
      </w:r>
      <w:r w:rsidRPr="00BB5A4B">
        <w:rPr>
          <w:rFonts w:ascii="Arial" w:hAnsi="Arial" w:cs="Arial"/>
          <w:sz w:val="18"/>
          <w:szCs w:val="18"/>
        </w:rPr>
        <w:t>: https://tst.jus.br/en/-/condom%C3%ADnio-residencial-n%C3%A3o-ter%C3%A1-de-preencher-vaga-com-aprendiz%C2%A0</w:t>
      </w:r>
    </w:p>
    <w:p w14:paraId="2641CEAD" w14:textId="54BF6714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“</w:t>
      </w:r>
      <w:r w:rsidRPr="00BB5A4B">
        <w:rPr>
          <w:rFonts w:ascii="Arial" w:hAnsi="Arial" w:cs="Arial"/>
          <w:i/>
          <w:iCs/>
        </w:rPr>
        <w:t>A Oitava Turma do Tribunal Superior do Trabalho (TST), reafirmando entendimento da Corte, decidiu que os condomínios residenciais não estão obrigados a empregar e matricular jovens aprendizes na forma prevista no artigo 429 da CLT* (Processo TST-AIRR-384-55.2018.5.13.0030, DEJT de 19.11.2021). Para o colegiado, a norma se aplica aos estabelecimentos empresariais.</w:t>
      </w:r>
    </w:p>
    <w:p w14:paraId="45A28981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 xml:space="preserve">No caso concreto, o condomínio ingressou com ação declaratória de inexigibilidade após a Superintendência Regional do Trabalho e Emprego na Paraíba tentar obrigá-lo a </w:t>
      </w:r>
      <w:r w:rsidRPr="00BB5A4B">
        <w:rPr>
          <w:rFonts w:ascii="Arial" w:hAnsi="Arial" w:cs="Arial"/>
          <w:i/>
          <w:iCs/>
        </w:rPr>
        <w:lastRenderedPageBreak/>
        <w:t>contratar jovens aprendizes. Sustentou o condomínio que, além de não se enquadrar entre os estabelecimentos obrigados ao cumprimento da conta legal, os seus empregados exerciam atividades extremamente simples e que não exigiam formação profissional metódica. Já para o Ministério Público do Trabalho da 13ª Região (MPT 13), que também atuou na ação, os condomínios residenciais se enquadrariam na definição de “estabelecimentos de qualquer natureza” prevista na lei, obrigando-se a contratar aprendizes.</w:t>
      </w:r>
    </w:p>
    <w:p w14:paraId="0781FEB8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Na controvérsia, discutiu-se se as normas que obrigam a contratação de aprendizes se aplicariam (ou não) aos condomínios residenciais.</w:t>
      </w:r>
    </w:p>
    <w:p w14:paraId="21159F0E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Nesse contexto, a 8ª Turma asseverou que os condomínios residenciais não estão obrigados a cumprir cota de aprendizes, pois “os destinatários da norma (....) são os estabelecimentos empresariais, com os quais, não se confundem os condomínios residenciais, pois não exploram atividade econômica, configurando-se uma propriedade em comum dos condôminos”.</w:t>
      </w:r>
    </w:p>
    <w:p w14:paraId="55839721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 xml:space="preserve">Com esse entendimento, o colegiado manteve a decisão do Tribunal Regional </w:t>
      </w:r>
      <w:proofErr w:type="spellStart"/>
      <w:r w:rsidRPr="00BB5A4B">
        <w:rPr>
          <w:rFonts w:ascii="Arial" w:hAnsi="Arial" w:cs="Arial"/>
          <w:i/>
          <w:iCs/>
        </w:rPr>
        <w:t>da</w:t>
      </w:r>
      <w:proofErr w:type="spellEnd"/>
      <w:r w:rsidRPr="00BB5A4B">
        <w:rPr>
          <w:rFonts w:ascii="Arial" w:hAnsi="Arial" w:cs="Arial"/>
          <w:i/>
          <w:iCs/>
        </w:rPr>
        <w:t xml:space="preserve"> Trabalho da 13ª Região (TRT/PB), que já havia afastado a obrigação do condomínio de contratar aprendizes.</w:t>
      </w:r>
    </w:p>
    <w:p w14:paraId="3449ABEC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O julgado está em linha com os seguintes precedentes do TST:</w:t>
      </w:r>
    </w:p>
    <w:p w14:paraId="09555BE6" w14:textId="77777777" w:rsidR="00BB5A4B" w:rsidRPr="00BB5A4B" w:rsidRDefault="00BB5A4B" w:rsidP="00BB5A4B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AIRR-100206-27.2017.5.01.0243, Rel. Min. Dora Maria da Costa, 8ª Turma, DEJT 05/06/2020;</w:t>
      </w:r>
    </w:p>
    <w:p w14:paraId="2AB32DE5" w14:textId="77777777" w:rsidR="00BB5A4B" w:rsidRPr="00BB5A4B" w:rsidRDefault="00BB5A4B" w:rsidP="00BB5A4B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 xml:space="preserve">AIRR-449-10.2019.5.13.0032, Rel. Min. Alberto Luiz </w:t>
      </w:r>
      <w:proofErr w:type="spellStart"/>
      <w:r w:rsidRPr="00BB5A4B">
        <w:rPr>
          <w:rFonts w:ascii="Arial" w:hAnsi="Arial" w:cs="Arial"/>
          <w:i/>
          <w:iCs/>
        </w:rPr>
        <w:t>Bresciani</w:t>
      </w:r>
      <w:proofErr w:type="spellEnd"/>
      <w:r w:rsidRPr="00BB5A4B">
        <w:rPr>
          <w:rFonts w:ascii="Arial" w:hAnsi="Arial" w:cs="Arial"/>
          <w:i/>
          <w:iCs/>
        </w:rPr>
        <w:t xml:space="preserve"> de </w:t>
      </w:r>
      <w:proofErr w:type="spellStart"/>
      <w:r w:rsidRPr="00BB5A4B">
        <w:rPr>
          <w:rFonts w:ascii="Arial" w:hAnsi="Arial" w:cs="Arial"/>
          <w:i/>
          <w:iCs/>
        </w:rPr>
        <w:t>Fontan</w:t>
      </w:r>
      <w:proofErr w:type="spellEnd"/>
      <w:r w:rsidRPr="00BB5A4B">
        <w:rPr>
          <w:rFonts w:ascii="Arial" w:hAnsi="Arial" w:cs="Arial"/>
          <w:i/>
          <w:iCs/>
        </w:rPr>
        <w:t xml:space="preserve"> Pereira, 3ª Turma, DEJT 27/08/2021.</w:t>
      </w:r>
    </w:p>
    <w:p w14:paraId="36F46B88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A decisão foi unânime.</w:t>
      </w:r>
    </w:p>
    <w:p w14:paraId="7E7BF985" w14:textId="77777777" w:rsid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CLT</w:t>
      </w:r>
    </w:p>
    <w:p w14:paraId="759122C1" w14:textId="77777777" w:rsidR="00BB5A4B" w:rsidRDefault="00BB5A4B" w:rsidP="00BB5A4B">
      <w:pPr>
        <w:spacing w:before="240"/>
        <w:ind w:left="709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>“Art. 428. Contrato de aprendizagem é o contrato de trabalho especial, ajustado por escrito e por prazo determinado, em que o empregador se compromete a assegurar ao maior de 14 (quatorze) e menor de 24 (vinte e quatro) anos inscrito em programa de aprendizagem formação técnico-profissional metódica, compatível com o seu desenvolvimento físico, moral e psicológico, e o aprendiz, a executar com zelo e diligência as tarefas necessárias a essa formação.</w:t>
      </w:r>
      <w:r w:rsidRPr="00BB5A4B">
        <w:rPr>
          <w:rFonts w:ascii="Arial" w:hAnsi="Arial" w:cs="Arial"/>
          <w:i/>
          <w:iCs/>
        </w:rPr>
        <w:br/>
        <w:t> (...)</w:t>
      </w:r>
    </w:p>
    <w:p w14:paraId="59CE02DE" w14:textId="434D56BA" w:rsidR="00BB5A4B" w:rsidRPr="00BB5A4B" w:rsidRDefault="00BB5A4B" w:rsidP="00BB5A4B">
      <w:pPr>
        <w:spacing w:before="240"/>
        <w:ind w:left="709" w:hanging="1"/>
        <w:jc w:val="both"/>
        <w:rPr>
          <w:rFonts w:ascii="Arial" w:hAnsi="Arial" w:cs="Arial"/>
          <w:i/>
          <w:iCs/>
        </w:rPr>
      </w:pPr>
      <w:r w:rsidRPr="00BB5A4B">
        <w:rPr>
          <w:rFonts w:ascii="Arial" w:hAnsi="Arial" w:cs="Arial"/>
          <w:i/>
          <w:iCs/>
        </w:rPr>
        <w:t xml:space="preserve"> Art. 429. Os estabelecimentos de qualquer natureza são obrigados a empregar e matricular nos cursos dos Serviços Nacionais de Aprendizagem número de aprendizes equivalente a cinco por cento, no mínimo, e quinze por cento, no máximo, dos trabalhadores existentes em cada estabelecimento, cujas funções demandem formação profissional.”</w:t>
      </w:r>
    </w:p>
    <w:p w14:paraId="1402EBB7" w14:textId="731F92BC" w:rsidR="00BB5A4B" w:rsidRPr="00BB5A4B" w:rsidRDefault="00BB5A4B" w:rsidP="00BB5A4B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  <w:sz w:val="18"/>
          <w:szCs w:val="18"/>
        </w:rPr>
      </w:pPr>
      <w:r w:rsidRPr="00BB5A4B">
        <w:rPr>
          <w:rFonts w:ascii="Arial" w:hAnsi="Arial" w:cs="Arial"/>
          <w:b/>
          <w:bCs/>
          <w:sz w:val="18"/>
          <w:szCs w:val="18"/>
        </w:rPr>
        <w:t>Fonte</w:t>
      </w:r>
      <w:r w:rsidRPr="00BB5A4B"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CNI - </w:t>
      </w:r>
      <w:r w:rsidRPr="00BB5A4B">
        <w:rPr>
          <w:rFonts w:ascii="Arial" w:hAnsi="Arial" w:cs="Arial"/>
          <w:sz w:val="18"/>
          <w:szCs w:val="18"/>
        </w:rPr>
        <w:t>https://conexaotrabalho.portaldaindustria.com.br/noticias/detalhe/trabalhista/-geral/tst-condominio-residencial-nao-e-obrigado-a-cumprir-cota-de-aprendiz</w:t>
      </w:r>
    </w:p>
    <w:p w14:paraId="0C439012" w14:textId="77777777" w:rsidR="00BB5A4B" w:rsidRPr="00BB5A4B" w:rsidRDefault="00BB5A4B" w:rsidP="00BB5A4B">
      <w:pPr>
        <w:spacing w:before="240"/>
        <w:ind w:firstLine="708"/>
        <w:jc w:val="both"/>
        <w:rPr>
          <w:rFonts w:ascii="Arial" w:hAnsi="Arial" w:cs="Arial"/>
          <w:i/>
          <w:iCs/>
        </w:rPr>
      </w:pPr>
    </w:p>
    <w:p w14:paraId="56803914" w14:textId="349EFFAF" w:rsidR="006B66B7" w:rsidRPr="00BB5A4B" w:rsidRDefault="00BB5A4B" w:rsidP="00BB5A4B">
      <w:pPr>
        <w:spacing w:before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Observa-se com base nas informações disponibilizadas, que o </w:t>
      </w:r>
      <w:r w:rsidR="006B66B7" w:rsidRPr="00BB5A4B">
        <w:rPr>
          <w:rFonts w:ascii="Arial" w:hAnsi="Arial" w:cs="Arial"/>
        </w:rPr>
        <w:t>Tribunal Superior do Trabalho (TST) tem decidido que os condomínios</w:t>
      </w:r>
      <w:r>
        <w:rPr>
          <w:rFonts w:ascii="Arial" w:hAnsi="Arial" w:cs="Arial"/>
        </w:rPr>
        <w:t xml:space="preserve"> </w:t>
      </w:r>
      <w:r w:rsidR="006B66B7" w:rsidRPr="00BB5A4B">
        <w:rPr>
          <w:rFonts w:ascii="Arial" w:hAnsi="Arial" w:cs="Arial"/>
        </w:rPr>
        <w:t>residenciais não se enquadram no conceito de "estabelecimento" previsto na CLT, pois não</w:t>
      </w:r>
      <w:r>
        <w:rPr>
          <w:rFonts w:ascii="Arial" w:hAnsi="Arial" w:cs="Arial"/>
        </w:rPr>
        <w:t xml:space="preserve"> </w:t>
      </w:r>
      <w:r w:rsidR="006B66B7" w:rsidRPr="00BB5A4B">
        <w:rPr>
          <w:rFonts w:ascii="Arial" w:hAnsi="Arial" w:cs="Arial"/>
        </w:rPr>
        <w:t>exploram atividade econômica e não visam lucro, destinando-se apenas à manutenção da</w:t>
      </w:r>
      <w:r>
        <w:rPr>
          <w:rFonts w:ascii="Arial" w:hAnsi="Arial" w:cs="Arial"/>
        </w:rPr>
        <w:t xml:space="preserve"> </w:t>
      </w:r>
      <w:r w:rsidR="006B66B7" w:rsidRPr="00BB5A4B">
        <w:rPr>
          <w:rFonts w:ascii="Arial" w:hAnsi="Arial" w:cs="Arial"/>
        </w:rPr>
        <w:t>propriedade comum dos condôminos.</w:t>
      </w:r>
      <w:r>
        <w:rPr>
          <w:rFonts w:ascii="Arial" w:hAnsi="Arial" w:cs="Arial"/>
        </w:rPr>
        <w:t xml:space="preserve"> </w:t>
      </w:r>
      <w:r w:rsidR="006B66B7" w:rsidRPr="00BB5A4B">
        <w:rPr>
          <w:rFonts w:ascii="Arial" w:hAnsi="Arial" w:cs="Arial"/>
        </w:rPr>
        <w:t>Portanto, não estão sujeitos à obrigatoriedade de contratação de aprendizes.</w:t>
      </w:r>
    </w:p>
    <w:p w14:paraId="0F3B3EDF" w14:textId="77777777" w:rsidR="009337AF" w:rsidRPr="009337AF" w:rsidRDefault="009337AF" w:rsidP="009337AF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Conforme decisão do Tribunal Superior do Trabalho (TST), condomínios residenciais não são obrigados a cumprir a cota de aprendizagem prevista no artigo 429 da CLT, pois não se configuram como estabelecimentos empresariais. Diante desse entendimento, solicito:</w:t>
      </w:r>
    </w:p>
    <w:p w14:paraId="45C99629" w14:textId="4DA6A0D7" w:rsid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Qual o fundamento legal para a manutenção de dois jovens aprendizes na folha de pagamento do condomínio?</w:t>
      </w:r>
    </w:p>
    <w:p w14:paraId="1A9D2C7F" w14:textId="32F84330" w:rsid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Há previsão de dispensa desses colaboradores com base na jurisprudência do TST?</w:t>
      </w:r>
    </w:p>
    <w:p w14:paraId="7A77B351" w14:textId="77777777" w:rsid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 xml:space="preserve">O condomínio está sujeito a eventuais penalidades caso não mantenha aprendizes? </w:t>
      </w:r>
    </w:p>
    <w:p w14:paraId="7B6FBB62" w14:textId="0CE4D71B" w:rsidR="00396586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Em caso positivo, qual a ação prevista para mitigar riscos legais e financeiros?</w:t>
      </w:r>
    </w:p>
    <w:p w14:paraId="421CD0B2" w14:textId="77777777" w:rsidR="009337AF" w:rsidRPr="009337AF" w:rsidRDefault="009337AF" w:rsidP="009337AF">
      <w:pPr>
        <w:spacing w:before="240"/>
        <w:jc w:val="both"/>
        <w:rPr>
          <w:rFonts w:ascii="Arial" w:hAnsi="Arial" w:cs="Arial"/>
        </w:rPr>
      </w:pPr>
    </w:p>
    <w:p w14:paraId="476601BA" w14:textId="3A520E05" w:rsidR="00440EB8" w:rsidRPr="00440EB8" w:rsidRDefault="00440EB8" w:rsidP="009337AF">
      <w:pPr>
        <w:pStyle w:val="PargrafodaLista"/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b/>
          <w:bCs/>
        </w:rPr>
      </w:pPr>
      <w:r w:rsidRPr="00440EB8">
        <w:rPr>
          <w:rFonts w:ascii="Arial" w:hAnsi="Arial" w:cs="Arial"/>
          <w:b/>
          <w:bCs/>
        </w:rPr>
        <w:t>Contratos vigentes</w:t>
      </w:r>
    </w:p>
    <w:p w14:paraId="0B516C0D" w14:textId="77777777" w:rsidR="009337AF" w:rsidRDefault="009337AF" w:rsidP="00440EB8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Solicito a relação completa de todos os contratos vigentes do condomínio, incluindo aqueles com pagamentos recorrentes e eventuais, como o contrato do engenheiro ambiental. O objetivo é avaliar a real necessidade e viabilidade desses contratos.</w:t>
      </w:r>
    </w:p>
    <w:p w14:paraId="2E5AC272" w14:textId="11F24A39" w:rsidR="00440EB8" w:rsidRDefault="00440EB8" w:rsidP="00440EB8">
      <w:pPr>
        <w:spacing w:before="240"/>
        <w:ind w:firstLine="708"/>
        <w:jc w:val="both"/>
        <w:rPr>
          <w:rFonts w:ascii="Arial" w:hAnsi="Arial" w:cs="Arial"/>
        </w:rPr>
      </w:pPr>
    </w:p>
    <w:p w14:paraId="48394D19" w14:textId="45D1CBE3" w:rsidR="00440EB8" w:rsidRPr="00440EB8" w:rsidRDefault="00440EB8" w:rsidP="009337AF">
      <w:pPr>
        <w:pStyle w:val="PargrafodaLista"/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Processos judiciais em andamento e situação atual</w:t>
      </w:r>
    </w:p>
    <w:p w14:paraId="7D1B870D" w14:textId="46F05A0E" w:rsidR="009337AF" w:rsidRDefault="009337AF" w:rsidP="009337AF">
      <w:pPr>
        <w:pStyle w:val="PargrafodaLista"/>
        <w:spacing w:before="240"/>
        <w:jc w:val="both"/>
        <w:rPr>
          <w:rFonts w:ascii="Arial" w:hAnsi="Arial" w:cs="Arial"/>
        </w:rPr>
      </w:pPr>
    </w:p>
    <w:p w14:paraId="0DBB9B90" w14:textId="15E05B93" w:rsidR="00B43A97" w:rsidRDefault="00B43A97" w:rsidP="00B43A97">
      <w:pPr>
        <w:spacing w:before="240"/>
        <w:ind w:firstLine="708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Solicito a relação completa de tod</w:t>
      </w:r>
      <w:r>
        <w:rPr>
          <w:rFonts w:ascii="Arial" w:hAnsi="Arial" w:cs="Arial"/>
        </w:rPr>
        <w:t>as as ações judiciais</w:t>
      </w:r>
      <w:r w:rsidRPr="009337AF">
        <w:rPr>
          <w:rFonts w:ascii="Arial" w:hAnsi="Arial" w:cs="Arial"/>
        </w:rPr>
        <w:t xml:space="preserve">. O objetivo é avaliar a </w:t>
      </w:r>
      <w:r>
        <w:rPr>
          <w:rFonts w:ascii="Arial" w:hAnsi="Arial" w:cs="Arial"/>
        </w:rPr>
        <w:t>situação real</w:t>
      </w:r>
      <w:r w:rsidR="002D27C4">
        <w:rPr>
          <w:rFonts w:ascii="Arial" w:hAnsi="Arial" w:cs="Arial"/>
        </w:rPr>
        <w:t xml:space="preserve"> dos processos</w:t>
      </w:r>
      <w:r>
        <w:rPr>
          <w:rFonts w:ascii="Arial" w:hAnsi="Arial" w:cs="Arial"/>
        </w:rPr>
        <w:t xml:space="preserve"> e se todos os recursos </w:t>
      </w:r>
      <w:r w:rsidRPr="009337AF">
        <w:rPr>
          <w:rFonts w:ascii="Arial" w:hAnsi="Arial" w:cs="Arial"/>
        </w:rPr>
        <w:t>necess</w:t>
      </w:r>
      <w:r>
        <w:rPr>
          <w:rFonts w:ascii="Arial" w:hAnsi="Arial" w:cs="Arial"/>
        </w:rPr>
        <w:t>ários estão sendo adotados</w:t>
      </w:r>
      <w:r w:rsidR="002D27C4">
        <w:rPr>
          <w:rFonts w:ascii="Arial" w:hAnsi="Arial" w:cs="Arial"/>
        </w:rPr>
        <w:t xml:space="preserve"> de forma tempestiva</w:t>
      </w:r>
      <w:r>
        <w:rPr>
          <w:rFonts w:ascii="Arial" w:hAnsi="Arial" w:cs="Arial"/>
        </w:rPr>
        <w:t>.</w:t>
      </w:r>
    </w:p>
    <w:p w14:paraId="666A9B39" w14:textId="2419098A" w:rsid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Relação de todas as ações judiciais nas quais o condomínio figura como autor ou réu;</w:t>
      </w:r>
    </w:p>
    <w:p w14:paraId="6637619C" w14:textId="77777777" w:rsidR="009337AF" w:rsidRP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Situação atual de cada processo;</w:t>
      </w:r>
    </w:p>
    <w:p w14:paraId="692733A2" w14:textId="77777777" w:rsidR="00C7458D" w:rsidRDefault="00C7458D" w:rsidP="00C7458D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Informação sobre processos finalizados que envolveram determinação de penhora de bens.</w:t>
      </w:r>
    </w:p>
    <w:p w14:paraId="1FF4B481" w14:textId="4DBCEFA5" w:rsidR="00C7458D" w:rsidRDefault="00C7458D" w:rsidP="00C7458D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 xml:space="preserve">Informação sobre processos finalizados que envolveram determinação de </w:t>
      </w:r>
      <w:r>
        <w:rPr>
          <w:rFonts w:ascii="Arial" w:hAnsi="Arial" w:cs="Arial"/>
        </w:rPr>
        <w:t>leilão</w:t>
      </w:r>
      <w:r w:rsidRPr="009337AF">
        <w:rPr>
          <w:rFonts w:ascii="Arial" w:hAnsi="Arial" w:cs="Arial"/>
        </w:rPr>
        <w:t xml:space="preserve"> de bens.</w:t>
      </w:r>
    </w:p>
    <w:p w14:paraId="43B702E9" w14:textId="77777777" w:rsidR="009337AF" w:rsidRPr="009337AF" w:rsidRDefault="009337AF" w:rsidP="009337AF">
      <w:pPr>
        <w:pStyle w:val="PargrafodaLista"/>
        <w:rPr>
          <w:rFonts w:ascii="Arial" w:hAnsi="Arial" w:cs="Arial"/>
        </w:rPr>
      </w:pPr>
    </w:p>
    <w:p w14:paraId="7770F6BF" w14:textId="77777777" w:rsidR="009337AF" w:rsidRDefault="009337AF" w:rsidP="009337AF">
      <w:pPr>
        <w:pStyle w:val="PargrafodaLista"/>
        <w:spacing w:before="240"/>
        <w:jc w:val="both"/>
        <w:rPr>
          <w:rFonts w:ascii="Arial" w:hAnsi="Arial" w:cs="Arial"/>
        </w:rPr>
      </w:pPr>
    </w:p>
    <w:p w14:paraId="0726316A" w14:textId="621781E5" w:rsidR="00396586" w:rsidRDefault="00396586" w:rsidP="00396586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Cobrança da inadimplência</w:t>
      </w:r>
    </w:p>
    <w:p w14:paraId="3ADF0C3A" w14:textId="77777777" w:rsidR="00C67B17" w:rsidRDefault="00C67B17" w:rsidP="00C67B17">
      <w:pPr>
        <w:pStyle w:val="PargrafodaLista"/>
        <w:spacing w:before="240"/>
        <w:ind w:left="1068"/>
        <w:jc w:val="both"/>
        <w:rPr>
          <w:rFonts w:ascii="Arial" w:hAnsi="Arial" w:cs="Arial"/>
          <w:b/>
          <w:bCs/>
        </w:rPr>
      </w:pPr>
    </w:p>
    <w:p w14:paraId="4ECA5F4B" w14:textId="16902BE4" w:rsidR="00C67B17" w:rsidRDefault="00C67B17" w:rsidP="002D27C4">
      <w:pPr>
        <w:spacing w:before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 razão do elevado valor da inadimplência, extraído dos últimos balancetes, que totalizam R$ 3.337.637,00 (três milhões, trezentos e trinta e sete mil, seiscentos e trinta e sete reais, dos quais o valor principal é de R$436.666.86 (quatrocentos e trinta e seis mil, seiscentos e sessenta e seis reais e oitenta e seis centavos) e o valor das multas e juros </w:t>
      </w:r>
      <w:r>
        <w:rPr>
          <w:rFonts w:ascii="Arial" w:hAnsi="Arial" w:cs="Arial"/>
        </w:rPr>
        <w:lastRenderedPageBreak/>
        <w:t xml:space="preserve">correspondem a R$ 2.940.970,14 (dois milhões, novecentos e quarenta mil, novecentos e setenta reais e quatorze centavos), </w:t>
      </w:r>
      <w:r w:rsidR="009337AF" w:rsidRPr="009337AF">
        <w:rPr>
          <w:rFonts w:ascii="Arial" w:hAnsi="Arial" w:cs="Arial"/>
        </w:rPr>
        <w:t>solicito:</w:t>
      </w:r>
    </w:p>
    <w:p w14:paraId="0DD51260" w14:textId="77777777" w:rsidR="009337AF" w:rsidRP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Quais medidas foram adotadas para redução da inadimplência?</w:t>
      </w:r>
    </w:p>
    <w:p w14:paraId="422E92CA" w14:textId="5D9FF5AA" w:rsidR="009337AF" w:rsidRP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Todos os inadimplentes listados</w:t>
      </w:r>
      <w:r w:rsidR="002D27C4">
        <w:rPr>
          <w:rFonts w:ascii="Arial" w:hAnsi="Arial" w:cs="Arial"/>
        </w:rPr>
        <w:t xml:space="preserve"> no último balancete disponibilizado</w:t>
      </w:r>
      <w:r w:rsidRPr="009337AF">
        <w:rPr>
          <w:rFonts w:ascii="Arial" w:hAnsi="Arial" w:cs="Arial"/>
        </w:rPr>
        <w:t xml:space="preserve"> já foram notificados formalmente?</w:t>
      </w:r>
    </w:p>
    <w:p w14:paraId="0FC225C7" w14:textId="77777777" w:rsidR="009337AF" w:rsidRPr="009337AF" w:rsidRDefault="009337AF" w:rsidP="009337AF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9337AF">
        <w:rPr>
          <w:rFonts w:ascii="Arial" w:hAnsi="Arial" w:cs="Arial"/>
        </w:rPr>
        <w:t>Há ações de cobrança judicial em andamento? Caso sim, quais são e qual sua situação atual?</w:t>
      </w:r>
    </w:p>
    <w:p w14:paraId="37087A09" w14:textId="77777777" w:rsidR="00C67B17" w:rsidRPr="00C67B17" w:rsidRDefault="00C67B17" w:rsidP="00C67B17">
      <w:pPr>
        <w:spacing w:before="240"/>
        <w:jc w:val="both"/>
        <w:rPr>
          <w:rFonts w:ascii="Arial" w:hAnsi="Arial" w:cs="Arial"/>
          <w:b/>
          <w:bCs/>
        </w:rPr>
      </w:pPr>
    </w:p>
    <w:p w14:paraId="775E0295" w14:textId="10DE01E6" w:rsidR="00396586" w:rsidRPr="00440EB8" w:rsidRDefault="00396586" w:rsidP="00396586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Regularização da convenção, CNPJ e registro</w:t>
      </w:r>
    </w:p>
    <w:p w14:paraId="6839A971" w14:textId="77777777" w:rsidR="00396586" w:rsidRPr="00396989" w:rsidRDefault="00396586" w:rsidP="00440EB8">
      <w:pPr>
        <w:spacing w:before="240"/>
        <w:ind w:firstLine="708"/>
        <w:jc w:val="both"/>
        <w:rPr>
          <w:rFonts w:ascii="Arial" w:hAnsi="Arial" w:cs="Arial"/>
          <w:sz w:val="2"/>
          <w:szCs w:val="2"/>
        </w:rPr>
      </w:pPr>
    </w:p>
    <w:p w14:paraId="18824054" w14:textId="0FAC68E1" w:rsidR="00950CBB" w:rsidRDefault="00B43A97" w:rsidP="00950CBB">
      <w:pPr>
        <w:spacing w:before="240"/>
        <w:ind w:firstLine="708"/>
        <w:jc w:val="both"/>
        <w:rPr>
          <w:rFonts w:ascii="Arial" w:hAnsi="Arial" w:cs="Arial"/>
        </w:rPr>
      </w:pPr>
      <w:r w:rsidRPr="00B43A97">
        <w:rPr>
          <w:rFonts w:ascii="Arial" w:hAnsi="Arial" w:cs="Arial"/>
        </w:rPr>
        <w:t>Na Assembleia Geral Extraordinária (AGE) realizada em 21/09/2025, foi discutida a regularização do registro da convenção do condomínio, com retificação do total de unidades de 549 para 557. O Conselho Administrativo ficou responsável por apresentar solução viável para a questão, no prazo de 90 dias, o que até o momento não ocorreu. Assim, solicito:</w:t>
      </w:r>
    </w:p>
    <w:p w14:paraId="7AFE339A" w14:textId="1E733542" w:rsidR="00B43A97" w:rsidRPr="00B43A97" w:rsidRDefault="00B43A97" w:rsidP="000F6048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B43A97">
        <w:rPr>
          <w:rFonts w:ascii="Arial" w:hAnsi="Arial" w:cs="Arial"/>
        </w:rPr>
        <w:t>Relatório detalhado das atividades realizadas pelo Conselho Administrativo sobre essa questão;</w:t>
      </w:r>
    </w:p>
    <w:p w14:paraId="7D1BE206" w14:textId="1E3FD0BD" w:rsidR="00C87629" w:rsidRDefault="00B43A97" w:rsidP="00B43A97">
      <w:pPr>
        <w:pStyle w:val="PargrafodaLista"/>
        <w:numPr>
          <w:ilvl w:val="0"/>
          <w:numId w:val="4"/>
        </w:numPr>
        <w:spacing w:before="240"/>
        <w:jc w:val="both"/>
        <w:rPr>
          <w:rFonts w:ascii="Arial" w:hAnsi="Arial" w:cs="Arial"/>
        </w:rPr>
      </w:pPr>
      <w:r w:rsidRPr="00B43A97">
        <w:rPr>
          <w:rFonts w:ascii="Arial" w:hAnsi="Arial" w:cs="Arial"/>
        </w:rPr>
        <w:t>Apresentação formal da proposta final para regularização do registro da convenção e dos impactos sobre os condôminos</w:t>
      </w:r>
      <w:r>
        <w:rPr>
          <w:rFonts w:ascii="Arial" w:hAnsi="Arial" w:cs="Arial"/>
        </w:rPr>
        <w:t xml:space="preserve">, considerando, entre outros a aplicabilidade de </w:t>
      </w:r>
      <w:r w:rsidRPr="00B43A97">
        <w:rPr>
          <w:rFonts w:ascii="Arial" w:hAnsi="Arial" w:cs="Arial"/>
          <w:b/>
          <w:bCs/>
        </w:rPr>
        <w:t>Erro Material</w:t>
      </w:r>
      <w:r>
        <w:rPr>
          <w:rFonts w:ascii="Arial" w:hAnsi="Arial" w:cs="Arial"/>
        </w:rPr>
        <w:t>.</w:t>
      </w:r>
    </w:p>
    <w:p w14:paraId="31BAF512" w14:textId="5003FD35" w:rsidR="00C87629" w:rsidRDefault="00C87629" w:rsidP="00C87629">
      <w:pPr>
        <w:jc w:val="both"/>
        <w:rPr>
          <w:rFonts w:ascii="Arial" w:hAnsi="Arial" w:cs="Arial"/>
        </w:rPr>
      </w:pPr>
    </w:p>
    <w:p w14:paraId="4415C8C6" w14:textId="12C42AB3" w:rsidR="003755DF" w:rsidRDefault="003755DF" w:rsidP="00C87629">
      <w:pPr>
        <w:jc w:val="both"/>
        <w:rPr>
          <w:rFonts w:ascii="Arial" w:hAnsi="Arial" w:cs="Arial"/>
        </w:rPr>
      </w:pPr>
    </w:p>
    <w:p w14:paraId="3D5AF808" w14:textId="77777777" w:rsidR="003755DF" w:rsidRPr="003755DF" w:rsidRDefault="003755DF" w:rsidP="003755DF">
      <w:pPr>
        <w:pStyle w:val="PargrafodaLista"/>
        <w:numPr>
          <w:ilvl w:val="0"/>
          <w:numId w:val="2"/>
        </w:numPr>
        <w:spacing w:before="240"/>
        <w:jc w:val="both"/>
        <w:rPr>
          <w:rFonts w:ascii="Arial" w:hAnsi="Arial" w:cs="Arial"/>
          <w:b/>
          <w:bCs/>
        </w:rPr>
      </w:pPr>
      <w:r w:rsidRPr="003755DF">
        <w:rPr>
          <w:rFonts w:ascii="Arial" w:hAnsi="Arial" w:cs="Arial"/>
          <w:b/>
          <w:bCs/>
        </w:rPr>
        <w:t>Poda das árvores e área verde</w:t>
      </w:r>
    </w:p>
    <w:p w14:paraId="65EA3022" w14:textId="77777777" w:rsidR="003755DF" w:rsidRPr="00BC4F20" w:rsidRDefault="003755DF" w:rsidP="003755DF">
      <w:pPr>
        <w:pStyle w:val="PargrafodaLista"/>
        <w:ind w:left="284"/>
        <w:rPr>
          <w:rFonts w:ascii="Arial" w:hAnsi="Arial" w:cs="Arial"/>
          <w:b/>
          <w:sz w:val="20"/>
          <w:szCs w:val="20"/>
        </w:rPr>
      </w:pPr>
    </w:p>
    <w:p w14:paraId="7A892FBD" w14:textId="0E9E21C9" w:rsidR="003755DF" w:rsidRPr="003755DF" w:rsidRDefault="00933D2B" w:rsidP="003755DF">
      <w:pPr>
        <w:spacing w:before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Foi acordado com advogado do condomínio, Dr. Tiago Moreira, em janeiro do corrente ano a elaboração de</w:t>
      </w:r>
      <w:r w:rsidR="003755DF" w:rsidRPr="003755DF">
        <w:rPr>
          <w:rFonts w:ascii="Arial" w:hAnsi="Arial" w:cs="Arial"/>
        </w:rPr>
        <w:t xml:space="preserve"> requerimento a ser enviado à Secretaria do Meio Ambiente de Caldas Novas, solicitando autorização para que o </w:t>
      </w:r>
      <w:r>
        <w:rPr>
          <w:rFonts w:ascii="Arial" w:hAnsi="Arial" w:cs="Arial"/>
        </w:rPr>
        <w:t xml:space="preserve">condomínio </w:t>
      </w:r>
      <w:r w:rsidR="003755DF" w:rsidRPr="003755DF">
        <w:rPr>
          <w:rFonts w:ascii="Arial" w:hAnsi="Arial" w:cs="Arial"/>
        </w:rPr>
        <w:t>e realize a poda de todas as árvores, abrangendo tanto as áreas verdes e comuns quanto as áreas de preservação.</w:t>
      </w:r>
    </w:p>
    <w:p w14:paraId="4D50D0B4" w14:textId="39972C4E" w:rsidR="003755DF" w:rsidRPr="003755DF" w:rsidRDefault="003755DF" w:rsidP="003755DF">
      <w:pPr>
        <w:spacing w:before="240"/>
        <w:ind w:firstLine="708"/>
        <w:jc w:val="both"/>
        <w:rPr>
          <w:rFonts w:ascii="Arial" w:hAnsi="Arial" w:cs="Arial"/>
        </w:rPr>
      </w:pPr>
      <w:r w:rsidRPr="003755DF">
        <w:rPr>
          <w:rFonts w:ascii="Arial" w:hAnsi="Arial" w:cs="Arial"/>
        </w:rPr>
        <w:t>Dessa forma, solicito a gentileza de informar um prazo para a conclusão do requerimento e sua entrega à Secretaria do Meio Ambiente.</w:t>
      </w:r>
    </w:p>
    <w:p w14:paraId="7AFD27C4" w14:textId="006807A3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Diante da importância dos temas tratados e do longo prazo transcorrido sem respostas, solicito que as informações sejam prestadas no prazo de 1</w:t>
      </w:r>
      <w:r>
        <w:rPr>
          <w:rFonts w:ascii="Arial" w:hAnsi="Arial" w:cs="Arial"/>
        </w:rPr>
        <w:t>5</w:t>
      </w:r>
      <w:r w:rsidRPr="004C0E55">
        <w:rPr>
          <w:rFonts w:ascii="Arial" w:hAnsi="Arial" w:cs="Arial"/>
        </w:rPr>
        <w:t xml:space="preserve"> dias, a contar do recebimento deste ofício. Em caso de impossibilidade de resposta no prazo estipulado, peço que seja apresentada justificativa formal, acompanhada de previsão de atendimento.</w:t>
      </w:r>
    </w:p>
    <w:p w14:paraId="5CEB77AC" w14:textId="77777777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Aguardo retorno e me coloco à disposição para quaisquer esclarecimentos adicionais.</w:t>
      </w:r>
    </w:p>
    <w:p w14:paraId="505AE9DC" w14:textId="77777777" w:rsidR="004C0E55" w:rsidRPr="004C0E55" w:rsidRDefault="004C0E55" w:rsidP="004C0E55">
      <w:pPr>
        <w:spacing w:before="240"/>
        <w:ind w:firstLine="708"/>
        <w:jc w:val="both"/>
        <w:rPr>
          <w:rFonts w:ascii="Arial" w:hAnsi="Arial" w:cs="Arial"/>
        </w:rPr>
      </w:pPr>
      <w:r w:rsidRPr="004C0E55">
        <w:rPr>
          <w:rFonts w:ascii="Arial" w:hAnsi="Arial" w:cs="Arial"/>
        </w:rPr>
        <w:t>Atenciosamente,</w:t>
      </w:r>
    </w:p>
    <w:p w14:paraId="1BF2151D" w14:textId="77777777" w:rsidR="00B43A97" w:rsidRDefault="00B43A97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</w:p>
    <w:p w14:paraId="1885BE55" w14:textId="77777777" w:rsidR="00C87629" w:rsidRPr="0039035A" w:rsidRDefault="00C87629" w:rsidP="00C87629">
      <w:pPr>
        <w:spacing w:line="312" w:lineRule="auto"/>
        <w:ind w:left="-181" w:right="-108"/>
        <w:jc w:val="center"/>
        <w:rPr>
          <w:rFonts w:ascii="Courier New" w:hAnsi="Courier New" w:cs="Courier New"/>
          <w:b/>
          <w:i/>
          <w:smallCaps/>
          <w:snapToGrid w:val="0"/>
        </w:rPr>
      </w:pPr>
      <w:r w:rsidRPr="0039035A">
        <w:rPr>
          <w:rFonts w:ascii="Courier New" w:hAnsi="Courier New" w:cs="Courier New"/>
          <w:b/>
          <w:i/>
          <w:smallCaps/>
          <w:snapToGrid w:val="0"/>
        </w:rPr>
        <w:t>_______________________________</w:t>
      </w:r>
    </w:p>
    <w:p w14:paraId="7488C52C" w14:textId="77777777" w:rsidR="004C0E55" w:rsidRPr="004C0E55" w:rsidRDefault="004C0E55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Rogério Wilson </w:t>
      </w:r>
      <w:proofErr w:type="spellStart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Lélis</w:t>
      </w:r>
      <w:proofErr w:type="spellEnd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Caixeta</w:t>
      </w:r>
    </w:p>
    <w:p w14:paraId="3E010C91" w14:textId="77777777" w:rsidR="004C0E55" w:rsidRPr="004C0E55" w:rsidRDefault="004C0E55" w:rsidP="004C0E55">
      <w:pPr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lastRenderedPageBreak/>
        <w:t>Proprietário da unidade Jacarandás 29</w:t>
      </w:r>
    </w:p>
    <w:p w14:paraId="7B8DC3BA" w14:textId="7DE73132" w:rsidR="00C87629" w:rsidRPr="004E5B85" w:rsidRDefault="004C0E55" w:rsidP="004C0E55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Condomínio Residencial Village </w:t>
      </w:r>
      <w:proofErr w:type="spellStart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>Thermas</w:t>
      </w:r>
      <w:proofErr w:type="spellEnd"/>
      <w:r w:rsidRPr="004C0E55">
        <w:rPr>
          <w:rFonts w:ascii="Arial" w:hAnsi="Arial" w:cs="Arial"/>
          <w:b/>
          <w:bCs/>
          <w:i/>
          <w:iCs/>
          <w:sz w:val="22"/>
          <w:szCs w:val="22"/>
        </w:rPr>
        <w:t xml:space="preserve"> das Caldas</w:t>
      </w:r>
    </w:p>
    <w:p w14:paraId="20AE1351" w14:textId="6382D856" w:rsidR="00870801" w:rsidRDefault="00C87629" w:rsidP="00933D2B">
      <w:pPr>
        <w:tabs>
          <w:tab w:val="left" w:pos="7225"/>
        </w:tabs>
        <w:jc w:val="both"/>
      </w:pPr>
      <w:r>
        <w:rPr>
          <w:rFonts w:ascii="Arial" w:hAnsi="Arial" w:cs="Arial"/>
        </w:rPr>
        <w:tab/>
      </w:r>
    </w:p>
    <w:sectPr w:rsidR="00870801" w:rsidSect="007E5E8A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08B2F" w14:textId="77777777" w:rsidR="005367B1" w:rsidRDefault="005367B1" w:rsidP="00C87629">
      <w:r>
        <w:separator/>
      </w:r>
    </w:p>
  </w:endnote>
  <w:endnote w:type="continuationSeparator" w:id="0">
    <w:p w14:paraId="1D4D9D9E" w14:textId="77777777" w:rsidR="005367B1" w:rsidRDefault="005367B1" w:rsidP="00C8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43725" w14:textId="77777777" w:rsidR="00DD7461" w:rsidRDefault="0011737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9447B4" w14:textId="77777777" w:rsidR="00DD7461" w:rsidRDefault="005367B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A145" w14:textId="77777777" w:rsidR="007E5E8A" w:rsidRDefault="005367B1" w:rsidP="001E18F0">
    <w:pPr>
      <w:pStyle w:val="Rodap"/>
      <w:pBdr>
        <w:bottom w:val="double" w:sz="6" w:space="1" w:color="auto"/>
      </w:pBdr>
      <w:ind w:right="360"/>
      <w:rPr>
        <w:rFonts w:ascii="Arial" w:hAnsi="Arial" w:cs="Arial"/>
        <w:sz w:val="16"/>
        <w:szCs w:val="16"/>
      </w:rPr>
    </w:pPr>
  </w:p>
  <w:p w14:paraId="4BDC9A80" w14:textId="77777777" w:rsidR="007E5E8A" w:rsidRDefault="00117378" w:rsidP="007E5E8A">
    <w:pPr>
      <w:pStyle w:val="Rodap"/>
      <w:framePr w:wrap="around" w:vAnchor="text" w:hAnchor="page" w:x="10357" w:y="15"/>
      <w:rPr>
        <w:rStyle w:val="Nmerodepgina"/>
        <w:rFonts w:ascii="Arial" w:hAnsi="Arial" w:cs="Arial"/>
        <w:sz w:val="16"/>
      </w:rPr>
    </w:pPr>
    <w:r>
      <w:rPr>
        <w:rStyle w:val="Nmerodepgina"/>
        <w:rFonts w:ascii="Arial" w:hAnsi="Arial" w:cs="Arial"/>
        <w:sz w:val="16"/>
      </w:rPr>
      <w:fldChar w:fldCharType="begin"/>
    </w:r>
    <w:r>
      <w:rPr>
        <w:rStyle w:val="Nmerodepgina"/>
        <w:rFonts w:ascii="Arial" w:hAnsi="Arial" w:cs="Arial"/>
        <w:sz w:val="16"/>
      </w:rPr>
      <w:instrText xml:space="preserve">PAGE  </w:instrText>
    </w:r>
    <w:r>
      <w:rPr>
        <w:rStyle w:val="Nmerodepgina"/>
        <w:rFonts w:ascii="Arial" w:hAnsi="Arial" w:cs="Arial"/>
        <w:sz w:val="16"/>
      </w:rPr>
      <w:fldChar w:fldCharType="separate"/>
    </w:r>
    <w:r>
      <w:rPr>
        <w:rStyle w:val="Nmerodepgina"/>
        <w:rFonts w:ascii="Arial" w:hAnsi="Arial" w:cs="Arial"/>
        <w:noProof/>
        <w:sz w:val="16"/>
      </w:rPr>
      <w:t>1</w:t>
    </w:r>
    <w:r>
      <w:rPr>
        <w:rStyle w:val="Nmerodepgina"/>
        <w:rFonts w:ascii="Arial" w:hAnsi="Arial" w:cs="Arial"/>
        <w:sz w:val="16"/>
      </w:rPr>
      <w:fldChar w:fldCharType="end"/>
    </w:r>
  </w:p>
  <w:p w14:paraId="691FF072" w14:textId="3A711D8E" w:rsidR="00DE67F1" w:rsidRDefault="00117378" w:rsidP="00DE67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Email:</w:t>
    </w:r>
    <w:r w:rsidR="00BB5A4B">
      <w:rPr>
        <w:rFonts w:ascii="Arial" w:eastAsia="Arial" w:hAnsi="Arial" w:cs="Arial"/>
        <w:color w:val="000000"/>
        <w:sz w:val="16"/>
        <w:szCs w:val="16"/>
      </w:rPr>
      <w:t>rogerio</w:t>
    </w:r>
    <w:r>
      <w:rPr>
        <w:rFonts w:ascii="Arial" w:eastAsia="Arial" w:hAnsi="Arial" w:cs="Arial"/>
        <w:color w:val="000000"/>
        <w:sz w:val="16"/>
        <w:szCs w:val="16"/>
      </w:rPr>
      <w:t xml:space="preserve">@1portodos.com.br </w:t>
    </w:r>
  </w:p>
  <w:p w14:paraId="09583E5A" w14:textId="77777777" w:rsidR="00DD7461" w:rsidRDefault="005367B1" w:rsidP="001E18F0">
    <w:pPr>
      <w:pStyle w:val="Rodap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C4999" w14:textId="77777777" w:rsidR="005367B1" w:rsidRDefault="005367B1" w:rsidP="00C87629">
      <w:r>
        <w:separator/>
      </w:r>
    </w:p>
  </w:footnote>
  <w:footnote w:type="continuationSeparator" w:id="0">
    <w:p w14:paraId="7C51A637" w14:textId="77777777" w:rsidR="005367B1" w:rsidRDefault="005367B1" w:rsidP="00C8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6E48" w14:textId="451AA1F8" w:rsidR="00CF13BF" w:rsidRDefault="00C87629" w:rsidP="00CF13BF">
    <w:pPr>
      <w:pStyle w:val="Standard"/>
      <w:pBdr>
        <w:bottom w:val="double" w:sz="6" w:space="1" w:color="auto"/>
      </w:pBdr>
      <w:spacing w:beforeLines="40" w:before="96" w:afterLines="40" w:after="96"/>
      <w:ind w:firstLine="285"/>
      <w:jc w:val="center"/>
      <w:rPr>
        <w:rFonts w:ascii="Tahoma" w:eastAsia="Arial Black" w:hAnsi="Tahoma" w:cs="Tahoma"/>
        <w:b/>
        <w:color w:val="000000"/>
        <w:sz w:val="44"/>
        <w:szCs w:val="44"/>
      </w:rPr>
    </w:pPr>
    <w:r>
      <w:rPr>
        <w:rFonts w:ascii="Tahoma" w:eastAsia="Arial Black" w:hAnsi="Tahoma" w:cs="Tahoma"/>
        <w:b/>
        <w:noProof/>
        <w:color w:val="000000"/>
        <w:sz w:val="44"/>
        <w:szCs w:val="44"/>
      </w:rPr>
      <w:t>Oficio 001 / 2025</w:t>
    </w:r>
  </w:p>
  <w:p w14:paraId="79130E61" w14:textId="77777777" w:rsidR="00DD7461" w:rsidRDefault="005367B1">
    <w:pPr>
      <w:pStyle w:val="Cabealho"/>
      <w:jc w:val="center"/>
      <w:rPr>
        <w:b/>
        <w:bCs/>
        <w:i/>
        <w:iCs/>
        <w:smallCaps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014"/>
    <w:multiLevelType w:val="hybridMultilevel"/>
    <w:tmpl w:val="DEE45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28C"/>
    <w:multiLevelType w:val="hybridMultilevel"/>
    <w:tmpl w:val="7BD8A49C"/>
    <w:lvl w:ilvl="0" w:tplc="17149A2E">
      <w:start w:val="1"/>
      <w:numFmt w:val="bullet"/>
      <w:lvlText w:val="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4B475B"/>
    <w:multiLevelType w:val="multilevel"/>
    <w:tmpl w:val="7BB4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E65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EE11FF"/>
    <w:multiLevelType w:val="hybridMultilevel"/>
    <w:tmpl w:val="B62E704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F27C27"/>
    <w:multiLevelType w:val="hybridMultilevel"/>
    <w:tmpl w:val="4956C10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F96383"/>
    <w:multiLevelType w:val="multilevel"/>
    <w:tmpl w:val="BD4E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633C6"/>
    <w:multiLevelType w:val="hybridMultilevel"/>
    <w:tmpl w:val="3898973C"/>
    <w:lvl w:ilvl="0" w:tplc="572A5E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29"/>
    <w:rsid w:val="00117378"/>
    <w:rsid w:val="001D03D4"/>
    <w:rsid w:val="002C0EF5"/>
    <w:rsid w:val="002D27C4"/>
    <w:rsid w:val="003755DF"/>
    <w:rsid w:val="00396586"/>
    <w:rsid w:val="00396989"/>
    <w:rsid w:val="00440EB8"/>
    <w:rsid w:val="00480FE0"/>
    <w:rsid w:val="004B68BE"/>
    <w:rsid w:val="004C0E55"/>
    <w:rsid w:val="005367B1"/>
    <w:rsid w:val="006B66B7"/>
    <w:rsid w:val="0077044B"/>
    <w:rsid w:val="00870801"/>
    <w:rsid w:val="00892F13"/>
    <w:rsid w:val="009337AF"/>
    <w:rsid w:val="00933D2B"/>
    <w:rsid w:val="00950CBB"/>
    <w:rsid w:val="00B43A97"/>
    <w:rsid w:val="00BB5A4B"/>
    <w:rsid w:val="00C67B17"/>
    <w:rsid w:val="00C7458D"/>
    <w:rsid w:val="00C87629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30E3E"/>
  <w15:chartTrackingRefBased/>
  <w15:docId w15:val="{96AA7224-8415-48C4-9AD4-C546FC39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8762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semiHidden/>
    <w:rsid w:val="00C8762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8762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semiHidden/>
    <w:rsid w:val="00C87629"/>
  </w:style>
  <w:style w:type="paragraph" w:customStyle="1" w:styleId="Standard">
    <w:name w:val="Standard"/>
    <w:rsid w:val="00C8762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paragraph" w:styleId="PargrafodaLista">
    <w:name w:val="List Paragraph"/>
    <w:basedOn w:val="Normal"/>
    <w:uiPriority w:val="99"/>
    <w:qFormat/>
    <w:rsid w:val="00BB5A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5A4B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4C0E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D0633-6652-496B-96BC-5E40D3EE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1460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10</cp:revision>
  <dcterms:created xsi:type="dcterms:W3CDTF">2025-03-19T12:04:00Z</dcterms:created>
  <dcterms:modified xsi:type="dcterms:W3CDTF">2025-04-02T12:28:00Z</dcterms:modified>
</cp:coreProperties>
</file>