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rPr>
          <w:rFonts w:ascii="Calibri" w:eastAsia="Calibri" w:hAnsi="Calibri" w:cs="Calibri"/>
          <w:color w:val="auto"/>
          <w:sz w:val="22"/>
          <w:szCs w:val="22"/>
          <w:lang w:eastAsia="en-US"/>
        </w:rPr>
        <w:id w:val="1479494048"/>
        <w:docPartObj>
          <w:docPartGallery w:val="Table of Contents"/>
          <w:docPartUnique/>
        </w:docPartObj>
      </w:sdtPr>
      <w:sdtEndPr>
        <w:rPr>
          <w:b/>
          <w:bCs/>
        </w:rPr>
      </w:sdtEndPr>
      <w:sdtContent>
        <w:p w14:paraId="46014FB8" w14:textId="38A576FB" w:rsidR="00DE626F" w:rsidRDefault="00DE626F">
          <w:pPr>
            <w:pStyle w:val="CabealhodoSumrio"/>
          </w:pPr>
        </w:p>
        <w:p w14:paraId="00AB9FBF" w14:textId="36F00888" w:rsidR="00BA4149"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9642734" w:history="1">
            <w:r w:rsidR="00BA4149" w:rsidRPr="00BA622B">
              <w:rPr>
                <w:rStyle w:val="Hyperlink"/>
                <w:rFonts w:ascii="Arial" w:eastAsia="Arial" w:hAnsi="Arial" w:cs="Arial"/>
                <w:b/>
                <w:noProof/>
              </w:rPr>
              <w:t>DO OBJETO</w:t>
            </w:r>
            <w:r w:rsidR="00BA4149">
              <w:rPr>
                <w:noProof/>
                <w:webHidden/>
              </w:rPr>
              <w:tab/>
            </w:r>
            <w:r w:rsidR="00BA4149">
              <w:rPr>
                <w:noProof/>
                <w:webHidden/>
              </w:rPr>
              <w:fldChar w:fldCharType="begin"/>
            </w:r>
            <w:r w:rsidR="00BA4149">
              <w:rPr>
                <w:noProof/>
                <w:webHidden/>
              </w:rPr>
              <w:instrText xml:space="preserve"> PAGEREF _Toc189642734 \h </w:instrText>
            </w:r>
            <w:r w:rsidR="00BA4149">
              <w:rPr>
                <w:noProof/>
                <w:webHidden/>
              </w:rPr>
            </w:r>
            <w:r w:rsidR="00BA4149">
              <w:rPr>
                <w:noProof/>
                <w:webHidden/>
              </w:rPr>
              <w:fldChar w:fldCharType="separate"/>
            </w:r>
            <w:r w:rsidR="00BA4149">
              <w:rPr>
                <w:noProof/>
                <w:webHidden/>
              </w:rPr>
              <w:t>3</w:t>
            </w:r>
            <w:r w:rsidR="00BA4149">
              <w:rPr>
                <w:noProof/>
                <w:webHidden/>
              </w:rPr>
              <w:fldChar w:fldCharType="end"/>
            </w:r>
          </w:hyperlink>
        </w:p>
        <w:p w14:paraId="531C1171" w14:textId="4F461C21"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35" w:history="1">
            <w:r w:rsidR="00BA4149" w:rsidRPr="00BA622B">
              <w:rPr>
                <w:rStyle w:val="Hyperlink"/>
                <w:rFonts w:ascii="Arial" w:eastAsia="Arial" w:hAnsi="Arial" w:cs="Arial"/>
                <w:b/>
                <w:noProof/>
              </w:rPr>
              <w:t>DO ORÇAMENTO DO CONDOMÍNIO</w:t>
            </w:r>
            <w:r w:rsidR="00BA4149">
              <w:rPr>
                <w:noProof/>
                <w:webHidden/>
              </w:rPr>
              <w:tab/>
            </w:r>
            <w:r w:rsidR="00BA4149">
              <w:rPr>
                <w:noProof/>
                <w:webHidden/>
              </w:rPr>
              <w:fldChar w:fldCharType="begin"/>
            </w:r>
            <w:r w:rsidR="00BA4149">
              <w:rPr>
                <w:noProof/>
                <w:webHidden/>
              </w:rPr>
              <w:instrText xml:space="preserve"> PAGEREF _Toc189642735 \h </w:instrText>
            </w:r>
            <w:r w:rsidR="00BA4149">
              <w:rPr>
                <w:noProof/>
                <w:webHidden/>
              </w:rPr>
            </w:r>
            <w:r w:rsidR="00BA4149">
              <w:rPr>
                <w:noProof/>
                <w:webHidden/>
              </w:rPr>
              <w:fldChar w:fldCharType="separate"/>
            </w:r>
            <w:r w:rsidR="00BA4149">
              <w:rPr>
                <w:noProof/>
                <w:webHidden/>
              </w:rPr>
              <w:t>5</w:t>
            </w:r>
            <w:r w:rsidR="00BA4149">
              <w:rPr>
                <w:noProof/>
                <w:webHidden/>
              </w:rPr>
              <w:fldChar w:fldCharType="end"/>
            </w:r>
          </w:hyperlink>
        </w:p>
        <w:p w14:paraId="76D5F896" w14:textId="18FA7569"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36" w:history="1">
            <w:r w:rsidR="00BA4149" w:rsidRPr="00BA622B">
              <w:rPr>
                <w:rStyle w:val="Hyperlink"/>
                <w:rFonts w:ascii="Arial" w:eastAsia="Arial" w:hAnsi="Arial" w:cs="Arial"/>
                <w:b/>
                <w:noProof/>
              </w:rPr>
              <w:t>DO FUNDO DE RESERVA</w:t>
            </w:r>
            <w:r w:rsidR="00BA4149">
              <w:rPr>
                <w:noProof/>
                <w:webHidden/>
              </w:rPr>
              <w:tab/>
            </w:r>
            <w:r w:rsidR="00BA4149">
              <w:rPr>
                <w:noProof/>
                <w:webHidden/>
              </w:rPr>
              <w:fldChar w:fldCharType="begin"/>
            </w:r>
            <w:r w:rsidR="00BA4149">
              <w:rPr>
                <w:noProof/>
                <w:webHidden/>
              </w:rPr>
              <w:instrText xml:space="preserve"> PAGEREF _Toc189642736 \h </w:instrText>
            </w:r>
            <w:r w:rsidR="00BA4149">
              <w:rPr>
                <w:noProof/>
                <w:webHidden/>
              </w:rPr>
            </w:r>
            <w:r w:rsidR="00BA4149">
              <w:rPr>
                <w:noProof/>
                <w:webHidden/>
              </w:rPr>
              <w:fldChar w:fldCharType="separate"/>
            </w:r>
            <w:r w:rsidR="00BA4149">
              <w:rPr>
                <w:noProof/>
                <w:webHidden/>
              </w:rPr>
              <w:t>7</w:t>
            </w:r>
            <w:r w:rsidR="00BA4149">
              <w:rPr>
                <w:noProof/>
                <w:webHidden/>
              </w:rPr>
              <w:fldChar w:fldCharType="end"/>
            </w:r>
          </w:hyperlink>
        </w:p>
        <w:p w14:paraId="09AE8450" w14:textId="11B5CA50"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37" w:history="1">
            <w:r w:rsidR="00BA4149" w:rsidRPr="00BA622B">
              <w:rPr>
                <w:rStyle w:val="Hyperlink"/>
                <w:rFonts w:ascii="Arial" w:eastAsia="Arial" w:hAnsi="Arial" w:cs="Arial"/>
                <w:b/>
                <w:noProof/>
              </w:rPr>
              <w:t>DA ADMINISTRAÇÃO DO CONDOMÍNIO</w:t>
            </w:r>
            <w:r w:rsidR="00BA4149">
              <w:rPr>
                <w:noProof/>
                <w:webHidden/>
              </w:rPr>
              <w:tab/>
            </w:r>
            <w:r w:rsidR="00BA4149">
              <w:rPr>
                <w:noProof/>
                <w:webHidden/>
              </w:rPr>
              <w:fldChar w:fldCharType="begin"/>
            </w:r>
            <w:r w:rsidR="00BA4149">
              <w:rPr>
                <w:noProof/>
                <w:webHidden/>
              </w:rPr>
              <w:instrText xml:space="preserve"> PAGEREF _Toc189642737 \h </w:instrText>
            </w:r>
            <w:r w:rsidR="00BA4149">
              <w:rPr>
                <w:noProof/>
                <w:webHidden/>
              </w:rPr>
            </w:r>
            <w:r w:rsidR="00BA4149">
              <w:rPr>
                <w:noProof/>
                <w:webHidden/>
              </w:rPr>
              <w:fldChar w:fldCharType="separate"/>
            </w:r>
            <w:r w:rsidR="00BA4149">
              <w:rPr>
                <w:noProof/>
                <w:webHidden/>
              </w:rPr>
              <w:t>8</w:t>
            </w:r>
            <w:r w:rsidR="00BA4149">
              <w:rPr>
                <w:noProof/>
                <w:webHidden/>
              </w:rPr>
              <w:fldChar w:fldCharType="end"/>
            </w:r>
          </w:hyperlink>
        </w:p>
        <w:p w14:paraId="0716A13F" w14:textId="4B412886"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38" w:history="1">
            <w:r w:rsidR="00BA4149" w:rsidRPr="00BA622B">
              <w:rPr>
                <w:rStyle w:val="Hyperlink"/>
                <w:rFonts w:ascii="Arial" w:eastAsia="Arial" w:hAnsi="Arial" w:cs="Arial"/>
                <w:b/>
                <w:noProof/>
                <w:highlight w:val="yellow"/>
              </w:rPr>
              <w:t>DA DIRETORIA EXECUTIVA</w:t>
            </w:r>
            <w:r w:rsidR="00BA4149">
              <w:rPr>
                <w:noProof/>
                <w:webHidden/>
              </w:rPr>
              <w:tab/>
            </w:r>
            <w:r w:rsidR="00BA4149">
              <w:rPr>
                <w:noProof/>
                <w:webHidden/>
              </w:rPr>
              <w:fldChar w:fldCharType="begin"/>
            </w:r>
            <w:r w:rsidR="00BA4149">
              <w:rPr>
                <w:noProof/>
                <w:webHidden/>
              </w:rPr>
              <w:instrText xml:space="preserve"> PAGEREF _Toc189642738 \h </w:instrText>
            </w:r>
            <w:r w:rsidR="00BA4149">
              <w:rPr>
                <w:noProof/>
                <w:webHidden/>
              </w:rPr>
            </w:r>
            <w:r w:rsidR="00BA4149">
              <w:rPr>
                <w:noProof/>
                <w:webHidden/>
              </w:rPr>
              <w:fldChar w:fldCharType="separate"/>
            </w:r>
            <w:r w:rsidR="00BA4149">
              <w:rPr>
                <w:noProof/>
                <w:webHidden/>
              </w:rPr>
              <w:t>14</w:t>
            </w:r>
            <w:r w:rsidR="00BA4149">
              <w:rPr>
                <w:noProof/>
                <w:webHidden/>
              </w:rPr>
              <w:fldChar w:fldCharType="end"/>
            </w:r>
          </w:hyperlink>
        </w:p>
        <w:p w14:paraId="0A349980" w14:textId="42C2231B"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39" w:history="1">
            <w:r w:rsidR="00BA4149" w:rsidRPr="00BA622B">
              <w:rPr>
                <w:rStyle w:val="Hyperlink"/>
                <w:rFonts w:ascii="Arial" w:eastAsia="Arial" w:hAnsi="Arial" w:cs="Arial"/>
                <w:b/>
                <w:noProof/>
              </w:rPr>
              <w:t>DO CONSELHO FISCAL</w:t>
            </w:r>
            <w:r w:rsidR="00BA4149">
              <w:rPr>
                <w:noProof/>
                <w:webHidden/>
              </w:rPr>
              <w:tab/>
            </w:r>
            <w:r w:rsidR="00BA4149">
              <w:rPr>
                <w:noProof/>
                <w:webHidden/>
              </w:rPr>
              <w:fldChar w:fldCharType="begin"/>
            </w:r>
            <w:r w:rsidR="00BA4149">
              <w:rPr>
                <w:noProof/>
                <w:webHidden/>
              </w:rPr>
              <w:instrText xml:space="preserve"> PAGEREF _Toc189642739 \h </w:instrText>
            </w:r>
            <w:r w:rsidR="00BA4149">
              <w:rPr>
                <w:noProof/>
                <w:webHidden/>
              </w:rPr>
            </w:r>
            <w:r w:rsidR="00BA4149">
              <w:rPr>
                <w:noProof/>
                <w:webHidden/>
              </w:rPr>
              <w:fldChar w:fldCharType="separate"/>
            </w:r>
            <w:r w:rsidR="00BA4149">
              <w:rPr>
                <w:noProof/>
                <w:webHidden/>
              </w:rPr>
              <w:t>19</w:t>
            </w:r>
            <w:r w:rsidR="00BA4149">
              <w:rPr>
                <w:noProof/>
                <w:webHidden/>
              </w:rPr>
              <w:fldChar w:fldCharType="end"/>
            </w:r>
          </w:hyperlink>
        </w:p>
        <w:p w14:paraId="1EF16C0A" w14:textId="44332CD5"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0" w:history="1">
            <w:r w:rsidR="00BA4149" w:rsidRPr="00BA622B">
              <w:rPr>
                <w:rStyle w:val="Hyperlink"/>
                <w:rFonts w:ascii="Arial" w:eastAsia="Arial" w:hAnsi="Arial" w:cs="Arial"/>
                <w:b/>
                <w:noProof/>
              </w:rPr>
              <w:t>DO PROCESSO ELEITORAL</w:t>
            </w:r>
            <w:r w:rsidR="00BA4149">
              <w:rPr>
                <w:noProof/>
                <w:webHidden/>
              </w:rPr>
              <w:tab/>
            </w:r>
            <w:r w:rsidR="00BA4149">
              <w:rPr>
                <w:noProof/>
                <w:webHidden/>
              </w:rPr>
              <w:fldChar w:fldCharType="begin"/>
            </w:r>
            <w:r w:rsidR="00BA4149">
              <w:rPr>
                <w:noProof/>
                <w:webHidden/>
              </w:rPr>
              <w:instrText xml:space="preserve"> PAGEREF _Toc189642740 \h </w:instrText>
            </w:r>
            <w:r w:rsidR="00BA4149">
              <w:rPr>
                <w:noProof/>
                <w:webHidden/>
              </w:rPr>
            </w:r>
            <w:r w:rsidR="00BA4149">
              <w:rPr>
                <w:noProof/>
                <w:webHidden/>
              </w:rPr>
              <w:fldChar w:fldCharType="separate"/>
            </w:r>
            <w:r w:rsidR="00BA4149">
              <w:rPr>
                <w:noProof/>
                <w:webHidden/>
              </w:rPr>
              <w:t>20</w:t>
            </w:r>
            <w:r w:rsidR="00BA4149">
              <w:rPr>
                <w:noProof/>
                <w:webHidden/>
              </w:rPr>
              <w:fldChar w:fldCharType="end"/>
            </w:r>
          </w:hyperlink>
        </w:p>
        <w:p w14:paraId="2ECA7960" w14:textId="55450EF8"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1" w:history="1">
            <w:r w:rsidR="00BA4149" w:rsidRPr="00BA622B">
              <w:rPr>
                <w:rStyle w:val="Hyperlink"/>
                <w:rFonts w:ascii="Arial" w:eastAsia="Arial" w:hAnsi="Arial" w:cs="Arial"/>
                <w:b/>
                <w:noProof/>
              </w:rPr>
              <w:t>DO SEGURO</w:t>
            </w:r>
            <w:r w:rsidR="00BA4149">
              <w:rPr>
                <w:noProof/>
                <w:webHidden/>
              </w:rPr>
              <w:tab/>
            </w:r>
            <w:r w:rsidR="00BA4149">
              <w:rPr>
                <w:noProof/>
                <w:webHidden/>
              </w:rPr>
              <w:fldChar w:fldCharType="begin"/>
            </w:r>
            <w:r w:rsidR="00BA4149">
              <w:rPr>
                <w:noProof/>
                <w:webHidden/>
              </w:rPr>
              <w:instrText xml:space="preserve"> PAGEREF _Toc189642741 \h </w:instrText>
            </w:r>
            <w:r w:rsidR="00BA4149">
              <w:rPr>
                <w:noProof/>
                <w:webHidden/>
              </w:rPr>
            </w:r>
            <w:r w:rsidR="00BA4149">
              <w:rPr>
                <w:noProof/>
                <w:webHidden/>
              </w:rPr>
              <w:fldChar w:fldCharType="separate"/>
            </w:r>
            <w:r w:rsidR="00BA4149">
              <w:rPr>
                <w:noProof/>
                <w:webHidden/>
              </w:rPr>
              <w:t>21</w:t>
            </w:r>
            <w:r w:rsidR="00BA4149">
              <w:rPr>
                <w:noProof/>
                <w:webHidden/>
              </w:rPr>
              <w:fldChar w:fldCharType="end"/>
            </w:r>
          </w:hyperlink>
        </w:p>
        <w:p w14:paraId="289F2521" w14:textId="7356F213"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2" w:history="1">
            <w:r w:rsidR="00BA4149" w:rsidRPr="00BA622B">
              <w:rPr>
                <w:rStyle w:val="Hyperlink"/>
                <w:rFonts w:ascii="Arial" w:eastAsia="Arial" w:hAnsi="Arial" w:cs="Arial"/>
                <w:b/>
                <w:noProof/>
              </w:rPr>
              <w:t>DO USO DA ÁREA DE LAZER</w:t>
            </w:r>
            <w:r w:rsidR="00BA4149">
              <w:rPr>
                <w:noProof/>
                <w:webHidden/>
              </w:rPr>
              <w:tab/>
            </w:r>
            <w:r w:rsidR="00BA4149">
              <w:rPr>
                <w:noProof/>
                <w:webHidden/>
              </w:rPr>
              <w:fldChar w:fldCharType="begin"/>
            </w:r>
            <w:r w:rsidR="00BA4149">
              <w:rPr>
                <w:noProof/>
                <w:webHidden/>
              </w:rPr>
              <w:instrText xml:space="preserve"> PAGEREF _Toc189642742 \h </w:instrText>
            </w:r>
            <w:r w:rsidR="00BA4149">
              <w:rPr>
                <w:noProof/>
                <w:webHidden/>
              </w:rPr>
            </w:r>
            <w:r w:rsidR="00BA4149">
              <w:rPr>
                <w:noProof/>
                <w:webHidden/>
              </w:rPr>
              <w:fldChar w:fldCharType="separate"/>
            </w:r>
            <w:r w:rsidR="00BA4149">
              <w:rPr>
                <w:noProof/>
                <w:webHidden/>
              </w:rPr>
              <w:t>21</w:t>
            </w:r>
            <w:r w:rsidR="00BA4149">
              <w:rPr>
                <w:noProof/>
                <w:webHidden/>
              </w:rPr>
              <w:fldChar w:fldCharType="end"/>
            </w:r>
          </w:hyperlink>
        </w:p>
        <w:p w14:paraId="7C6020E0" w14:textId="7D803964"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3" w:history="1">
            <w:r w:rsidR="00BA4149" w:rsidRPr="00BA622B">
              <w:rPr>
                <w:rStyle w:val="Hyperlink"/>
                <w:rFonts w:ascii="Arial" w:eastAsia="Arial" w:hAnsi="Arial" w:cs="Arial"/>
                <w:b/>
                <w:noProof/>
              </w:rPr>
              <w:t>DOS DIREITOS E OBRIGAÇÕES</w:t>
            </w:r>
            <w:r w:rsidR="00BA4149">
              <w:rPr>
                <w:noProof/>
                <w:webHidden/>
              </w:rPr>
              <w:tab/>
            </w:r>
            <w:r w:rsidR="00BA4149">
              <w:rPr>
                <w:noProof/>
                <w:webHidden/>
              </w:rPr>
              <w:fldChar w:fldCharType="begin"/>
            </w:r>
            <w:r w:rsidR="00BA4149">
              <w:rPr>
                <w:noProof/>
                <w:webHidden/>
              </w:rPr>
              <w:instrText xml:space="preserve"> PAGEREF _Toc189642743 \h </w:instrText>
            </w:r>
            <w:r w:rsidR="00BA4149">
              <w:rPr>
                <w:noProof/>
                <w:webHidden/>
              </w:rPr>
            </w:r>
            <w:r w:rsidR="00BA4149">
              <w:rPr>
                <w:noProof/>
                <w:webHidden/>
              </w:rPr>
              <w:fldChar w:fldCharType="separate"/>
            </w:r>
            <w:r w:rsidR="00BA4149">
              <w:rPr>
                <w:noProof/>
                <w:webHidden/>
              </w:rPr>
              <w:t>22</w:t>
            </w:r>
            <w:r w:rsidR="00BA4149">
              <w:rPr>
                <w:noProof/>
                <w:webHidden/>
              </w:rPr>
              <w:fldChar w:fldCharType="end"/>
            </w:r>
          </w:hyperlink>
        </w:p>
        <w:p w14:paraId="0EDA32EE" w14:textId="15911614"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4" w:history="1">
            <w:r w:rsidR="00BA4149" w:rsidRPr="00BA622B">
              <w:rPr>
                <w:rStyle w:val="Hyperlink"/>
                <w:rFonts w:ascii="Arial" w:eastAsia="Arial" w:hAnsi="Arial" w:cs="Arial"/>
                <w:b/>
                <w:noProof/>
              </w:rPr>
              <w:t>DAS PENALIDADES</w:t>
            </w:r>
            <w:r w:rsidR="00BA4149">
              <w:rPr>
                <w:noProof/>
                <w:webHidden/>
              </w:rPr>
              <w:tab/>
            </w:r>
            <w:r w:rsidR="00BA4149">
              <w:rPr>
                <w:noProof/>
                <w:webHidden/>
              </w:rPr>
              <w:fldChar w:fldCharType="begin"/>
            </w:r>
            <w:r w:rsidR="00BA4149">
              <w:rPr>
                <w:noProof/>
                <w:webHidden/>
              </w:rPr>
              <w:instrText xml:space="preserve"> PAGEREF _Toc189642744 \h </w:instrText>
            </w:r>
            <w:r w:rsidR="00BA4149">
              <w:rPr>
                <w:noProof/>
                <w:webHidden/>
              </w:rPr>
            </w:r>
            <w:r w:rsidR="00BA4149">
              <w:rPr>
                <w:noProof/>
                <w:webHidden/>
              </w:rPr>
              <w:fldChar w:fldCharType="separate"/>
            </w:r>
            <w:r w:rsidR="00BA4149">
              <w:rPr>
                <w:noProof/>
                <w:webHidden/>
              </w:rPr>
              <w:t>24</w:t>
            </w:r>
            <w:r w:rsidR="00BA4149">
              <w:rPr>
                <w:noProof/>
                <w:webHidden/>
              </w:rPr>
              <w:fldChar w:fldCharType="end"/>
            </w:r>
          </w:hyperlink>
        </w:p>
        <w:p w14:paraId="63E08A2F" w14:textId="30925241"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5" w:history="1">
            <w:r w:rsidR="00BA4149" w:rsidRPr="00BA622B">
              <w:rPr>
                <w:rStyle w:val="Hyperlink"/>
                <w:rFonts w:ascii="Arial" w:eastAsia="Arial" w:hAnsi="Arial" w:cs="Arial"/>
                <w:b/>
                <w:noProof/>
              </w:rPr>
              <w:t>DA SEGURANÇA</w:t>
            </w:r>
            <w:r w:rsidR="00BA4149">
              <w:rPr>
                <w:noProof/>
                <w:webHidden/>
              </w:rPr>
              <w:tab/>
            </w:r>
            <w:r w:rsidR="00BA4149">
              <w:rPr>
                <w:noProof/>
                <w:webHidden/>
              </w:rPr>
              <w:fldChar w:fldCharType="begin"/>
            </w:r>
            <w:r w:rsidR="00BA4149">
              <w:rPr>
                <w:noProof/>
                <w:webHidden/>
              </w:rPr>
              <w:instrText xml:space="preserve"> PAGEREF _Toc189642745 \h </w:instrText>
            </w:r>
            <w:r w:rsidR="00BA4149">
              <w:rPr>
                <w:noProof/>
                <w:webHidden/>
              </w:rPr>
            </w:r>
            <w:r w:rsidR="00BA4149">
              <w:rPr>
                <w:noProof/>
                <w:webHidden/>
              </w:rPr>
              <w:fldChar w:fldCharType="separate"/>
            </w:r>
            <w:r w:rsidR="00BA4149">
              <w:rPr>
                <w:noProof/>
                <w:webHidden/>
              </w:rPr>
              <w:t>25</w:t>
            </w:r>
            <w:r w:rsidR="00BA4149">
              <w:rPr>
                <w:noProof/>
                <w:webHidden/>
              </w:rPr>
              <w:fldChar w:fldCharType="end"/>
            </w:r>
          </w:hyperlink>
        </w:p>
        <w:p w14:paraId="38220FFB" w14:textId="5F0A8D28" w:rsidR="00BA4149" w:rsidRDefault="00AB5D3F">
          <w:pPr>
            <w:pStyle w:val="Sumrio1"/>
            <w:tabs>
              <w:tab w:val="right" w:leader="dot" w:pos="9629"/>
            </w:tabs>
            <w:rPr>
              <w:rFonts w:asciiTheme="minorHAnsi" w:eastAsiaTheme="minorEastAsia" w:hAnsiTheme="minorHAnsi" w:cstheme="minorBidi"/>
              <w:noProof/>
              <w:lang w:eastAsia="pt-BR"/>
            </w:rPr>
          </w:pPr>
          <w:hyperlink w:anchor="_Toc189642746" w:history="1">
            <w:r w:rsidR="00BA4149" w:rsidRPr="00BA622B">
              <w:rPr>
                <w:rStyle w:val="Hyperlink"/>
                <w:rFonts w:ascii="Arial" w:eastAsia="Arial" w:hAnsi="Arial" w:cs="Arial"/>
                <w:b/>
                <w:noProof/>
              </w:rPr>
              <w:t>DAS DISPOSIÇÕES FINAIS</w:t>
            </w:r>
            <w:r w:rsidR="00BA4149">
              <w:rPr>
                <w:noProof/>
                <w:webHidden/>
              </w:rPr>
              <w:tab/>
            </w:r>
            <w:r w:rsidR="00BA4149">
              <w:rPr>
                <w:noProof/>
                <w:webHidden/>
              </w:rPr>
              <w:fldChar w:fldCharType="begin"/>
            </w:r>
            <w:r w:rsidR="00BA4149">
              <w:rPr>
                <w:noProof/>
                <w:webHidden/>
              </w:rPr>
              <w:instrText xml:space="preserve"> PAGEREF _Toc189642746 \h </w:instrText>
            </w:r>
            <w:r w:rsidR="00BA4149">
              <w:rPr>
                <w:noProof/>
                <w:webHidden/>
              </w:rPr>
            </w:r>
            <w:r w:rsidR="00BA4149">
              <w:rPr>
                <w:noProof/>
                <w:webHidden/>
              </w:rPr>
              <w:fldChar w:fldCharType="separate"/>
            </w:r>
            <w:r w:rsidR="00BA4149">
              <w:rPr>
                <w:noProof/>
                <w:webHidden/>
              </w:rPr>
              <w:t>25</w:t>
            </w:r>
            <w:r w:rsidR="00BA4149">
              <w:rPr>
                <w:noProof/>
                <w:webHidden/>
              </w:rPr>
              <w:fldChar w:fldCharType="end"/>
            </w:r>
          </w:hyperlink>
        </w:p>
        <w:p w14:paraId="3B5C0E9A" w14:textId="0503DFC1"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5F25CF1E" w:rsidR="00F832A6" w:rsidRDefault="00F832A6" w:rsidP="007F1C60">
      <w:pPr>
        <w:spacing w:before="80" w:after="80" w:line="240" w:lineRule="auto"/>
        <w:jc w:val="center"/>
        <w:rPr>
          <w:rFonts w:ascii="Arial" w:eastAsia="Arial" w:hAnsi="Arial" w:cs="Arial"/>
          <w:b/>
          <w:sz w:val="28"/>
          <w:szCs w:val="28"/>
          <w:u w:val="single"/>
        </w:rPr>
      </w:pPr>
    </w:p>
    <w:p w14:paraId="4887ABCE" w14:textId="4042F7DE" w:rsidR="00BA4149" w:rsidRDefault="00BA4149" w:rsidP="007F1C60">
      <w:pPr>
        <w:spacing w:before="80" w:after="80" w:line="240" w:lineRule="auto"/>
        <w:jc w:val="center"/>
        <w:rPr>
          <w:rFonts w:ascii="Arial" w:eastAsia="Arial" w:hAnsi="Arial" w:cs="Arial"/>
          <w:b/>
          <w:sz w:val="28"/>
          <w:szCs w:val="28"/>
          <w:u w:val="single"/>
        </w:rPr>
      </w:pPr>
    </w:p>
    <w:p w14:paraId="642BD477" w14:textId="77777777" w:rsidR="00BA4149" w:rsidRDefault="00BA4149"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9642734"/>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Condomínio Residencial Village </w:t>
      </w:r>
      <w:proofErr w:type="spellStart"/>
      <w:r>
        <w:rPr>
          <w:rFonts w:ascii="Arial" w:eastAsia="Arial" w:hAnsi="Arial" w:cs="Arial"/>
          <w:color w:val="000000"/>
          <w:sz w:val="24"/>
          <w:szCs w:val="24"/>
        </w:rPr>
        <w:t>Thermas</w:t>
      </w:r>
      <w:proofErr w:type="spellEnd"/>
      <w:r>
        <w:rPr>
          <w:rFonts w:ascii="Arial" w:eastAsia="Arial" w:hAnsi="Arial" w:cs="Arial"/>
          <w:color w:val="000000"/>
          <w:sz w:val="24"/>
          <w:szCs w:val="24"/>
        </w:rPr>
        <w:t xml:space="preserve">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3ª Etapa: Residencial </w:t>
      </w:r>
      <w:proofErr w:type="spellStart"/>
      <w:r>
        <w:rPr>
          <w:rFonts w:ascii="Arial" w:eastAsia="Arial" w:hAnsi="Arial" w:cs="Arial"/>
          <w:b/>
          <w:sz w:val="24"/>
          <w:szCs w:val="24"/>
        </w:rPr>
        <w:t>Bougainvilles</w:t>
      </w:r>
      <w:proofErr w:type="spellEnd"/>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4ª Etapa: Residencial </w:t>
      </w:r>
      <w:proofErr w:type="spellStart"/>
      <w:r>
        <w:rPr>
          <w:rFonts w:ascii="Arial" w:eastAsia="Arial" w:hAnsi="Arial" w:cs="Arial"/>
          <w:b/>
          <w:sz w:val="24"/>
          <w:szCs w:val="24"/>
        </w:rPr>
        <w:t>Azaléias</w:t>
      </w:r>
      <w:proofErr w:type="spellEnd"/>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0B206804" w:rsidR="00B34A53" w:rsidRDefault="00B34A53" w:rsidP="007F1C60">
      <w:pPr>
        <w:spacing w:before="80" w:after="80" w:line="240" w:lineRule="auto"/>
        <w:jc w:val="both"/>
        <w:rPr>
          <w:rFonts w:ascii="Arial" w:eastAsia="Arial" w:hAnsi="Arial" w:cs="Arial"/>
          <w:sz w:val="24"/>
          <w:szCs w:val="24"/>
        </w:rPr>
      </w:pPr>
      <w:r w:rsidRPr="00B14C18">
        <w:rPr>
          <w:rFonts w:ascii="Arial" w:eastAsia="Arial" w:hAnsi="Arial" w:cs="Arial"/>
          <w:b/>
          <w:sz w:val="24"/>
          <w:szCs w:val="24"/>
        </w:rPr>
        <w:t xml:space="preserve">Parágrafo </w:t>
      </w:r>
      <w:r w:rsidR="00F832A6" w:rsidRPr="00B14C18">
        <w:rPr>
          <w:rFonts w:ascii="Arial" w:eastAsia="Arial" w:hAnsi="Arial" w:cs="Arial"/>
          <w:b/>
          <w:sz w:val="24"/>
          <w:szCs w:val="24"/>
        </w:rPr>
        <w:t>primeiro</w:t>
      </w:r>
      <w:r w:rsidRPr="00B14C18">
        <w:rPr>
          <w:rFonts w:ascii="Arial" w:eastAsia="Arial" w:hAnsi="Arial" w:cs="Arial"/>
          <w:b/>
          <w:sz w:val="24"/>
          <w:szCs w:val="24"/>
        </w:rPr>
        <w:t xml:space="preserve"> – </w:t>
      </w:r>
      <w:r w:rsidR="00622726" w:rsidRPr="00B14C18">
        <w:rPr>
          <w:rFonts w:ascii="Arial" w:eastAsia="Arial" w:hAnsi="Arial" w:cs="Arial"/>
          <w:sz w:val="24"/>
          <w:szCs w:val="24"/>
        </w:rPr>
        <w:t xml:space="preserve">Para </w:t>
      </w:r>
      <w:r w:rsidR="00F832A6" w:rsidRPr="00B14C18">
        <w:rPr>
          <w:rFonts w:ascii="Arial" w:eastAsia="Arial" w:hAnsi="Arial" w:cs="Arial"/>
          <w:sz w:val="24"/>
          <w:szCs w:val="24"/>
        </w:rPr>
        <w:t xml:space="preserve">toda e qualquer </w:t>
      </w:r>
      <w:r w:rsidR="00622726" w:rsidRPr="00B14C18">
        <w:rPr>
          <w:rFonts w:ascii="Arial" w:eastAsia="Arial" w:hAnsi="Arial" w:cs="Arial"/>
          <w:sz w:val="24"/>
          <w:szCs w:val="24"/>
        </w:rPr>
        <w:t>execução de obras ficam os interessados obrigados a</w:t>
      </w:r>
      <w:r w:rsidRPr="00B14C18">
        <w:rPr>
          <w:rFonts w:ascii="Arial" w:eastAsia="Arial" w:hAnsi="Arial" w:cs="Arial"/>
          <w:sz w:val="24"/>
          <w:szCs w:val="24"/>
        </w:rPr>
        <w:t xml:space="preserve"> preencher e coletar as devidas assinaturas previstas no documento “</w:t>
      </w:r>
      <w:r w:rsidR="00B14C18" w:rsidRPr="00B14C18">
        <w:rPr>
          <w:rFonts w:ascii="Arial" w:eastAsia="Arial" w:hAnsi="Arial" w:cs="Arial"/>
          <w:bCs/>
          <w:sz w:val="24"/>
          <w:szCs w:val="24"/>
        </w:rPr>
        <w:t>Formulário para Obras e Reformas</w:t>
      </w:r>
      <w:r w:rsidRPr="00B14C18">
        <w:rPr>
          <w:rFonts w:ascii="Arial" w:eastAsia="Arial" w:hAnsi="Arial" w:cs="Arial"/>
          <w:b/>
          <w:sz w:val="24"/>
          <w:szCs w:val="24"/>
        </w:rPr>
        <w:t xml:space="preserve">” </w:t>
      </w:r>
      <w:r w:rsidRPr="00B14C18">
        <w:rPr>
          <w:rFonts w:ascii="Arial" w:eastAsia="Arial" w:hAnsi="Arial" w:cs="Arial"/>
          <w:sz w:val="24"/>
          <w:szCs w:val="24"/>
        </w:rPr>
        <w:t xml:space="preserve">que tem por </w:t>
      </w:r>
      <w:r w:rsidRPr="00B14C18">
        <w:rPr>
          <w:rFonts w:ascii="Tahoma" w:hAnsi="Tahoma" w:cs="Tahoma"/>
          <w:sz w:val="24"/>
          <w:szCs w:val="24"/>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586C2EF1" w:rsidR="00B34A53" w:rsidRPr="00F832A6" w:rsidRDefault="00BA4149"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Parágrafo segundo</w:t>
      </w:r>
      <w:r w:rsidR="00B34A53"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00B34A53"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00B34A53"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00B34A53"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00B34A53"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proofErr w:type="gramStart"/>
      <w:r>
        <w:rPr>
          <w:rFonts w:ascii="Arial" w:eastAsia="Arial" w:hAnsi="Arial" w:cs="Arial"/>
          <w:b/>
          <w:sz w:val="24"/>
          <w:szCs w:val="24"/>
        </w:rPr>
        <w:t xml:space="preserve">Parágrafo </w:t>
      </w:r>
      <w:r w:rsidR="00F832A6">
        <w:rPr>
          <w:rFonts w:ascii="Arial" w:eastAsia="Arial" w:hAnsi="Arial" w:cs="Arial"/>
          <w:b/>
          <w:sz w:val="24"/>
          <w:szCs w:val="24"/>
        </w:rPr>
        <w:t>Quaro</w:t>
      </w:r>
      <w:proofErr w:type="gramEnd"/>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rsidP="007F1C60">
      <w:pPr>
        <w:spacing w:before="80" w:after="80" w:line="240" w:lineRule="auto"/>
        <w:jc w:val="both"/>
        <w:rPr>
          <w:rFonts w:ascii="Arial" w:eastAsia="Arial" w:hAnsi="Arial" w:cs="Arial"/>
          <w:sz w:val="24"/>
          <w:szCs w:val="24"/>
        </w:rPr>
      </w:pPr>
    </w:p>
    <w:p w14:paraId="11C4414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 w:name="_Toc189642735"/>
      <w:r>
        <w:rPr>
          <w:rFonts w:ascii="Arial" w:eastAsia="Arial" w:hAnsi="Arial" w:cs="Arial"/>
          <w:b/>
          <w:color w:val="000000"/>
          <w:u w:val="single"/>
        </w:rPr>
        <w:t>DO ORÇAMENTO DO CONDOMÍNIO</w:t>
      </w:r>
      <w:bookmarkEnd w:id="1"/>
    </w:p>
    <w:p w14:paraId="15CE7893" w14:textId="77777777" w:rsidR="009A5804" w:rsidRDefault="009A5804" w:rsidP="007F1C60">
      <w:pPr>
        <w:spacing w:before="80" w:after="80" w:line="240" w:lineRule="auto"/>
      </w:pPr>
    </w:p>
    <w:p w14:paraId="2CF46948" w14:textId="34AD82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1E6072">
        <w:rPr>
          <w:rFonts w:ascii="Arial" w:eastAsia="Arial" w:hAnsi="Arial" w:cs="Arial"/>
          <w:color w:val="000000"/>
          <w:sz w:val="24"/>
          <w:szCs w:val="24"/>
        </w:rPr>
        <w:t xml:space="preserve"> e</w:t>
      </w:r>
      <w:r w:rsidR="006218A6">
        <w:rPr>
          <w:rFonts w:ascii="Arial" w:eastAsia="Arial" w:hAnsi="Arial" w:cs="Arial"/>
          <w:color w:val="000000"/>
          <w:sz w:val="24"/>
          <w:szCs w:val="24"/>
        </w:rPr>
        <w:t xml:space="preserve"> conselheiros </w:t>
      </w:r>
      <w:r w:rsidR="001E6072">
        <w:rPr>
          <w:rFonts w:ascii="Arial" w:eastAsia="Arial" w:hAnsi="Arial" w:cs="Arial"/>
          <w:color w:val="000000"/>
          <w:sz w:val="24"/>
          <w:szCs w:val="24"/>
        </w:rPr>
        <w:t>Fiscais</w:t>
      </w:r>
      <w:r>
        <w:rPr>
          <w:rFonts w:ascii="Arial" w:eastAsia="Arial" w:hAnsi="Arial" w:cs="Arial"/>
          <w:color w:val="000000"/>
          <w:sz w:val="24"/>
          <w:szCs w:val="24"/>
        </w:rPr>
        <w:t xml:space="preserve">, preparar o orçamento para o custeio das despesas do exercício, estimando as despesas e receitas do condomínio, enviando juntamente com o edital de convocação a fim de serem objetos de deliberação da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76D0A3F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772795">
        <w:rPr>
          <w:rFonts w:ascii="Arial" w:eastAsia="Arial" w:hAnsi="Arial" w:cs="Arial"/>
          <w:color w:val="000000"/>
          <w:sz w:val="24"/>
          <w:szCs w:val="24"/>
          <w:highlight w:val="yellow"/>
        </w:rPr>
        <w:t>Síndico</w:t>
      </w:r>
      <w:r>
        <w:rPr>
          <w:rFonts w:ascii="Arial" w:eastAsia="Arial" w:hAnsi="Arial" w:cs="Arial"/>
          <w:sz w:val="24"/>
          <w:szCs w:val="24"/>
        </w:rPr>
        <w:t xml:space="preserve">, mediante deliberação da </w:t>
      </w:r>
      <w:r w:rsidR="00B14C18">
        <w:rPr>
          <w:rFonts w:ascii="Arial" w:eastAsia="Arial" w:hAnsi="Arial" w:cs="Arial"/>
          <w:sz w:val="24"/>
          <w:szCs w:val="24"/>
        </w:rPr>
        <w:t>Assembleia</w:t>
      </w:r>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419C75E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r w:rsidR="00B14C18">
        <w:rPr>
          <w:rFonts w:ascii="Arial" w:eastAsia="Arial" w:hAnsi="Arial" w:cs="Arial"/>
          <w:sz w:val="24"/>
          <w:szCs w:val="24"/>
        </w:rPr>
        <w:t>Assembleia</w:t>
      </w:r>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lastRenderedPageBreak/>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8FFDCFE"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Remuneração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509CF438"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r w:rsidR="00B14C18">
        <w:rPr>
          <w:rFonts w:ascii="Arial" w:eastAsia="Arial" w:hAnsi="Arial" w:cs="Arial"/>
          <w:color w:val="000000"/>
          <w:sz w:val="24"/>
          <w:szCs w:val="24"/>
        </w:rPr>
        <w:t>Assembleia</w:t>
      </w:r>
      <w:r>
        <w:rPr>
          <w:rFonts w:ascii="Arial" w:eastAsia="Arial" w:hAnsi="Arial" w:cs="Arial"/>
          <w:color w:val="000000"/>
          <w:sz w:val="24"/>
          <w:szCs w:val="24"/>
        </w:rPr>
        <w:t>s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003010A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a proposta de orçamento com as prováveis receitas e despesas para o exercício subsequente, elaborada pelo </w:t>
      </w:r>
      <w:r w:rsidR="00772795">
        <w:rPr>
          <w:rFonts w:ascii="Arial" w:eastAsia="Arial" w:hAnsi="Arial" w:cs="Arial"/>
          <w:color w:val="000000"/>
          <w:sz w:val="24"/>
          <w:szCs w:val="24"/>
        </w:rPr>
        <w:t>Síndico</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536CD39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r w:rsidR="00B14C18">
        <w:rPr>
          <w:rFonts w:ascii="Arial" w:eastAsia="Arial" w:hAnsi="Arial" w:cs="Arial"/>
          <w:sz w:val="24"/>
          <w:szCs w:val="24"/>
        </w:rPr>
        <w:t>Assembleia</w:t>
      </w:r>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1C95978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obedecidas as normas de cobrança que para tanto forem adotadas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3FC103E8" w:rsidR="009A5804" w:rsidRDefault="001B344A" w:rsidP="007F1C60">
      <w:pPr>
        <w:spacing w:before="80" w:after="80" w:line="240" w:lineRule="auto"/>
        <w:jc w:val="both"/>
        <w:rPr>
          <w:rFonts w:ascii="Arial" w:eastAsia="Arial" w:hAnsi="Arial" w:cs="Arial"/>
          <w:b/>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w:t>
      </w:r>
      <w:r w:rsidR="00772795">
        <w:rPr>
          <w:rFonts w:ascii="Arial" w:eastAsia="Arial" w:hAnsi="Arial" w:cs="Arial"/>
          <w:sz w:val="24"/>
          <w:szCs w:val="24"/>
          <w:highlight w:val="yellow"/>
        </w:rPr>
        <w:t>Síndico</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9642736"/>
      <w:r>
        <w:rPr>
          <w:rFonts w:ascii="Arial" w:eastAsia="Arial" w:hAnsi="Arial" w:cs="Arial"/>
          <w:b/>
          <w:color w:val="000000"/>
          <w:u w:val="single"/>
        </w:rPr>
        <w:t>DO FUNDO DE RESERVA</w:t>
      </w:r>
      <w:bookmarkEnd w:id="2"/>
    </w:p>
    <w:p w14:paraId="5F7DE88B" w14:textId="77777777" w:rsidR="009A5804" w:rsidRDefault="009A5804" w:rsidP="007F1C60">
      <w:pPr>
        <w:spacing w:before="80" w:after="80" w:line="240" w:lineRule="auto"/>
      </w:pPr>
    </w:p>
    <w:p w14:paraId="7C4F167A" w14:textId="554CB2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5075640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0AD7389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Em caso emergencial ou por falta de fundo de caixa,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poderá utilizar recursos do Fundo de Reserva para pagamento de despesas ordinárias, até 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48ECCA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772795">
        <w:rPr>
          <w:rFonts w:ascii="Arial" w:eastAsia="Arial" w:hAnsi="Arial" w:cs="Arial"/>
          <w:color w:val="000000"/>
          <w:sz w:val="24"/>
          <w:szCs w:val="24"/>
          <w:highlight w:val="yellow"/>
        </w:rPr>
        <w:t>Síndico</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4E4C42FC"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r w:rsidR="00B14C18">
        <w:rPr>
          <w:rFonts w:ascii="Arial" w:eastAsia="Arial" w:hAnsi="Arial" w:cs="Arial"/>
          <w:sz w:val="24"/>
          <w:szCs w:val="24"/>
        </w:rPr>
        <w:t>Assembleia</w:t>
      </w:r>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3" w:name="_Toc189642737"/>
      <w:r>
        <w:rPr>
          <w:rFonts w:ascii="Arial" w:eastAsia="Arial" w:hAnsi="Arial" w:cs="Arial"/>
          <w:b/>
          <w:color w:val="000000"/>
          <w:u w:val="single"/>
        </w:rPr>
        <w:t>DA ADMINISTRAÇÃO DO CONDOMÍNIO</w:t>
      </w:r>
      <w:bookmarkEnd w:id="3"/>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sidRPr="00A43AA3">
        <w:rPr>
          <w:rFonts w:ascii="Arial" w:eastAsia="Arial" w:hAnsi="Arial" w:cs="Arial"/>
          <w:color w:val="000000"/>
          <w:sz w:val="24"/>
          <w:szCs w:val="24"/>
          <w:highlight w:val="yellow"/>
        </w:rPr>
        <w:t>pela</w:t>
      </w:r>
      <w:proofErr w:type="gramEnd"/>
      <w:r w:rsidRPr="00A43AA3">
        <w:rPr>
          <w:rFonts w:ascii="Arial" w:eastAsia="Arial" w:hAnsi="Arial" w:cs="Arial"/>
          <w:color w:val="000000"/>
          <w:sz w:val="24"/>
          <w:szCs w:val="24"/>
          <w:highlight w:val="yellow"/>
        </w:rPr>
        <w:t xml:space="preserve">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sidRPr="00A43AA3">
        <w:rPr>
          <w:rFonts w:ascii="Arial" w:eastAsia="Arial" w:hAnsi="Arial" w:cs="Arial"/>
          <w:color w:val="000000"/>
          <w:sz w:val="24"/>
          <w:szCs w:val="24"/>
          <w:highlight w:val="yellow"/>
        </w:rPr>
        <w:t>pela</w:t>
      </w:r>
      <w:proofErr w:type="gramEnd"/>
      <w:r w:rsidRPr="00A43AA3">
        <w:rPr>
          <w:rFonts w:ascii="Arial" w:eastAsia="Arial" w:hAnsi="Arial" w:cs="Arial"/>
          <w:color w:val="000000"/>
          <w:sz w:val="24"/>
          <w:szCs w:val="24"/>
          <w:highlight w:val="yellow"/>
        </w:rPr>
        <w:t xml:space="preserve">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sidRPr="00A43AA3">
        <w:rPr>
          <w:rFonts w:ascii="Arial" w:eastAsia="Arial" w:hAnsi="Arial" w:cs="Arial"/>
          <w:color w:val="000000"/>
          <w:sz w:val="24"/>
          <w:szCs w:val="24"/>
          <w:highlight w:val="yellow"/>
        </w:rPr>
        <w:t>pelo</w:t>
      </w:r>
      <w:proofErr w:type="gramEnd"/>
      <w:r w:rsidRPr="00A43AA3">
        <w:rPr>
          <w:rFonts w:ascii="Arial" w:eastAsia="Arial" w:hAnsi="Arial" w:cs="Arial"/>
          <w:color w:val="000000"/>
          <w:sz w:val="24"/>
          <w:szCs w:val="24"/>
          <w:highlight w:val="yellow"/>
        </w:rPr>
        <w:t xml:space="preserve"> Conselho Fiscal;</w:t>
      </w: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0432C4F8"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 xml:space="preserve">DA </w:t>
      </w:r>
      <w:r w:rsidR="00B14C18">
        <w:rPr>
          <w:rFonts w:ascii="Arial" w:eastAsia="Arial" w:hAnsi="Arial" w:cs="Arial"/>
          <w:b/>
          <w:color w:val="000000"/>
          <w:sz w:val="32"/>
          <w:szCs w:val="32"/>
          <w:u w:val="single"/>
        </w:rPr>
        <w:t>ASSEMBLEIA</w:t>
      </w:r>
      <w:r w:rsidRPr="00272196">
        <w:rPr>
          <w:rFonts w:ascii="Arial" w:eastAsia="Arial" w:hAnsi="Arial" w:cs="Arial"/>
          <w:b/>
          <w:color w:val="000000"/>
          <w:sz w:val="32"/>
          <w:szCs w:val="32"/>
          <w:u w:val="single"/>
        </w:rPr>
        <w:t xml:space="preserve">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0FA0AF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23D36FC2"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39DFCFBD" w:rsidR="009A5804" w:rsidRPr="007C64B6" w:rsidRDefault="006C4ECB" w:rsidP="00B14C18">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r w:rsidR="007C64B6" w:rsidRPr="007C64B6">
        <w:rPr>
          <w:rFonts w:ascii="Arial" w:eastAsia="Arial" w:hAnsi="Arial" w:cs="Arial"/>
          <w:color w:val="000000"/>
          <w:sz w:val="24"/>
          <w:szCs w:val="24"/>
        </w:rPr>
        <w:t>, com f</w:t>
      </w:r>
      <w:r w:rsidR="001B344A" w:rsidRPr="007C64B6">
        <w:rPr>
          <w:rFonts w:ascii="Arial" w:eastAsia="Arial" w:hAnsi="Arial" w:cs="Arial"/>
          <w:color w:val="000000"/>
          <w:sz w:val="24"/>
          <w:szCs w:val="24"/>
        </w:rPr>
        <w:t>ixação do pró-labore de até seis salários mínimos e meio</w:t>
      </w:r>
      <w:r w:rsidRPr="007C64B6">
        <w:rPr>
          <w:rFonts w:ascii="Arial" w:eastAsia="Arial" w:hAnsi="Arial" w:cs="Arial"/>
          <w:color w:val="000000"/>
          <w:sz w:val="24"/>
          <w:szCs w:val="24"/>
        </w:rPr>
        <w:t xml:space="preserve"> para o </w:t>
      </w:r>
      <w:r w:rsidR="00772795">
        <w:rPr>
          <w:rFonts w:ascii="Arial" w:eastAsia="Arial" w:hAnsi="Arial" w:cs="Arial"/>
          <w:color w:val="000000"/>
          <w:sz w:val="24"/>
          <w:szCs w:val="24"/>
          <w:highlight w:val="yellow"/>
        </w:rPr>
        <w:t>Síndico</w:t>
      </w:r>
      <w:r w:rsidR="001B344A" w:rsidRPr="007C64B6">
        <w:rPr>
          <w:rFonts w:ascii="Arial" w:eastAsia="Arial" w:hAnsi="Arial" w:cs="Arial"/>
          <w:color w:val="000000"/>
          <w:sz w:val="24"/>
          <w:szCs w:val="24"/>
        </w:rPr>
        <w:t>;</w:t>
      </w:r>
    </w:p>
    <w:p w14:paraId="49DE6137" w14:textId="7C99CA9B" w:rsidR="007C64B6" w:rsidRDefault="007C64B6"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do</w:t>
      </w:r>
      <w:r w:rsidR="00772795">
        <w:rPr>
          <w:rFonts w:ascii="Arial" w:eastAsia="Arial" w:hAnsi="Arial" w:cs="Arial"/>
          <w:color w:val="000000"/>
          <w:sz w:val="24"/>
          <w:szCs w:val="24"/>
        </w:rPr>
        <w:t xml:space="preserve"> S</w:t>
      </w:r>
      <w:r w:rsidR="00772795" w:rsidRPr="00772795">
        <w:rPr>
          <w:rFonts w:ascii="Arial" w:eastAsia="Arial" w:hAnsi="Arial" w:cs="Arial"/>
          <w:color w:val="000000"/>
          <w:sz w:val="24"/>
          <w:szCs w:val="24"/>
        </w:rPr>
        <w:t>ubsíndico</w:t>
      </w:r>
      <w:r w:rsidRPr="007C64B6">
        <w:rPr>
          <w:rFonts w:ascii="Arial" w:eastAsia="Arial" w:hAnsi="Arial" w:cs="Arial"/>
          <w:color w:val="000000"/>
          <w:sz w:val="24"/>
          <w:szCs w:val="24"/>
        </w:rPr>
        <w:t xml:space="preserve"> e do Tesoureiro</w:t>
      </w:r>
      <w:r>
        <w:rPr>
          <w:rFonts w:ascii="Arial" w:eastAsia="Arial" w:hAnsi="Arial" w:cs="Arial"/>
          <w:color w:val="000000"/>
          <w:sz w:val="24"/>
          <w:szCs w:val="24"/>
        </w:rPr>
        <w:t>,</w:t>
      </w:r>
      <w:r w:rsidRPr="007C64B6">
        <w:rPr>
          <w:rFonts w:ascii="Arial" w:eastAsia="Arial" w:hAnsi="Arial" w:cs="Arial"/>
          <w:color w:val="000000"/>
          <w:sz w:val="24"/>
          <w:szCs w:val="24"/>
        </w:rPr>
        <w:t xml:space="preserve"> com </w:t>
      </w:r>
      <w:r w:rsidRPr="007C64B6">
        <w:rPr>
          <w:rFonts w:ascii="Arial" w:eastAsia="Arial" w:hAnsi="Arial" w:cs="Arial"/>
          <w:color w:val="000000"/>
          <w:sz w:val="24"/>
          <w:szCs w:val="24"/>
          <w:highlight w:val="yellow"/>
        </w:rPr>
        <w:t>direito à isenção da taxa de condomínio</w:t>
      </w:r>
      <w:r w:rsidRPr="007C64B6">
        <w:rPr>
          <w:rFonts w:ascii="Arial" w:eastAsia="Arial" w:hAnsi="Arial" w:cs="Arial"/>
          <w:color w:val="000000"/>
          <w:sz w:val="24"/>
          <w:szCs w:val="24"/>
        </w:rPr>
        <w:t>;</w:t>
      </w:r>
    </w:p>
    <w:p w14:paraId="782EE9A0" w14:textId="42604568" w:rsidR="009A5804" w:rsidRPr="007C64B6" w:rsidRDefault="001B344A"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 xml:space="preserve">Eleição de Membros Titulares e Suplentes do Conselho Fiscal,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4" w:name="_35nkun2" w:colFirst="0" w:colLast="0"/>
      <w:bookmarkEnd w:id="4"/>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626472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 xml:space="preserve">Os eleitos tomarão posse no dia útil seguinte ao da realização da assembleia, mediante simples assinatura de termo de posse elaborado 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059AF84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59629F50" w14:textId="77777777" w:rsidR="005C0A2B" w:rsidRPr="005C0A2B" w:rsidRDefault="005C0A2B"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lastRenderedPageBreak/>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r w:rsidRPr="00F323F1">
        <w:rPr>
          <w:rFonts w:ascii="Arial" w:eastAsia="Arial" w:hAnsi="Arial" w:cs="Arial"/>
          <w:b/>
          <w:color w:val="000000"/>
          <w:sz w:val="24"/>
          <w:szCs w:val="24"/>
          <w:highlight w:val="yellow"/>
        </w:rPr>
        <w:t>mediador</w:t>
      </w:r>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F69EE4F" w14:textId="74260B30"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Gerenciar o Uso da Palavra</w:t>
      </w:r>
    </w:p>
    <w:p w14:paraId="516C028E" w14:textId="2D803F39"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 xml:space="preserve">anotando perguntas pertinentes ao tema em debate e repassando, no momento oportuno, ao </w:t>
      </w:r>
      <w:r w:rsidR="00772795">
        <w:rPr>
          <w:rFonts w:ascii="Arial" w:eastAsia="Arial" w:hAnsi="Arial" w:cs="Arial"/>
          <w:color w:val="000000"/>
          <w:sz w:val="24"/>
          <w:szCs w:val="24"/>
          <w:highlight w:val="yellow"/>
        </w:rPr>
        <w:t>Síndico</w:t>
      </w:r>
      <w:r w:rsidR="003467EB">
        <w:rPr>
          <w:rFonts w:ascii="Arial" w:eastAsia="Arial" w:hAnsi="Arial" w:cs="Arial"/>
          <w:color w:val="000000"/>
          <w:sz w:val="24"/>
          <w:szCs w:val="24"/>
          <w:highlight w:val="yellow"/>
        </w:rPr>
        <w:t xml:space="preserv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07A03B49"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 xml:space="preserve">Quando a deliberação exigir quórum especial previsto em lei ou em convenção e ele não for atingido, a assembleia poderá, por decisão da maioria dos presentes, autorizar o </w:t>
      </w:r>
      <w:r w:rsidR="00772795">
        <w:rPr>
          <w:rFonts w:ascii="Arial" w:eastAsia="Arial" w:hAnsi="Arial" w:cs="Arial"/>
          <w:bCs/>
          <w:sz w:val="24"/>
          <w:szCs w:val="24"/>
        </w:rPr>
        <w:t>Síndico</w:t>
      </w:r>
      <w:r w:rsidRPr="006276E9">
        <w:rPr>
          <w:rFonts w:ascii="Arial" w:eastAsia="Arial" w:hAnsi="Arial" w:cs="Arial"/>
          <w:bCs/>
          <w:sz w:val="24"/>
          <w:szCs w:val="24"/>
        </w:rPr>
        <w:t xml:space="preserv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sidRPr="006276E9">
        <w:rPr>
          <w:rFonts w:ascii="Arial" w:eastAsia="Arial" w:hAnsi="Arial" w:cs="Arial"/>
          <w:color w:val="000000"/>
          <w:sz w:val="24"/>
          <w:szCs w:val="24"/>
          <w:highlight w:val="yellow"/>
        </w:rPr>
        <w:t>sejam</w:t>
      </w:r>
      <w:proofErr w:type="gramEnd"/>
      <w:r w:rsidRPr="006276E9">
        <w:rPr>
          <w:rFonts w:ascii="Arial" w:eastAsia="Arial" w:hAnsi="Arial" w:cs="Arial"/>
          <w:color w:val="000000"/>
          <w:sz w:val="24"/>
          <w:szCs w:val="24"/>
          <w:highlight w:val="yellow"/>
        </w:rPr>
        <w:t xml:space="preserve">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Pr>
          <w:rFonts w:ascii="Arial" w:eastAsia="Arial" w:hAnsi="Arial" w:cs="Arial"/>
          <w:color w:val="000000"/>
          <w:sz w:val="24"/>
          <w:szCs w:val="24"/>
          <w:highlight w:val="yellow"/>
        </w:rPr>
        <w:t>f</w:t>
      </w:r>
      <w:r w:rsidRPr="006276E9">
        <w:rPr>
          <w:rFonts w:ascii="Arial" w:eastAsia="Arial" w:hAnsi="Arial" w:cs="Arial"/>
          <w:color w:val="000000"/>
          <w:sz w:val="24"/>
          <w:szCs w:val="24"/>
          <w:highlight w:val="yellow"/>
        </w:rPr>
        <w:t>iquem</w:t>
      </w:r>
      <w:proofErr w:type="gramEnd"/>
      <w:r w:rsidRPr="006276E9">
        <w:rPr>
          <w:rFonts w:ascii="Arial" w:eastAsia="Arial" w:hAnsi="Arial" w:cs="Arial"/>
          <w:color w:val="000000"/>
          <w:sz w:val="24"/>
          <w:szCs w:val="24"/>
          <w:highlight w:val="yellow"/>
        </w:rPr>
        <w:t xml:space="preserve">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sidRPr="006276E9">
        <w:rPr>
          <w:rFonts w:ascii="Arial" w:eastAsia="Arial" w:hAnsi="Arial" w:cs="Arial"/>
          <w:color w:val="000000"/>
          <w:sz w:val="24"/>
          <w:szCs w:val="24"/>
          <w:highlight w:val="yellow"/>
        </w:rPr>
        <w:lastRenderedPageBreak/>
        <w:t>seja</w:t>
      </w:r>
      <w:proofErr w:type="gramEnd"/>
      <w:r w:rsidRPr="006276E9">
        <w:rPr>
          <w:rFonts w:ascii="Arial" w:eastAsia="Arial" w:hAnsi="Arial" w:cs="Arial"/>
          <w:color w:val="000000"/>
          <w:sz w:val="24"/>
          <w:szCs w:val="24"/>
          <w:highlight w:val="yellow"/>
        </w:rPr>
        <w:t xml:space="preserve">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roofErr w:type="gramStart"/>
      <w:r w:rsidRPr="006276E9">
        <w:rPr>
          <w:rFonts w:ascii="Arial" w:eastAsia="Arial" w:hAnsi="Arial" w:cs="Arial"/>
          <w:color w:val="000000"/>
          <w:sz w:val="24"/>
          <w:szCs w:val="24"/>
          <w:highlight w:val="yellow"/>
        </w:rPr>
        <w:t>seja</w:t>
      </w:r>
      <w:proofErr w:type="gramEnd"/>
      <w:r w:rsidRPr="006276E9">
        <w:rPr>
          <w:rFonts w:ascii="Arial" w:eastAsia="Arial" w:hAnsi="Arial" w:cs="Arial"/>
          <w:color w:val="000000"/>
          <w:sz w:val="24"/>
          <w:szCs w:val="24"/>
          <w:highlight w:val="yellow"/>
        </w:rPr>
        <w:t xml:space="preserve">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42F0EB7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35496D5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presididas por um dos condôminos presente, escolhido por aclamação, que solicitará o auxílio de outra pessoa para secretariar os trabalhos e lavrar a ata respectiva, sendo defeso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17C1A91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 xml:space="preserve">Para eleição do </w:t>
      </w:r>
      <w:r w:rsidR="00772795">
        <w:rPr>
          <w:rFonts w:ascii="Arial" w:eastAsia="Arial" w:hAnsi="Arial" w:cs="Arial"/>
          <w:sz w:val="24"/>
          <w:szCs w:val="24"/>
        </w:rPr>
        <w:t>Síndico</w:t>
      </w:r>
      <w:r>
        <w:rPr>
          <w:rFonts w:ascii="Arial" w:eastAsia="Arial" w:hAnsi="Arial" w:cs="Arial"/>
          <w:sz w:val="24"/>
          <w:szCs w:val="24"/>
        </w:rPr>
        <w:t xml:space="preserv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3FC83A40"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 xml:space="preserve">através do recebimento dos votos via chat, na qual o mediador registrará os votos dos participantes virtuais e os entregará ao </w:t>
      </w:r>
      <w:r w:rsidR="00772795">
        <w:rPr>
          <w:rFonts w:ascii="Arial" w:eastAsia="Arial" w:hAnsi="Arial" w:cs="Arial"/>
          <w:color w:val="000000"/>
          <w:sz w:val="24"/>
          <w:szCs w:val="24"/>
          <w:highlight w:val="yellow"/>
        </w:rPr>
        <w:t>Síndico</w:t>
      </w:r>
      <w:r w:rsidRPr="00F72DD7">
        <w:rPr>
          <w:rFonts w:ascii="Arial" w:eastAsia="Arial" w:hAnsi="Arial" w:cs="Arial"/>
          <w:color w:val="000000"/>
          <w:sz w:val="24"/>
          <w:szCs w:val="24"/>
          <w:highlight w:val="yellow"/>
        </w:rPr>
        <w:t xml:space="preserv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226C737F" w14:textId="358AAD1C" w:rsidR="00920862" w:rsidRPr="00F323F1" w:rsidRDefault="001D365A"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Deverá ser disponibilizado na assembleia eleitoral</w:t>
      </w:r>
      <w:r w:rsidR="00F323F1">
        <w:rPr>
          <w:rFonts w:ascii="Arial" w:eastAsia="Arial" w:hAnsi="Arial" w:cs="Arial"/>
          <w:bCs/>
          <w:color w:val="000000"/>
          <w:sz w:val="24"/>
          <w:szCs w:val="24"/>
          <w:highlight w:val="yellow"/>
        </w:rPr>
        <w:t>,</w:t>
      </w:r>
      <w:r w:rsidR="00920862" w:rsidRPr="00F323F1">
        <w:rPr>
          <w:rFonts w:ascii="Arial" w:eastAsia="Arial" w:hAnsi="Arial" w:cs="Arial"/>
          <w:bCs/>
          <w:color w:val="000000"/>
          <w:sz w:val="24"/>
          <w:szCs w:val="24"/>
          <w:highlight w:val="yellow"/>
        </w:rPr>
        <w:t xml:space="preserve"> para </w:t>
      </w:r>
      <w:r w:rsidR="00F323F1">
        <w:rPr>
          <w:rFonts w:ascii="Arial" w:eastAsia="Arial" w:hAnsi="Arial" w:cs="Arial"/>
          <w:bCs/>
          <w:color w:val="000000"/>
          <w:sz w:val="24"/>
          <w:szCs w:val="24"/>
          <w:highlight w:val="yellow"/>
        </w:rPr>
        <w:t xml:space="preserve">os </w:t>
      </w:r>
      <w:r w:rsidR="00920862" w:rsidRPr="00F323F1">
        <w:rPr>
          <w:rFonts w:ascii="Arial" w:eastAsia="Arial" w:hAnsi="Arial" w:cs="Arial"/>
          <w:bCs/>
          <w:color w:val="000000"/>
          <w:sz w:val="24"/>
          <w:szCs w:val="24"/>
          <w:highlight w:val="yellow"/>
        </w:rPr>
        <w:t>eleitores que não possuem acesso aos recursos</w:t>
      </w:r>
      <w:r w:rsidR="008F403A" w:rsidRPr="00F323F1">
        <w:rPr>
          <w:rFonts w:ascii="Arial" w:eastAsia="Arial" w:hAnsi="Arial" w:cs="Arial"/>
          <w:bCs/>
          <w:color w:val="000000"/>
          <w:sz w:val="24"/>
          <w:szCs w:val="24"/>
          <w:highlight w:val="yellow"/>
        </w:rPr>
        <w:t xml:space="preserve"> </w:t>
      </w:r>
      <w:r w:rsidR="00B96420" w:rsidRPr="00F323F1">
        <w:rPr>
          <w:rFonts w:ascii="Arial" w:eastAsia="Arial" w:hAnsi="Arial" w:cs="Arial"/>
          <w:bCs/>
          <w:color w:val="000000"/>
          <w:sz w:val="24"/>
          <w:szCs w:val="24"/>
          <w:highlight w:val="yellow"/>
        </w:rPr>
        <w:t xml:space="preserve">necessários para realizar o seu voto, </w:t>
      </w:r>
      <w:r w:rsidR="008F403A" w:rsidRPr="00F323F1">
        <w:rPr>
          <w:rFonts w:ascii="Arial" w:eastAsia="Arial" w:hAnsi="Arial" w:cs="Arial"/>
          <w:bCs/>
          <w:color w:val="000000"/>
          <w:sz w:val="24"/>
          <w:szCs w:val="24"/>
          <w:highlight w:val="yellow"/>
        </w:rPr>
        <w:t>os recursos abaixo</w:t>
      </w:r>
      <w:r w:rsidR="00920862" w:rsidRPr="00F323F1">
        <w:rPr>
          <w:rFonts w:ascii="Arial" w:eastAsia="Arial" w:hAnsi="Arial" w:cs="Arial"/>
          <w:bCs/>
          <w:color w:val="000000"/>
          <w:sz w:val="24"/>
          <w:szCs w:val="24"/>
          <w:highlight w:val="yellow"/>
        </w:rPr>
        <w:t>:</w:t>
      </w:r>
    </w:p>
    <w:p w14:paraId="5004DFA5" w14:textId="77777777" w:rsidR="00B96420" w:rsidRPr="00920862"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 xml:space="preserve">Não poderá participar, votar ou ser votado o condômino ou morador inadimplente com as taxas condominiais e encargos, permitida a sua regularização até 24h (vinte e quatro horas) antes do horário de início das assembleias, devendo comprovar </w:t>
      </w:r>
      <w:proofErr w:type="spellStart"/>
      <w:r>
        <w:rPr>
          <w:rFonts w:ascii="Arial" w:eastAsia="Arial" w:hAnsi="Arial" w:cs="Arial"/>
          <w:sz w:val="24"/>
          <w:szCs w:val="24"/>
        </w:rPr>
        <w:t>esta</w:t>
      </w:r>
      <w:proofErr w:type="spellEnd"/>
      <w:r>
        <w:rPr>
          <w:rFonts w:ascii="Arial" w:eastAsia="Arial" w:hAnsi="Arial" w:cs="Arial"/>
          <w:sz w:val="24"/>
          <w:szCs w:val="24"/>
        </w:rPr>
        <w:t xml:space="preserve">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5E7C0020"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 Fiscal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717B384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2EAF6B2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e do conselh</w:t>
      </w:r>
      <w:r w:rsidR="001E6072">
        <w:rPr>
          <w:rFonts w:ascii="Arial" w:eastAsia="Arial" w:hAnsi="Arial" w:cs="Arial"/>
          <w:sz w:val="24"/>
          <w:szCs w:val="24"/>
        </w:rPr>
        <w:t>o</w:t>
      </w:r>
      <w:r>
        <w:rPr>
          <w:rFonts w:ascii="Arial" w:eastAsia="Arial" w:hAnsi="Arial" w:cs="Arial"/>
          <w:sz w:val="24"/>
          <w:szCs w:val="24"/>
        </w:rPr>
        <w:t xml:space="preserve"> fiscal em prejuízo de um condômino, cabe recurso à assembleia geral extraordinária solicitada pelo condômino prejudicado e obrigatoriamente convocada pelo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34D4360B"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2/3 (dois terços) dos condôminos para: Destituição do </w:t>
      </w:r>
      <w:r w:rsidR="00772795">
        <w:rPr>
          <w:rFonts w:ascii="Arial" w:eastAsia="Arial" w:hAnsi="Arial" w:cs="Arial"/>
          <w:color w:val="000000"/>
          <w:sz w:val="24"/>
          <w:szCs w:val="24"/>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02AE52A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840F5B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55F30AE6"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sz w:val="24"/>
          <w:szCs w:val="24"/>
        </w:rPr>
        <w:t>Síndico</w:t>
      </w:r>
      <w:r>
        <w:rPr>
          <w:rFonts w:ascii="Arial" w:eastAsia="Arial" w:hAnsi="Arial" w:cs="Arial"/>
          <w:sz w:val="24"/>
          <w:szCs w:val="24"/>
        </w:rPr>
        <w:t xml:space="preserve"> poderá declarar a assembleia em caráter permanente caso exista matéria pendente de votação e para a qual não haja o quórum necessário </w:t>
      </w:r>
      <w:proofErr w:type="gramStart"/>
      <w:r>
        <w:rPr>
          <w:rFonts w:ascii="Arial" w:eastAsia="Arial" w:hAnsi="Arial" w:cs="Arial"/>
          <w:sz w:val="24"/>
          <w:szCs w:val="24"/>
        </w:rPr>
        <w:t>a</w:t>
      </w:r>
      <w:proofErr w:type="gramEnd"/>
      <w:r>
        <w:rPr>
          <w:rFonts w:ascii="Arial" w:eastAsia="Arial" w:hAnsi="Arial" w:cs="Arial"/>
          <w:sz w:val="24"/>
          <w:szCs w:val="24"/>
        </w:rPr>
        <w:t xml:space="preserve">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5" w:name="_Toc189642738"/>
      <w:r w:rsidRPr="00122615">
        <w:rPr>
          <w:rFonts w:ascii="Arial" w:eastAsia="Arial" w:hAnsi="Arial" w:cs="Arial"/>
          <w:b/>
          <w:color w:val="000000"/>
          <w:highlight w:val="yellow"/>
          <w:u w:val="single"/>
        </w:rPr>
        <w:t>DA DIRETORIA EXECUTIVA</w:t>
      </w:r>
      <w:bookmarkEnd w:id="5"/>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61257FC2"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Síndico</w:t>
      </w:r>
      <w:r w:rsidR="00812305">
        <w:rPr>
          <w:rFonts w:ascii="Arial" w:eastAsia="Arial" w:hAnsi="Arial" w:cs="Arial"/>
          <w:color w:val="000000"/>
          <w:sz w:val="24"/>
          <w:szCs w:val="24"/>
        </w:rPr>
        <w:t>;</w:t>
      </w:r>
    </w:p>
    <w:p w14:paraId="10F3FF5A" w14:textId="63B13E44"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w:t>
      </w:r>
      <w:r w:rsidRPr="00772795">
        <w:rPr>
          <w:rFonts w:ascii="Arial" w:eastAsia="Arial" w:hAnsi="Arial" w:cs="Arial"/>
          <w:color w:val="000000"/>
          <w:sz w:val="24"/>
          <w:szCs w:val="24"/>
        </w:rPr>
        <w:t>ubsíndico</w:t>
      </w:r>
      <w:r w:rsidR="00812305">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proprietários de fração ideal, adimplentes e eleitos em Assembleia Geral Ordinária para uma gestão de 02 (dois) anos, permitida a reeleição por 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52AE4E2"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513C12C3" w14:textId="20F81B5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08A8AF91" w14:textId="00B3FCEA"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lastRenderedPageBreak/>
        <w:t>Convocar</w:t>
      </w:r>
      <w:r w:rsidR="00122615" w:rsidRPr="00122615">
        <w:rPr>
          <w:rFonts w:ascii="Arial" w:eastAsia="Arial" w:hAnsi="Arial" w:cs="Arial"/>
          <w:color w:val="000000"/>
          <w:sz w:val="24"/>
          <w:szCs w:val="24"/>
          <w:highlight w:val="yellow"/>
        </w:rPr>
        <w:t xml:space="preserve"> 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0641A77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 xml:space="preserve">poderá criar </w:t>
      </w:r>
      <w:r w:rsidRPr="000D083B">
        <w:rPr>
          <w:rFonts w:ascii="Arial" w:eastAsia="Arial" w:hAnsi="Arial" w:cs="Arial"/>
          <w:b/>
          <w:color w:val="000000"/>
          <w:sz w:val="24"/>
          <w:szCs w:val="24"/>
          <w:highlight w:val="yellow"/>
        </w:rPr>
        <w:t>comissões</w:t>
      </w:r>
      <w:r>
        <w:rPr>
          <w:rFonts w:ascii="Arial" w:eastAsia="Arial" w:hAnsi="Arial" w:cs="Arial"/>
          <w:color w:val="000000"/>
          <w:sz w:val="24"/>
          <w:szCs w:val="24"/>
          <w:highlight w:val="yellow"/>
        </w:rPr>
        <w:t xml:space="preserve"> </w:t>
      </w:r>
      <w:r w:rsidRPr="000D083B">
        <w:rPr>
          <w:rFonts w:ascii="Arial" w:eastAsia="Arial" w:hAnsi="Arial" w:cs="Arial"/>
          <w:b/>
          <w:color w:val="000000"/>
          <w:sz w:val="24"/>
          <w:szCs w:val="24"/>
          <w:highlight w:val="yellow"/>
        </w:rPr>
        <w:t>especializadas</w:t>
      </w:r>
      <w:r>
        <w:rPr>
          <w:rFonts w:ascii="Arial" w:eastAsia="Arial" w:hAnsi="Arial" w:cs="Arial"/>
          <w:color w:val="000000"/>
          <w:sz w:val="24"/>
          <w:szCs w:val="24"/>
          <w:highlight w:val="yellow"/>
        </w:rPr>
        <w:t xml:space="preserve">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Uma comissão especializada é um grupo formado para analisar, estudar, deliberar ou executar tarefas específicas em um determinado âmbito. Seu trabalho 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lastRenderedPageBreak/>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30E35282"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t xml:space="preserve">Parágrafo Terceiro – </w:t>
      </w:r>
      <w:r w:rsidRPr="00EB77A3">
        <w:rPr>
          <w:rFonts w:ascii="Arial" w:eastAsia="Arial" w:hAnsi="Arial" w:cs="Arial"/>
          <w:sz w:val="24"/>
          <w:szCs w:val="24"/>
          <w:highlight w:val="yellow"/>
        </w:rPr>
        <w:t xml:space="preserve">As comissões poderão ser prorrogadas por apenas um período somente, através de pedido formal direcionado ao </w:t>
      </w:r>
      <w:r w:rsidR="00772795">
        <w:rPr>
          <w:rFonts w:ascii="Arial" w:eastAsia="Arial" w:hAnsi="Arial" w:cs="Arial"/>
          <w:sz w:val="24"/>
          <w:szCs w:val="24"/>
          <w:highlight w:val="yellow"/>
        </w:rPr>
        <w:t>Síndico</w:t>
      </w:r>
      <w:r w:rsidRPr="00EB77A3">
        <w:rPr>
          <w:rFonts w:ascii="Arial" w:eastAsia="Arial" w:hAnsi="Arial" w:cs="Arial"/>
          <w:sz w:val="24"/>
          <w:szCs w:val="24"/>
          <w:highlight w:val="yellow"/>
        </w:rPr>
        <w:t xml:space="preserv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3C1514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 xml:space="preserve">Diretoria </w:t>
      </w:r>
      <w:r w:rsidR="00A841BC" w:rsidRPr="00A841BC">
        <w:rPr>
          <w:rFonts w:ascii="Arial" w:eastAsia="Arial" w:hAnsi="Arial" w:cs="Arial"/>
          <w:sz w:val="24"/>
          <w:szCs w:val="24"/>
          <w:highlight w:val="yellow"/>
        </w:rPr>
        <w:lastRenderedPageBreak/>
        <w:t>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34A16959" w:rsidR="009A5804" w:rsidRDefault="001B344A" w:rsidP="007F1C60">
      <w:pPr>
        <w:spacing w:before="80" w:after="8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 Conselho Fiscal.</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43C20E3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Pr>
          <w:rFonts w:ascii="Arial" w:eastAsia="Arial" w:hAnsi="Arial" w:cs="Arial"/>
          <w:color w:val="000000"/>
          <w:sz w:val="24"/>
          <w:szCs w:val="24"/>
        </w:rPr>
        <w:t>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 xml:space="preserve">sempre que houver necessidade de afastamento do </w:t>
      </w:r>
      <w:r w:rsidR="00772795">
        <w:rPr>
          <w:rFonts w:ascii="Arial" w:eastAsia="Arial" w:hAnsi="Arial" w:cs="Arial"/>
          <w:color w:val="000000"/>
          <w:sz w:val="24"/>
          <w:szCs w:val="24"/>
        </w:rPr>
        <w:t>Síndico</w:t>
      </w:r>
      <w:r w:rsidR="00647022">
        <w:rPr>
          <w:rFonts w:ascii="Arial" w:eastAsia="Arial" w:hAnsi="Arial" w:cs="Arial"/>
          <w:color w:val="000000"/>
          <w:sz w:val="24"/>
          <w:szCs w:val="24"/>
        </w:rPr>
        <w:t>, seja por necessidades de saúde, pessoal, ou descanso não remunerado</w:t>
      </w:r>
      <w:r>
        <w:rPr>
          <w:rFonts w:ascii="Arial" w:eastAsia="Arial" w:hAnsi="Arial" w:cs="Arial"/>
          <w:color w:val="000000"/>
          <w:sz w:val="24"/>
          <w:szCs w:val="24"/>
        </w:rPr>
        <w:t>.</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00772795">
        <w:rPr>
          <w:rFonts w:ascii="Arial" w:eastAsia="Arial" w:hAnsi="Arial" w:cs="Arial"/>
          <w:color w:val="000000"/>
          <w:sz w:val="24"/>
          <w:szCs w:val="24"/>
          <w:highlight w:val="yellow"/>
        </w:rPr>
        <w:t>Síndico</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7BE74EFC" w14:textId="4AC1C2EC"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O Síndico poderá se afastar </w:t>
      </w:r>
      <w:r>
        <w:rPr>
          <w:rFonts w:ascii="Arial" w:eastAsia="Arial" w:hAnsi="Arial" w:cs="Arial"/>
          <w:color w:val="000000"/>
          <w:sz w:val="24"/>
          <w:szCs w:val="24"/>
        </w:rPr>
        <w:t xml:space="preserve">por necessidades de saúde, necessidades pessoais ou descanso não remunerado. Para a situação de afastamento não remunerado, o sindico deverá comunicar o Subsíndico e o conselho </w:t>
      </w:r>
      <w:r w:rsidR="001E6072">
        <w:rPr>
          <w:rFonts w:ascii="Arial" w:eastAsia="Arial" w:hAnsi="Arial" w:cs="Arial"/>
          <w:color w:val="000000"/>
          <w:sz w:val="24"/>
          <w:szCs w:val="24"/>
        </w:rPr>
        <w:t>fiscal</w:t>
      </w:r>
      <w:r>
        <w:rPr>
          <w:rFonts w:ascii="Arial" w:eastAsia="Arial" w:hAnsi="Arial" w:cs="Arial"/>
          <w:color w:val="000000"/>
          <w:sz w:val="24"/>
          <w:szCs w:val="24"/>
        </w:rPr>
        <w:t xml:space="preserve"> com antecedência mínima de 15 dias</w:t>
      </w:r>
      <w:r w:rsidR="00144E6F">
        <w:rPr>
          <w:rFonts w:ascii="Arial" w:eastAsia="Arial" w:hAnsi="Arial" w:cs="Arial"/>
          <w:color w:val="000000"/>
          <w:sz w:val="24"/>
          <w:szCs w:val="24"/>
        </w:rPr>
        <w:t xml:space="preserve">, informando o </w:t>
      </w:r>
      <w:r>
        <w:rPr>
          <w:rFonts w:ascii="Arial" w:eastAsia="Arial" w:hAnsi="Arial" w:cs="Arial"/>
          <w:color w:val="000000"/>
          <w:sz w:val="24"/>
          <w:szCs w:val="24"/>
        </w:rPr>
        <w:t>período de afastamento.</w:t>
      </w:r>
    </w:p>
    <w:p w14:paraId="24E2F7E7" w14:textId="77777777" w:rsidR="00647022" w:rsidRDefault="00647022" w:rsidP="00647022">
      <w:pPr>
        <w:spacing w:before="80" w:after="80" w:line="240" w:lineRule="auto"/>
        <w:jc w:val="both"/>
        <w:rPr>
          <w:rFonts w:ascii="Arial" w:eastAsia="Arial" w:hAnsi="Arial" w:cs="Arial"/>
          <w:color w:val="000000"/>
          <w:sz w:val="24"/>
          <w:szCs w:val="24"/>
        </w:rPr>
      </w:pPr>
    </w:p>
    <w:p w14:paraId="73CE18EC" w14:textId="229B3E66"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segundo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 xml:space="preserve">assumir, provisoriamente a administração do Condomínio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Fiscal.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1053D2EF"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Terceiro</w:t>
      </w:r>
      <w:r>
        <w:rPr>
          <w:rFonts w:ascii="Arial" w:eastAsia="Arial" w:hAnsi="Arial" w:cs="Arial"/>
          <w:sz w:val="24"/>
          <w:szCs w:val="24"/>
        </w:rPr>
        <w:t xml:space="preserve"> – O afastamento</w:t>
      </w:r>
      <w:r w:rsidR="00144E6F">
        <w:rPr>
          <w:rFonts w:ascii="Arial" w:eastAsia="Arial" w:hAnsi="Arial" w:cs="Arial"/>
          <w:sz w:val="24"/>
          <w:szCs w:val="24"/>
        </w:rPr>
        <w:t xml:space="preserve"> definitivo</w:t>
      </w:r>
      <w:r>
        <w:rPr>
          <w:rFonts w:ascii="Arial" w:eastAsia="Arial" w:hAnsi="Arial" w:cs="Arial"/>
          <w:sz w:val="24"/>
          <w:szCs w:val="24"/>
        </w:rPr>
        <w:t xml:space="preserve"> do </w:t>
      </w:r>
      <w:r w:rsidR="00772795">
        <w:rPr>
          <w:rFonts w:ascii="Arial" w:eastAsia="Arial" w:hAnsi="Arial" w:cs="Arial"/>
          <w:color w:val="000000"/>
          <w:sz w:val="24"/>
          <w:szCs w:val="24"/>
          <w:highlight w:val="yellow"/>
        </w:rPr>
        <w:t>Síndico</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59A5FC7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772795">
        <w:rPr>
          <w:rFonts w:ascii="Arial" w:eastAsia="Arial" w:hAnsi="Arial" w:cs="Arial"/>
          <w:color w:val="000000"/>
          <w:sz w:val="24"/>
          <w:szCs w:val="24"/>
          <w:highlight w:val="yellow"/>
        </w:rPr>
        <w:t>Síndico</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6BB9479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1EF6950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1A955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Compete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3B0F4AEB"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 Conselho Fiscal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77D14721"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Compete ao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8844483"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772795">
        <w:rPr>
          <w:rFonts w:ascii="Arial" w:eastAsia="Arial" w:hAnsi="Arial" w:cs="Arial"/>
          <w:color w:val="000000"/>
          <w:sz w:val="24"/>
          <w:szCs w:val="24"/>
        </w:rPr>
        <w:t>Síndico</w:t>
      </w:r>
      <w:r w:rsidR="00691FB6">
        <w:rPr>
          <w:rFonts w:ascii="Arial" w:eastAsia="Arial" w:hAnsi="Arial" w:cs="Arial"/>
          <w:color w:val="000000"/>
          <w:sz w:val="24"/>
          <w:szCs w:val="24"/>
        </w:rPr>
        <w:t xml:space="preserv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5F73E6D4"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lastRenderedPageBreak/>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 xml:space="preserve">e Regimento, assinar com o </w:t>
      </w:r>
      <w:r w:rsidR="00772795">
        <w:rPr>
          <w:rFonts w:ascii="Arial" w:eastAsia="Arial" w:hAnsi="Arial" w:cs="Arial"/>
          <w:color w:val="000000"/>
          <w:sz w:val="24"/>
          <w:szCs w:val="24"/>
        </w:rPr>
        <w:t>Síndico</w:t>
      </w:r>
      <w:r w:rsidRPr="00BC7E42">
        <w:rPr>
          <w:rFonts w:ascii="Arial" w:eastAsia="Arial" w:hAnsi="Arial" w:cs="Arial"/>
          <w:color w:val="000000"/>
          <w:sz w:val="24"/>
          <w:szCs w:val="24"/>
        </w:rPr>
        <w:t xml:space="preserve"> os documentos correlatos</w:t>
      </w:r>
      <w:r w:rsidR="001E6072">
        <w:rPr>
          <w:rFonts w:ascii="Arial" w:eastAsia="Arial" w:hAnsi="Arial" w:cs="Arial"/>
          <w:color w:val="000000"/>
          <w:sz w:val="24"/>
          <w:szCs w:val="24"/>
        </w:rPr>
        <w:t>, tais como pagamentos de fornecedores, de pessoal, entre outros</w:t>
      </w:r>
      <w:r w:rsidRPr="00BC7E42">
        <w:rPr>
          <w:rFonts w:ascii="Arial" w:eastAsia="Arial" w:hAnsi="Arial" w:cs="Arial"/>
          <w:color w:val="000000"/>
          <w:sz w:val="24"/>
          <w:szCs w:val="24"/>
        </w:rPr>
        <w:t>.</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 xml:space="preserve">Manter em dia a escrituração contábil da entidade na forma do disposto no Estatuto e organizar o balancete mensal da Tesouraria até o 10° dia útil do mês </w:t>
      </w:r>
      <w:proofErr w:type="spellStart"/>
      <w:r w:rsidRPr="00BC7E42">
        <w:rPr>
          <w:rFonts w:ascii="Arial" w:eastAsia="Arial" w:hAnsi="Arial" w:cs="Arial"/>
          <w:color w:val="000000"/>
          <w:sz w:val="24"/>
          <w:szCs w:val="24"/>
        </w:rPr>
        <w:t>subseqüente</w:t>
      </w:r>
      <w:proofErr w:type="spellEnd"/>
      <w:r w:rsidRPr="00BC7E42">
        <w:rPr>
          <w:rFonts w:ascii="Arial" w:eastAsia="Arial" w:hAnsi="Arial" w:cs="Arial"/>
          <w:color w:val="000000"/>
          <w:sz w:val="24"/>
          <w:szCs w:val="24"/>
        </w:rPr>
        <w:t>.</w:t>
      </w:r>
    </w:p>
    <w:p w14:paraId="31C16CFB" w14:textId="0C2712E4" w:rsidR="00122615"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 xml:space="preserve">Preparar e apresentar a escrituração do Balanço Geral da Receita e da Despesa anual, até o 10° dia útil do mês </w:t>
      </w:r>
      <w:proofErr w:type="spellStart"/>
      <w:r w:rsidRPr="00BC7E42">
        <w:rPr>
          <w:rFonts w:ascii="Arial" w:eastAsia="Arial" w:hAnsi="Arial" w:cs="Arial"/>
          <w:color w:val="000000"/>
          <w:sz w:val="24"/>
          <w:szCs w:val="24"/>
        </w:rPr>
        <w:t>subseqüente</w:t>
      </w:r>
      <w:proofErr w:type="spellEnd"/>
      <w:r w:rsidRPr="00BC7E42">
        <w:rPr>
          <w:rFonts w:ascii="Arial" w:eastAsia="Arial" w:hAnsi="Arial" w:cs="Arial"/>
          <w:color w:val="000000"/>
          <w:sz w:val="24"/>
          <w:szCs w:val="24"/>
        </w:rPr>
        <w:t>.</w:t>
      </w:r>
    </w:p>
    <w:p w14:paraId="520C6408" w14:textId="6EF62679" w:rsidR="001E6072" w:rsidRPr="00BC7E42" w:rsidRDefault="001E6072"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É de responsabilidade do Tesoureiro o controle financeiro do condomínio.</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6" w:name="_Toc189642739"/>
      <w:r>
        <w:rPr>
          <w:rFonts w:ascii="Arial" w:eastAsia="Arial" w:hAnsi="Arial" w:cs="Arial"/>
          <w:b/>
          <w:color w:val="000000"/>
          <w:u w:val="single"/>
        </w:rPr>
        <w:t>DO CONSELHO FISCAL</w:t>
      </w:r>
      <w:bookmarkEnd w:id="6"/>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6C329F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Os membros eleitos entre si indicarão o </w:t>
      </w:r>
      <w:r w:rsidR="00144E6F">
        <w:rPr>
          <w:rFonts w:ascii="Arial" w:eastAsia="Arial" w:hAnsi="Arial" w:cs="Arial"/>
          <w:sz w:val="24"/>
          <w:szCs w:val="24"/>
        </w:rPr>
        <w:t>Presidente</w:t>
      </w:r>
      <w:r>
        <w:rPr>
          <w:rFonts w:ascii="Arial" w:eastAsia="Arial" w:hAnsi="Arial" w:cs="Arial"/>
          <w:sz w:val="24"/>
          <w:szCs w:val="24"/>
        </w:rPr>
        <w:t>.</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7D33259F"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772795">
        <w:rPr>
          <w:rFonts w:ascii="Arial" w:eastAsia="Arial" w:hAnsi="Arial" w:cs="Arial"/>
          <w:color w:val="000000"/>
          <w:sz w:val="24"/>
          <w:szCs w:val="24"/>
          <w:highlight w:val="yellow"/>
        </w:rPr>
        <w:t>Síndico</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7919E2C"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na solução dos problemas rotineiros e nos casos de urgência;</w:t>
      </w:r>
    </w:p>
    <w:p w14:paraId="02805DB7" w14:textId="354BD5E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envolvem o relacionamento do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1AC53804"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4E89BB2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6DE7C30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rsidP="007F1C60">
      <w:pPr>
        <w:spacing w:before="80" w:after="80" w:line="240" w:lineRule="auto"/>
        <w:jc w:val="both"/>
        <w:rPr>
          <w:rFonts w:ascii="Arial" w:eastAsia="Arial" w:hAnsi="Arial" w:cs="Arial"/>
          <w:b/>
          <w:sz w:val="24"/>
          <w:szCs w:val="24"/>
        </w:rPr>
      </w:pP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7" w:name="_Toc189642740"/>
      <w:r>
        <w:rPr>
          <w:rFonts w:ascii="Arial" w:eastAsia="Arial" w:hAnsi="Arial" w:cs="Arial"/>
          <w:b/>
          <w:color w:val="000000"/>
          <w:u w:val="single"/>
        </w:rPr>
        <w:t>DO PROCESSO ELEITORAL</w:t>
      </w:r>
      <w:bookmarkEnd w:id="7"/>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07C38A24"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sidR="001E6072">
        <w:rPr>
          <w:rFonts w:ascii="Arial" w:eastAsia="Arial" w:hAnsi="Arial" w:cs="Arial"/>
          <w:color w:val="000000"/>
          <w:sz w:val="24"/>
          <w:szCs w:val="24"/>
        </w:rPr>
        <w:t xml:space="preserve"> e</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289CCE69"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00772795">
        <w:rPr>
          <w:rFonts w:ascii="Arial" w:eastAsia="Arial" w:hAnsi="Arial" w:cs="Arial"/>
          <w:color w:val="000000"/>
          <w:sz w:val="24"/>
          <w:szCs w:val="24"/>
          <w:highlight w:val="yellow"/>
        </w:rPr>
        <w:t>Síndico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8" w:name="_Hlk188770723"/>
      <w:r w:rsidRPr="00596367">
        <w:rPr>
          <w:rFonts w:ascii="Arial" w:eastAsia="Arial" w:hAnsi="Arial" w:cs="Arial"/>
          <w:color w:val="000000"/>
          <w:sz w:val="24"/>
          <w:szCs w:val="24"/>
          <w:highlight w:val="yellow"/>
        </w:rPr>
        <w:t xml:space="preserve">no mínimo 15 (quinze) dias </w:t>
      </w:r>
      <w:bookmarkEnd w:id="8"/>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CCCF95A"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De igual forma os condôminos interessados em se candidatar ao cargo</w:t>
      </w:r>
      <w:r w:rsidR="001E6072">
        <w:rPr>
          <w:rFonts w:ascii="Arial" w:eastAsia="Arial" w:hAnsi="Arial" w:cs="Arial"/>
          <w:color w:val="000000"/>
          <w:sz w:val="24"/>
          <w:szCs w:val="24"/>
        </w:rPr>
        <w:t xml:space="preserve"> de conselheiro</w:t>
      </w:r>
      <w:r>
        <w:rPr>
          <w:rFonts w:ascii="Arial" w:eastAsia="Arial" w:hAnsi="Arial" w:cs="Arial"/>
          <w:color w:val="000000"/>
          <w:sz w:val="24"/>
          <w:szCs w:val="24"/>
        </w:rPr>
        <w:t xml:space="preserve"> fiscal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estar endereçado ao condomínio, conter </w:t>
      </w:r>
      <w:proofErr w:type="gramStart"/>
      <w:r>
        <w:rPr>
          <w:rFonts w:ascii="Arial" w:eastAsia="Arial" w:hAnsi="Arial" w:cs="Arial"/>
          <w:color w:val="000000"/>
          <w:sz w:val="24"/>
          <w:szCs w:val="24"/>
        </w:rPr>
        <w:t>o(</w:t>
      </w:r>
      <w:proofErr w:type="gramEnd"/>
      <w:r>
        <w:rPr>
          <w:rFonts w:ascii="Arial" w:eastAsia="Arial" w:hAnsi="Arial" w:cs="Arial"/>
          <w:color w:val="000000"/>
          <w:sz w:val="24"/>
          <w:szCs w:val="24"/>
        </w:rPr>
        <w:t>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61E5FCA6"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terá o direito de acesso a listagem de condôminos contendo apenas o nome completo </w:t>
      </w:r>
      <w:proofErr w:type="gramStart"/>
      <w:r>
        <w:rPr>
          <w:rFonts w:ascii="Arial" w:eastAsia="Arial" w:hAnsi="Arial" w:cs="Arial"/>
          <w:color w:val="000000"/>
          <w:sz w:val="24"/>
          <w:szCs w:val="24"/>
        </w:rPr>
        <w:t>do(</w:t>
      </w:r>
      <w:proofErr w:type="gramEnd"/>
      <w:r>
        <w:rPr>
          <w:rFonts w:ascii="Arial" w:eastAsia="Arial" w:hAnsi="Arial" w:cs="Arial"/>
          <w:color w:val="000000"/>
          <w:sz w:val="24"/>
          <w:szCs w:val="24"/>
        </w:rPr>
        <w:t>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9" w:name="_Toc189642741"/>
      <w:r>
        <w:rPr>
          <w:rFonts w:ascii="Arial" w:eastAsia="Arial" w:hAnsi="Arial" w:cs="Arial"/>
          <w:b/>
          <w:color w:val="000000"/>
          <w:u w:val="single"/>
        </w:rPr>
        <w:t>DO SEGURO</w:t>
      </w:r>
      <w:bookmarkEnd w:id="9"/>
    </w:p>
    <w:p w14:paraId="3F5922C6" w14:textId="77777777" w:rsidR="009A5804" w:rsidRDefault="009A5804" w:rsidP="007F1C60">
      <w:pPr>
        <w:spacing w:before="80" w:after="80" w:line="240" w:lineRule="auto"/>
      </w:pPr>
    </w:p>
    <w:p w14:paraId="5997E8AF" w14:textId="4082CE4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0" w:name="_Toc189642742"/>
      <w:r>
        <w:rPr>
          <w:rFonts w:ascii="Arial" w:eastAsia="Arial" w:hAnsi="Arial" w:cs="Arial"/>
          <w:b/>
          <w:color w:val="000000"/>
          <w:u w:val="single"/>
        </w:rPr>
        <w:t>DO USO DA ÁREA DE LAZER</w:t>
      </w:r>
      <w:bookmarkEnd w:id="10"/>
    </w:p>
    <w:p w14:paraId="34CCD312" w14:textId="77777777" w:rsidR="009A5804" w:rsidRDefault="009A5804" w:rsidP="007F1C60">
      <w:pPr>
        <w:spacing w:before="80" w:after="80" w:line="240" w:lineRule="auto"/>
      </w:pPr>
    </w:p>
    <w:p w14:paraId="30CA3A7F" w14:textId="54765F8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076F394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4DA1D6C9"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1E6072">
        <w:rPr>
          <w:rFonts w:ascii="Arial" w:eastAsia="Arial" w:hAnsi="Arial" w:cs="Arial"/>
          <w:sz w:val="24"/>
          <w:szCs w:val="24"/>
          <w:highlight w:val="yellow"/>
        </w:rPr>
        <w:t>a Diretoria Executiva</w:t>
      </w:r>
      <w:r w:rsidR="008C566A" w:rsidRPr="008C566A">
        <w:rPr>
          <w:rFonts w:ascii="Arial" w:eastAsia="Arial" w:hAnsi="Arial" w:cs="Arial"/>
          <w:sz w:val="24"/>
          <w:szCs w:val="24"/>
          <w:highlight w:val="yellow"/>
        </w:rPr>
        <w:t xml:space="preserve"> </w:t>
      </w:r>
      <w:r w:rsidRPr="008C566A">
        <w:rPr>
          <w:rFonts w:ascii="Arial" w:eastAsia="Arial" w:hAnsi="Arial" w:cs="Arial"/>
          <w:sz w:val="24"/>
          <w:szCs w:val="24"/>
          <w:highlight w:val="yellow"/>
        </w:rPr>
        <w:t>e Conselheiros Fiscais.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760BE21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58314B7F"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9642743"/>
      <w:r>
        <w:rPr>
          <w:rFonts w:ascii="Arial" w:eastAsia="Arial" w:hAnsi="Arial" w:cs="Arial"/>
          <w:b/>
          <w:color w:val="000000"/>
          <w:u w:val="single"/>
        </w:rPr>
        <w:t>DOS DIREITOS E OBRIGAÇÕES</w:t>
      </w:r>
      <w:bookmarkEnd w:id="11"/>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48CCEDAA"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0EA681C"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 xml:space="preserve">erviços de coleta de lixo doméstico, que são todos os tipos de resíduos gerados pelos habitantes das unidades autônomas, que podem ser materiais </w:t>
      </w:r>
      <w:r w:rsidR="001B344A" w:rsidRPr="00D33983">
        <w:rPr>
          <w:rFonts w:ascii="Arial" w:eastAsia="Arial" w:hAnsi="Arial" w:cs="Arial"/>
          <w:color w:val="000000"/>
          <w:sz w:val="24"/>
          <w:szCs w:val="24"/>
        </w:rPr>
        <w:lastRenderedPageBreak/>
        <w:t>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usar as respectivas unidades autônomas, nem </w:t>
      </w:r>
      <w:proofErr w:type="gramStart"/>
      <w:r>
        <w:rPr>
          <w:rFonts w:ascii="Arial" w:eastAsia="Arial" w:hAnsi="Arial" w:cs="Arial"/>
          <w:color w:val="000000"/>
          <w:sz w:val="24"/>
          <w:szCs w:val="24"/>
        </w:rPr>
        <w:t>alugá-las</w:t>
      </w:r>
      <w:proofErr w:type="gramEnd"/>
      <w:r>
        <w:rPr>
          <w:rFonts w:ascii="Arial" w:eastAsia="Arial" w:hAnsi="Arial" w:cs="Arial"/>
          <w:color w:val="000000"/>
          <w:sz w:val="24"/>
          <w:szCs w:val="24"/>
        </w:rPr>
        <w:t xml:space="preserve">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4D24006A"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Contribuir para o custeio e realização de obras autorizadas em Assembleia, bem como das obras ou aquisições de caráter urgente realizado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5DCD72F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4B09B2B4"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Comunicar imediatamente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4114670E"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2BD904E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9642744"/>
      <w:r>
        <w:rPr>
          <w:rFonts w:ascii="Arial" w:eastAsia="Arial" w:hAnsi="Arial" w:cs="Arial"/>
          <w:b/>
          <w:color w:val="000000"/>
          <w:u w:val="single"/>
        </w:rPr>
        <w:t>DAS PENALIDADES</w:t>
      </w:r>
      <w:bookmarkEnd w:id="12"/>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condômino que não efetuar o pagamento de suas taxas de condomínio até o dia do vencimento, se sujeita a uma multa de 2% (dois por cento) sobre o débito mais juros moratórios de 0,33% ao dia, nos termos do art. 1.336, § 1º e 2º, do CC, </w:t>
      </w:r>
      <w:r>
        <w:rPr>
          <w:rFonts w:ascii="Arial" w:eastAsia="Arial" w:hAnsi="Arial" w:cs="Arial"/>
          <w:color w:val="000000"/>
          <w:sz w:val="24"/>
          <w:szCs w:val="24"/>
        </w:rPr>
        <w:lastRenderedPageBreak/>
        <w:t xml:space="preserve">perdendo, ainda, o direito de votar e ser votado em Assembleias, enquanto perdurar a sua </w:t>
      </w:r>
      <w:bookmarkStart w:id="13" w:name="_GoBack"/>
      <w:r>
        <w:rPr>
          <w:rFonts w:ascii="Arial" w:eastAsia="Arial" w:hAnsi="Arial" w:cs="Arial"/>
          <w:color w:val="000000"/>
          <w:sz w:val="24"/>
          <w:szCs w:val="24"/>
        </w:rPr>
        <w:t>inadim</w:t>
      </w:r>
      <w:bookmarkEnd w:id="13"/>
      <w:r>
        <w:rPr>
          <w:rFonts w:ascii="Arial" w:eastAsia="Arial" w:hAnsi="Arial" w:cs="Arial"/>
          <w:color w:val="000000"/>
          <w:sz w:val="24"/>
          <w:szCs w:val="24"/>
        </w:rPr>
        <w:t>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2B4FE1C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9642745"/>
      <w:r>
        <w:rPr>
          <w:rFonts w:ascii="Arial" w:eastAsia="Arial" w:hAnsi="Arial" w:cs="Arial"/>
          <w:b/>
          <w:color w:val="000000"/>
          <w:u w:val="single"/>
        </w:rPr>
        <w:t>DA SEGURANÇA</w:t>
      </w:r>
      <w:bookmarkEnd w:id="14"/>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9642746"/>
      <w:r>
        <w:rPr>
          <w:rFonts w:ascii="Arial" w:eastAsia="Arial" w:hAnsi="Arial" w:cs="Arial"/>
          <w:b/>
          <w:color w:val="000000"/>
          <w:u w:val="single"/>
        </w:rPr>
        <w:t>DAS DISPOSIÇÕES FINAIS</w:t>
      </w:r>
      <w:bookmarkEnd w:id="15"/>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35A8FBE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w:t>
      </w:r>
      <w:r w:rsidR="00BA4149">
        <w:rPr>
          <w:rFonts w:ascii="Arial" w:eastAsia="Arial" w:hAnsi="Arial" w:cs="Arial"/>
          <w:color w:val="000000"/>
          <w:sz w:val="24"/>
          <w:szCs w:val="24"/>
        </w:rPr>
        <w:t>Conselheiros</w:t>
      </w:r>
      <w:r>
        <w:rPr>
          <w:rFonts w:ascii="Arial" w:eastAsia="Arial" w:hAnsi="Arial" w:cs="Arial"/>
          <w:color w:val="000000"/>
          <w:sz w:val="24"/>
          <w:szCs w:val="24"/>
        </w:rPr>
        <w:t xml:space="preserve"> Fisca</w:t>
      </w:r>
      <w:r w:rsidR="00BA4149">
        <w:rPr>
          <w:rFonts w:ascii="Arial" w:eastAsia="Arial" w:hAnsi="Arial" w:cs="Arial"/>
          <w:color w:val="000000"/>
          <w:sz w:val="24"/>
          <w:szCs w:val="24"/>
        </w:rPr>
        <w:t>is</w:t>
      </w:r>
      <w:r>
        <w:rPr>
          <w:rFonts w:ascii="Arial" w:eastAsia="Arial" w:hAnsi="Arial" w:cs="Arial"/>
          <w:color w:val="000000"/>
          <w:sz w:val="24"/>
          <w:szCs w:val="24"/>
        </w:rPr>
        <w:t xml:space="preserve"> que tragam prejuízos a qualquer condômino, caberá recursos para 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convocada na forma prevista nesta Convenção para as </w:t>
      </w:r>
      <w:r w:rsidR="00B14C18">
        <w:rPr>
          <w:rFonts w:ascii="Arial" w:eastAsia="Arial" w:hAnsi="Arial" w:cs="Arial"/>
          <w:color w:val="000000"/>
          <w:sz w:val="24"/>
          <w:szCs w:val="24"/>
        </w:rPr>
        <w:t>Assembleia</w:t>
      </w:r>
      <w:r>
        <w:rPr>
          <w:rFonts w:ascii="Arial" w:eastAsia="Arial" w:hAnsi="Arial" w:cs="Arial"/>
          <w:color w:val="000000"/>
          <w:sz w:val="24"/>
          <w:szCs w:val="24"/>
        </w:rPr>
        <w:t>s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0AA6CD3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Os casos omissos nesta Convenção serão regulados pelo Regimento Interno, pelas disposições legais e, especialmente pela Lei nº 4.591/64 e Código Civil Brasileiro e posteriores modificações, bem como pelas Resoluções tomadas em Assembleia e </w:t>
      </w:r>
      <w:r w:rsidR="00BA4149">
        <w:rPr>
          <w:rFonts w:ascii="Arial" w:eastAsia="Arial" w:hAnsi="Arial" w:cs="Arial"/>
          <w:color w:val="000000"/>
          <w:sz w:val="24"/>
          <w:szCs w:val="24"/>
        </w:rPr>
        <w:t xml:space="preserve">pelo </w:t>
      </w:r>
      <w:r>
        <w:rPr>
          <w:rFonts w:ascii="Arial" w:eastAsia="Arial" w:hAnsi="Arial" w:cs="Arial"/>
          <w:color w:val="000000"/>
          <w:sz w:val="24"/>
          <w:szCs w:val="24"/>
        </w:rPr>
        <w:t>Conselho</w:t>
      </w:r>
      <w:r w:rsidR="00BA4149">
        <w:rPr>
          <w:rFonts w:ascii="Arial" w:eastAsia="Arial" w:hAnsi="Arial" w:cs="Arial"/>
          <w:color w:val="000000"/>
          <w:sz w:val="24"/>
          <w:szCs w:val="24"/>
        </w:rPr>
        <w:t xml:space="preserve"> Fiscal</w:t>
      </w:r>
      <w:r>
        <w:rPr>
          <w:rFonts w:ascii="Arial" w:eastAsia="Arial" w:hAnsi="Arial" w:cs="Arial"/>
          <w:color w:val="000000"/>
          <w:sz w:val="24"/>
          <w:szCs w:val="24"/>
        </w:rPr>
        <w:t>.</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Condômino deverá apresentar documento que comprove a propriedade de </w:t>
      </w:r>
      <w:proofErr w:type="gramStart"/>
      <w:r>
        <w:rPr>
          <w:rFonts w:ascii="Arial" w:eastAsia="Arial" w:hAnsi="Arial" w:cs="Arial"/>
          <w:color w:val="000000"/>
          <w:sz w:val="24"/>
          <w:szCs w:val="24"/>
        </w:rPr>
        <w:t>sua(</w:t>
      </w:r>
      <w:proofErr w:type="gramEnd"/>
      <w:r>
        <w:rPr>
          <w:rFonts w:ascii="Arial" w:eastAsia="Arial" w:hAnsi="Arial" w:cs="Arial"/>
          <w:color w:val="000000"/>
          <w:sz w:val="24"/>
          <w:szCs w:val="24"/>
        </w:rPr>
        <w:t>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30413AB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77777777"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Não será permitido fazer edificação com </w:t>
      </w:r>
      <w:proofErr w:type="spellStart"/>
      <w:r>
        <w:rPr>
          <w:rFonts w:ascii="Arial" w:eastAsia="Arial" w:hAnsi="Arial" w:cs="Arial"/>
          <w:color w:val="000000"/>
          <w:sz w:val="24"/>
          <w:szCs w:val="24"/>
        </w:rPr>
        <w:t>soton</w:t>
      </w:r>
      <w:proofErr w:type="spellEnd"/>
      <w:r>
        <w:rPr>
          <w:rFonts w:ascii="Arial" w:eastAsia="Arial" w:hAnsi="Arial" w:cs="Arial"/>
          <w:color w:val="000000"/>
          <w:sz w:val="24"/>
          <w:szCs w:val="24"/>
        </w:rPr>
        <w:t>.</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3EAD2" w14:textId="77777777" w:rsidR="00AB5D3F" w:rsidRDefault="00AB5D3F">
      <w:pPr>
        <w:spacing w:after="0" w:line="240" w:lineRule="auto"/>
      </w:pPr>
      <w:r>
        <w:separator/>
      </w:r>
    </w:p>
  </w:endnote>
  <w:endnote w:type="continuationSeparator" w:id="0">
    <w:p w14:paraId="451729A8" w14:textId="77777777" w:rsidR="00AB5D3F" w:rsidRDefault="00AB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363928"/>
      <w:docPartObj>
        <w:docPartGallery w:val="Page Numbers (Bottom of Page)"/>
        <w:docPartUnique/>
      </w:docPartObj>
    </w:sdtPr>
    <w:sdtEndPr/>
    <w:sdtContent>
      <w:p w14:paraId="34F7811D" w14:textId="79019FF6" w:rsidR="001E6072" w:rsidRDefault="001E6072">
        <w:pPr>
          <w:pStyle w:val="Rodap"/>
          <w:jc w:val="right"/>
        </w:pPr>
        <w:r>
          <w:fldChar w:fldCharType="begin"/>
        </w:r>
        <w:r>
          <w:instrText>PAGE   \* MERGEFORMAT</w:instrText>
        </w:r>
        <w:r>
          <w:fldChar w:fldCharType="separate"/>
        </w:r>
        <w:r w:rsidR="000D083B">
          <w:rPr>
            <w:noProof/>
          </w:rPr>
          <w:t>26</w:t>
        </w:r>
        <w:r>
          <w:fldChar w:fldCharType="end"/>
        </w:r>
      </w:p>
    </w:sdtContent>
  </w:sdt>
  <w:p w14:paraId="0F26D863" w14:textId="43B2947E" w:rsidR="001E6072" w:rsidRDefault="001E6072">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F571A" w14:textId="77777777" w:rsidR="00AB5D3F" w:rsidRDefault="00AB5D3F">
      <w:pPr>
        <w:spacing w:after="0" w:line="240" w:lineRule="auto"/>
      </w:pPr>
      <w:r>
        <w:separator/>
      </w:r>
    </w:p>
  </w:footnote>
  <w:footnote w:type="continuationSeparator" w:id="0">
    <w:p w14:paraId="08615920" w14:textId="77777777" w:rsidR="00AB5D3F" w:rsidRDefault="00AB5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119E" w14:textId="77777777" w:rsidR="001E6072" w:rsidRDefault="001E6072"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1E6072" w:rsidRDefault="001E6072" w:rsidP="00671716">
    <w:pPr>
      <w:spacing w:after="0" w:line="240" w:lineRule="auto"/>
      <w:ind w:left="2127" w:right="464"/>
      <w:jc w:val="center"/>
      <w:rPr>
        <w:rFonts w:ascii="Arial" w:hAnsi="Arial" w:cs="Arial"/>
        <w:b/>
        <w:sz w:val="20"/>
        <w:szCs w:val="20"/>
      </w:rPr>
    </w:pPr>
  </w:p>
  <w:p w14:paraId="4254B211" w14:textId="51ACB58F" w:rsidR="001E6072" w:rsidRPr="007868B6" w:rsidRDefault="001E6072"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1E6072" w:rsidRDefault="001E6072" w:rsidP="00671716">
    <w:pPr>
      <w:spacing w:after="0" w:line="240" w:lineRule="auto"/>
      <w:ind w:right="-39"/>
      <w:jc w:val="center"/>
      <w:rPr>
        <w:rFonts w:ascii="Arial" w:hAnsi="Arial" w:cs="Arial"/>
        <w:b/>
        <w:sz w:val="20"/>
        <w:szCs w:val="20"/>
      </w:rPr>
    </w:pPr>
    <w:r>
      <w:rPr>
        <w:rFonts w:ascii="Arial" w:hAnsi="Arial" w:cs="Arial"/>
        <w:b/>
        <w:noProof/>
        <w:sz w:val="20"/>
        <w:szCs w:val="20"/>
        <w:lang w:eastAsia="pt-BR"/>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1E6072" w:rsidRPr="00671716" w:rsidRDefault="001E6072"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3"/>
  </w:num>
  <w:num w:numId="14">
    <w:abstractNumId w:val="23"/>
  </w:num>
  <w:num w:numId="15">
    <w:abstractNumId w:val="17"/>
  </w:num>
  <w:num w:numId="16">
    <w:abstractNumId w:val="25"/>
  </w:num>
  <w:num w:numId="17">
    <w:abstractNumId w:val="8"/>
  </w:num>
  <w:num w:numId="18">
    <w:abstractNumId w:val="14"/>
  </w:num>
  <w:num w:numId="19">
    <w:abstractNumId w:val="38"/>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4"/>
  </w:num>
  <w:num w:numId="33">
    <w:abstractNumId w:val="0"/>
  </w:num>
  <w:num w:numId="34">
    <w:abstractNumId w:val="16"/>
  </w:num>
  <w:num w:numId="35">
    <w:abstractNumId w:val="36"/>
  </w:num>
  <w:num w:numId="36">
    <w:abstractNumId w:val="31"/>
  </w:num>
  <w:num w:numId="37">
    <w:abstractNumId w:val="20"/>
  </w:num>
  <w:num w:numId="38">
    <w:abstractNumId w:val="35"/>
  </w:num>
  <w:num w:numId="39">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4"/>
    <w:rsid w:val="00021A91"/>
    <w:rsid w:val="00066E53"/>
    <w:rsid w:val="00072E95"/>
    <w:rsid w:val="00092A73"/>
    <w:rsid w:val="000D083B"/>
    <w:rsid w:val="00122615"/>
    <w:rsid w:val="00144E6F"/>
    <w:rsid w:val="00167AA0"/>
    <w:rsid w:val="001B344A"/>
    <w:rsid w:val="001D365A"/>
    <w:rsid w:val="001E6072"/>
    <w:rsid w:val="002420E9"/>
    <w:rsid w:val="00244BF7"/>
    <w:rsid w:val="002576F0"/>
    <w:rsid w:val="00272196"/>
    <w:rsid w:val="003467EB"/>
    <w:rsid w:val="003873CB"/>
    <w:rsid w:val="004355BD"/>
    <w:rsid w:val="004678AB"/>
    <w:rsid w:val="0047052E"/>
    <w:rsid w:val="004A26EB"/>
    <w:rsid w:val="004C0CCB"/>
    <w:rsid w:val="004D5DCA"/>
    <w:rsid w:val="00506B0E"/>
    <w:rsid w:val="00596367"/>
    <w:rsid w:val="005C0A2B"/>
    <w:rsid w:val="005C2B4A"/>
    <w:rsid w:val="005E1E95"/>
    <w:rsid w:val="006218A6"/>
    <w:rsid w:val="00622726"/>
    <w:rsid w:val="006276E9"/>
    <w:rsid w:val="00647022"/>
    <w:rsid w:val="00671716"/>
    <w:rsid w:val="006752AF"/>
    <w:rsid w:val="00691FB6"/>
    <w:rsid w:val="006A59E9"/>
    <w:rsid w:val="006C4ECB"/>
    <w:rsid w:val="00734455"/>
    <w:rsid w:val="007402D1"/>
    <w:rsid w:val="00772795"/>
    <w:rsid w:val="007868B6"/>
    <w:rsid w:val="007B2A18"/>
    <w:rsid w:val="007C64B6"/>
    <w:rsid w:val="007E57C1"/>
    <w:rsid w:val="007F1C60"/>
    <w:rsid w:val="00812305"/>
    <w:rsid w:val="00825B80"/>
    <w:rsid w:val="008348CB"/>
    <w:rsid w:val="008C566A"/>
    <w:rsid w:val="008F403A"/>
    <w:rsid w:val="008F78E5"/>
    <w:rsid w:val="00915E3F"/>
    <w:rsid w:val="00920862"/>
    <w:rsid w:val="009575A8"/>
    <w:rsid w:val="009A5804"/>
    <w:rsid w:val="009D3CC4"/>
    <w:rsid w:val="00A01832"/>
    <w:rsid w:val="00A43AA3"/>
    <w:rsid w:val="00A841BC"/>
    <w:rsid w:val="00AB3254"/>
    <w:rsid w:val="00AB5D3F"/>
    <w:rsid w:val="00B1449B"/>
    <w:rsid w:val="00B14C18"/>
    <w:rsid w:val="00B34A53"/>
    <w:rsid w:val="00B80A5E"/>
    <w:rsid w:val="00B96420"/>
    <w:rsid w:val="00BA4149"/>
    <w:rsid w:val="00BC7E42"/>
    <w:rsid w:val="00C31B2E"/>
    <w:rsid w:val="00CA41B3"/>
    <w:rsid w:val="00CA52D2"/>
    <w:rsid w:val="00CA72E1"/>
    <w:rsid w:val="00D33983"/>
    <w:rsid w:val="00D47C4F"/>
    <w:rsid w:val="00DE626F"/>
    <w:rsid w:val="00DF1DAA"/>
    <w:rsid w:val="00DF3086"/>
    <w:rsid w:val="00E278EA"/>
    <w:rsid w:val="00E43587"/>
    <w:rsid w:val="00E735C3"/>
    <w:rsid w:val="00EB77A3"/>
    <w:rsid w:val="00F27155"/>
    <w:rsid w:val="00F323F1"/>
    <w:rsid w:val="00F72DD7"/>
    <w:rsid w:val="00F832A6"/>
    <w:rsid w:val="00F925C6"/>
    <w:rsid w:val="00FA5435"/>
    <w:rsid w:val="00FE0739"/>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9007</Words>
  <Characters>48640</Characters>
  <Application>Microsoft Office Word</Application>
  <DocSecurity>0</DocSecurity>
  <Lines>405</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user</cp:lastModifiedBy>
  <cp:revision>4</cp:revision>
  <dcterms:created xsi:type="dcterms:W3CDTF">2025-02-05T13:00:00Z</dcterms:created>
  <dcterms:modified xsi:type="dcterms:W3CDTF">2025-02-05T13:20:00Z</dcterms:modified>
</cp:coreProperties>
</file>