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An LLM-Powered Front-Office Assistant for Mid-Market MLB Clubs</w:t>
      </w:r>
    </w:p>
    <w:p>
      <w:r>
        <w:rPr>
          <w:rFonts w:ascii="Arial" w:hAnsi="Arial"/>
          <w:b/>
          <w:sz w:val="20"/>
        </w:rPr>
        <w:t>MKTG 569: Building Business Applications of LLMs and Generative Models</w:t>
      </w:r>
      <w:r>
        <w:rPr>
          <w:rFonts w:ascii="Arial" w:hAnsi="Arial"/>
          <w:sz w:val="20"/>
        </w:rPr>
        <w:t xml:space="preserve"> Spring 2026 Live application: </w:t>
      </w:r>
      <w:r>
        <w:rPr>
          <w:rFonts w:ascii="Arial" w:hAnsi="Arial"/>
          <w:color w:val="1A55B7"/>
          <w:sz w:val="20"/>
          <w:u w:val="single"/>
        </w:rPr>
        <w:t>sabercast-mlb.streamlit.app</w:t>
      </w:r>
      <w:r>
        <w:rPr>
          <w:rFonts w:ascii="Arial" w:hAnsi="Arial"/>
          <w:sz w:val="20"/>
        </w:rPr>
        <w:t xml:space="preserve"> Repository: </w:t>
      </w:r>
      <w:r>
        <w:rPr>
          <w:rFonts w:ascii="Arial" w:hAnsi="Arial"/>
          <w:color w:val="1A55B7"/>
          <w:sz w:val="20"/>
          <w:u w:val="single"/>
        </w:rPr>
        <w:t>github.com/rwpeugh/sabercast</w:t>
      </w:r>
    </w:p>
    <w:p>
      <w:pPr>
        <w:pBdr>
          <w:bottom w:val="single" w:sz="6" w:color="B0B0B0"/>
        </w:pBdr>
      </w:pPr>
    </w:p>
    <w:p>
      <w:r>
        <w:rPr>
          <w:rFonts w:ascii="Arial" w:hAnsi="Arial"/>
          <w:b/>
          <w:color w:val="202020"/>
          <w:sz w:val="30"/>
        </w:rPr>
        <w:t>1. Executive summary</w:t>
      </w:r>
    </w:p>
    <w:p>
      <w:r>
        <w:rPr>
          <w:rFonts w:ascii="Arial" w:hAnsi="Arial"/>
          <w:sz w:val="20"/>
        </w:rPr>
        <w:t>Sabercast is an end-to-end LLM-powered decision-support application for Major League Baseball front offices that lack the analyst headcount of large-market clubs. The deployed prototype answers three of the highest-frequency questions a general manager asks an internal analyst: where are our biggest roster gaps and who can we afford to fill them with, how should we approach a specific opponent tomorrow, and what is the best lineup we can put on the field today. Each workflow combines public data ingestion, retrieval-augmented generation, structured LLM reasoning, and a fine-tuned contract valuation model behind a clean Streamlit interface.</w:t>
      </w:r>
    </w:p>
    <w:p>
      <w:r>
        <w:rPr>
          <w:rFonts w:ascii="Arial" w:hAnsi="Arial"/>
          <w:sz w:val="20"/>
        </w:rPr>
        <w:t>The system shipped as a working production prototype rather than a research notebook. Anyone can visit the live URL, pick a team, and get a structured report in under fifteen seconds. The build absorbed three separate mid-project LLM platform constraints (OpenAI deprecating self-serve fine-tuning, Together AI moving small models off the serverless tier, then flagging custom fine-tunes as dedicated-endpoint only) and routed around all of them.</w:t>
      </w:r>
    </w:p>
    <w:p>
      <w:r>
        <w:rPr>
          <w:rFonts w:ascii="Arial" w:hAnsi="Arial"/>
          <w:b/>
          <w:sz w:val="20"/>
        </w:rPr>
        <w:t>Five statistically significant evaluation findings anchor the project's claims:</w:t>
      </w:r>
    </w:p>
    <w:p>
      <w:pPr>
        <w:pStyle w:val="ListNumber"/>
      </w:pPr>
      <w:r>
        <w:rPr>
          <w:rFonts w:ascii="Arial" w:hAnsi="Arial"/>
          <w:b/>
          <w:sz w:val="20"/>
        </w:rPr>
        <w:t>RAG accuracy delta of +70 percentage points</w:t>
      </w:r>
      <w:r>
        <w:rPr>
          <w:rFonts w:ascii="Arial" w:hAnsi="Arial"/>
          <w:sz w:val="20"/>
        </w:rPr>
        <w:t xml:space="preserve"> over a no-retrieval gpt-4o baseline on twenty held-out player-profile questions (15% → 85%, McNemar p = 0.0005).</w:t>
      </w:r>
    </w:p>
    <w:p>
      <w:pPr>
        <w:pStyle w:val="ListNumber"/>
      </w:pPr>
      <w:r>
        <w:rPr>
          <w:rFonts w:ascii="Arial" w:hAnsi="Arial"/>
          <w:b/>
          <w:sz w:val="20"/>
        </w:rPr>
        <w:t>Player-matcher retrieval precision@10 of 3.1× the random baseline.</w:t>
      </w:r>
      <w:r>
        <w:rPr>
          <w:rFonts w:ascii="Arial" w:hAnsi="Arial"/>
          <w:sz w:val="20"/>
        </w:rPr>
        <w:t xml:space="preserve"> When a team had a top-3 flagged gap and signed an actual free agent at that position, Sabercast's vectorstore retrieval surfaces that signer in its top-10 candidates 41.9% of the time versus 13.3% random chance (n=43, p &lt; 0.0001).</w:t>
      </w:r>
    </w:p>
    <w:p>
      <w:pPr>
        <w:pStyle w:val="ListNumber"/>
      </w:pPr>
      <w:r>
        <w:rPr>
          <w:rFonts w:ascii="Arial" w:hAnsi="Arial"/>
          <w:b/>
          <w:sz w:val="20"/>
        </w:rPr>
        <w:t>Full-pipeline precision@3 of 2.3× random</w:t>
      </w:r>
      <w:r>
        <w:rPr>
          <w:rFonts w:ascii="Arial" w:hAnsi="Arial"/>
          <w:sz w:val="20"/>
        </w:rPr>
        <w:t xml:space="preserve"> on the same event set after the deployed orchestrator's tier-bucketing and composite re-ranking (9.3% vs 4.0%, p = 0.037).</w:t>
      </w:r>
    </w:p>
    <w:p>
      <w:pPr>
        <w:pStyle w:val="ListNumber"/>
      </w:pPr>
      <w:r>
        <w:rPr>
          <w:rFonts w:ascii="Arial" w:hAnsi="Arial"/>
          <w:b/>
          <w:sz w:val="20"/>
        </w:rPr>
        <w:t>Position-level gap-flag hit rate of 59.9% overall</w:t>
      </w:r>
      <w:r>
        <w:rPr>
          <w:rFonts w:ascii="Arial" w:hAnsi="Arial"/>
          <w:sz w:val="20"/>
        </w:rPr>
        <w:t xml:space="preserve"> (binomial p = 0.012, n = 172 events); second base specifically reaches 74.2% (p = 0.011).</w:t>
      </w:r>
    </w:p>
    <w:p>
      <w:pPr>
        <w:pStyle w:val="ListNumber"/>
      </w:pPr>
      <w:r>
        <w:rPr>
          <w:rFonts w:ascii="Arial" w:hAnsi="Arial"/>
          <w:b/>
          <w:sz w:val="20"/>
        </w:rPr>
        <w:t>Contract valuation MAE improvement of $1.41M at infield positions</w:t>
      </w:r>
      <w:r>
        <w:rPr>
          <w:rFonts w:ascii="Arial" w:hAnsi="Arial"/>
          <w:sz w:val="20"/>
        </w:rPr>
        <w:t xml:space="preserve"> via Together-hosted Qwen 2.5 7B fine-tune (n=9, 95% CI [+$0.04M, +$2.89M], borderline significant).</w:t>
      </w:r>
    </w:p>
    <w:p>
      <w:r>
        <w:rPr>
          <w:rFonts w:ascii="Arial" w:hAnsi="Arial"/>
          <w:sz w:val="20"/>
        </w:rPr>
        <w:t>The team also pre-registered six additional statistical tests on the harder question of whether the diagnostic score predicts team wins. Five came back null, and the report says so plainly. Sabercast functions as a diagnostic and retrieval tool, not as a season-level wins forecaster, and the evaluation supports that framing rather than dressing it up.</w:t>
      </w:r>
    </w:p>
    <w:p>
      <w:pPr>
        <w:pBdr>
          <w:bottom w:val="single" w:sz="6" w:color="B0B0B0"/>
        </w:pBdr>
      </w:pPr>
    </w:p>
    <w:p>
      <w:r>
        <w:rPr>
          <w:rFonts w:ascii="Arial" w:hAnsi="Arial"/>
          <w:b/>
          <w:color w:val="202020"/>
          <w:sz w:val="30"/>
        </w:rPr>
        <w:t>2. Business problem and motivation</w:t>
      </w:r>
    </w:p>
    <w:p>
      <w:r>
        <w:rPr>
          <w:rFonts w:ascii="Arial" w:hAnsi="Arial"/>
          <w:b/>
          <w:color w:val="202020"/>
          <w:sz w:val="24"/>
        </w:rPr>
        <w:t>2.1 The analyst-headcount bottleneck</w:t>
      </w:r>
    </w:p>
    <w:p>
      <w:r>
        <w:rPr>
          <w:rFonts w:ascii="Arial" w:hAnsi="Arial"/>
          <w:sz w:val="20"/>
        </w:rPr>
        <w:t xml:space="preserve">Modern MLB front offices have bifurcated. Large-market clubs maintain analyst departments of 15 to 25 people, with proprietary Steamer or ZiPS projection integrations, custom WAR derivations, in-house Statcast aggregation pipelines, and dedicated R&amp;D engineers. Annual quantitative spend runs from $5 million to $15 million at the top of the league. Smaller-market clubs that compete on payroll constraints, including Tampa Bay, Cleveland, Milwaukee, and Pittsburgh, have historically punched above their weight by being early adopters of analytics. The bottleneck for the next tier of clubs (front offices operating with $130 million to $220 million payrolls) is not data access. Statcast publishes nearly every metric Tampa uses. The bottleneck is </w:t>
      </w:r>
      <w:r>
        <w:rPr>
          <w:rFonts w:ascii="Arial" w:hAnsi="Arial"/>
          <w:b/>
          <w:sz w:val="20"/>
        </w:rPr>
        <w:t>analyst time</w:t>
      </w:r>
      <w:r>
        <w:rPr>
          <w:rFonts w:ascii="Arial" w:hAnsi="Arial"/>
          <w:sz w:val="20"/>
        </w:rPr>
        <w:t>: hours spent reformatting, aggregating, and writing up answers to questions a GM asks in the hallway.</w:t>
      </w:r>
    </w:p>
    <w:p>
      <w:r>
        <w:rPr>
          <w:rFonts w:ascii="Arial" w:hAnsi="Arial"/>
          <w:sz w:val="20"/>
        </w:rPr>
        <w:t>Sabercast targets exactly that tier. The product exists to compress the time between a front-office question and a defensible quantitative answer, with public data and a thin team behind it. The three workflows correspond to the three highest-frequency analyst questions in a typical week:</w:t>
      </w:r>
    </w:p>
    <w:p>
      <w:pPr>
        <w:pStyle w:val="ListBullet"/>
      </w:pPr>
      <w:r>
        <w:rPr>
          <w:rFonts w:ascii="Arial" w:hAnsi="Arial"/>
          <w:sz w:val="20"/>
        </w:rPr>
        <w:t xml:space="preserve">"Where are our biggest roster gaps, and who can we afford to fill them with?" answered by the </w:t>
      </w:r>
      <w:r>
        <w:rPr>
          <w:rFonts w:ascii="Arial" w:hAnsi="Arial"/>
          <w:b/>
          <w:sz w:val="20"/>
        </w:rPr>
        <w:t>Gap Filler</w:t>
      </w:r>
      <w:r>
        <w:rPr>
          <w:rFonts w:ascii="Arial" w:hAnsi="Arial"/>
          <w:sz w:val="20"/>
        </w:rPr>
        <w:t xml:space="preserve"> tab.</w:t>
      </w:r>
    </w:p>
    <w:p>
      <w:pPr>
        <w:pStyle w:val="ListBullet"/>
      </w:pPr>
      <w:r>
        <w:rPr>
          <w:rFonts w:ascii="Arial" w:hAnsi="Arial"/>
          <w:sz w:val="20"/>
        </w:rPr>
        <w:t xml:space="preserve">"What do we need to know about the team we're playing tomorrow?" answered by the </w:t>
      </w:r>
      <w:r>
        <w:rPr>
          <w:rFonts w:ascii="Arial" w:hAnsi="Arial"/>
          <w:b/>
          <w:sz w:val="20"/>
        </w:rPr>
        <w:t>Opponent Scouting</w:t>
      </w:r>
      <w:r>
        <w:rPr>
          <w:rFonts w:ascii="Arial" w:hAnsi="Arial"/>
          <w:sz w:val="20"/>
        </w:rPr>
        <w:t xml:space="preserve"> tab.</w:t>
      </w:r>
    </w:p>
    <w:p>
      <w:pPr>
        <w:pStyle w:val="ListBullet"/>
      </w:pPr>
      <w:r>
        <w:rPr>
          <w:rFonts w:ascii="Arial" w:hAnsi="Arial"/>
          <w:sz w:val="20"/>
        </w:rPr>
        <w:t xml:space="preserve">"Given today's available roster, what's our best lineup against this opponent?" answered by the </w:t>
      </w:r>
      <w:r>
        <w:rPr>
          <w:rFonts w:ascii="Arial" w:hAnsi="Arial"/>
          <w:b/>
          <w:sz w:val="20"/>
        </w:rPr>
        <w:t>Roster Builder</w:t>
      </w:r>
      <w:r>
        <w:rPr>
          <w:rFonts w:ascii="Arial" w:hAnsi="Arial"/>
          <w:sz w:val="20"/>
        </w:rPr>
        <w:t xml:space="preserve"> tab.</w:t>
      </w:r>
    </w:p>
    <w:p>
      <w:r>
        <w:rPr>
          <w:rFonts w:ascii="Arial" w:hAnsi="Arial"/>
          <w:sz w:val="20"/>
        </w:rPr>
        <w:t>Each tab returns a structured, citation-grounded report in roughly ten to fifteen seconds of wall-clock time, against the same authoritative data sources a real front office uses.</w:t>
      </w:r>
    </w:p>
    <w:p>
      <w:r>
        <w:rPr>
          <w:rFonts w:ascii="Arial" w:hAnsi="Arial"/>
          <w:b/>
          <w:color w:val="202020"/>
          <w:sz w:val="24"/>
        </w:rPr>
        <w:t>2.2 Why an LLM, not just a spreadsheet</w:t>
      </w:r>
    </w:p>
    <w:p>
      <w:r>
        <w:rPr>
          <w:rFonts w:ascii="Arial" w:hAnsi="Arial"/>
          <w:sz w:val="20"/>
        </w:rPr>
        <w:t>The natural objection is that a competent analyst with Excel and pybaseball could build any of these. That objection misses what the LLM brings: structured reasoning across heterogeneous numeric inputs at conversational speed. A traditional analytics dashboard surfaces metrics. Sabercast turns metrics into narrative recommendations a GM can act on, complete with explicit trade-off articulation. When the Gap Filler suggests Marcus Semien as a premium-tier second base target for Seattle, the rationale field reads: "Adds 0.048 OPS over Polanco and gains 30 OAA, net upgrade given the team's defense-first 2B gap." The numbers come from deterministic delta computations the user can verify. The framing comes from the LLM. That is the combination this course is about.</w:t>
      </w:r>
    </w:p>
    <w:p>
      <w:r>
        <w:rPr>
          <w:rFonts w:ascii="Arial" w:hAnsi="Arial"/>
          <w:b/>
          <w:color w:val="202020"/>
          <w:sz w:val="24"/>
        </w:rPr>
        <w:t>2.3 Business value, made concrete</w:t>
      </w:r>
    </w:p>
    <w:p>
      <w:r>
        <w:rPr>
          <w:rFonts w:ascii="Arial" w:hAnsi="Arial"/>
          <w:sz w:val="20"/>
        </w:rPr>
        <w:t>A mid-market club's analyst team running this workflow internally would burn perhaps six analyst-hours per opponent scouting report, ten per gap-filler synthesis, and four per matchup-specific lineup decision. Sabercast collapses each to a fifteen-second LLM call against a pre-built data layer. At an analyst loaded cost of $150 per hour, the recurring annual savings for a club running ten scouting reports per series and three gap-fill exercises per offseason is on the order of $200,000 in analyst time freed for higher-leverage work. The product does not replace the analyst. It removes the most repetitive parts of the job so the analyst can focus on the questions that actually require judgment.</w:t>
      </w:r>
    </w:p>
    <w:p>
      <w:pPr>
        <w:jc w:val="center"/>
      </w:pPr>
      <w:r>
        <w:drawing>
          <wp:inline xmlns:a="http://schemas.openxmlformats.org/drawingml/2006/main" xmlns:pic="http://schemas.openxmlformats.org/drawingml/2006/picture">
            <wp:extent cx="5852160" cy="3971109"/>
            <wp:docPr id="1" name="Picture 1"/>
            <wp:cNvGraphicFramePr>
              <a:graphicFrameLocks noChangeAspect="1"/>
            </wp:cNvGraphicFramePr>
            <a:graphic>
              <a:graphicData uri="http://schemas.openxmlformats.org/drawingml/2006/picture">
                <pic:pic>
                  <pic:nvPicPr>
                    <pic:cNvPr id="0" name="02_gap_filler_results_top.png"/>
                    <pic:cNvPicPr/>
                  </pic:nvPicPr>
                  <pic:blipFill>
                    <a:blip r:embed="rId9"/>
                    <a:stretch>
                      <a:fillRect/>
                    </a:stretch>
                  </pic:blipFill>
                  <pic:spPr>
                    <a:xfrm>
                      <a:off x="0" y="0"/>
                      <a:ext cx="5852160" cy="3971109"/>
                    </a:xfrm>
                    <a:prstGeom prst="rect"/>
                  </pic:spPr>
                </pic:pic>
              </a:graphicData>
            </a:graphic>
          </wp:inline>
        </w:drawing>
      </w:r>
    </w:p>
    <w:p>
      <w:pPr>
        <w:jc w:val="center"/>
      </w:pPr>
      <w:r>
        <w:rPr>
          <w:i/>
          <w:color w:val="555555"/>
          <w:sz w:val="18"/>
        </w:rPr>
        <w:t>Figure 1. The deployed Gap Filler tab for the Seattle Mariners. The Payroll Situation panel surfaces committed-vs-available payroll math, the Current Incumbent callout identifies who would be displaced, and three tier-badged target cards (bargain / at-budget / premium) carry vs-incumbent delta chips and trade-off rationales.</w:t>
      </w:r>
    </w:p>
    <w:p>
      <w:pPr>
        <w:pBdr>
          <w:bottom w:val="single" w:sz="6" w:color="B0B0B0"/>
        </w:pBdr>
      </w:pPr>
    </w:p>
    <w:p>
      <w:r>
        <w:rPr>
          <w:rFonts w:ascii="Arial" w:hAnsi="Arial"/>
          <w:b/>
          <w:color w:val="202020"/>
          <w:sz w:val="30"/>
        </w:rPr>
        <w:t>3. System architecture</w:t>
      </w:r>
    </w:p>
    <w:p>
      <w:pPr>
        <w:jc w:val="center"/>
      </w:pPr>
      <w:r>
        <w:drawing>
          <wp:inline xmlns:a="http://schemas.openxmlformats.org/drawingml/2006/main" xmlns:pic="http://schemas.openxmlformats.org/drawingml/2006/picture">
            <wp:extent cx="5852160" cy="2726295"/>
            <wp:docPr id="2" name="Picture 2"/>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1. Sabercast architecture (Mermaid source in docs/architecture_diagram.md). Every box labeled with the specific model or data store doing the work.</w:t>
      </w:r>
    </w:p>
    <w:p>
      <w:r>
        <w:rPr>
          <w:rFonts w:ascii="Arial" w:hAnsi="Arial"/>
          <w:b/>
          <w:color w:val="202020"/>
          <w:sz w:val="24"/>
        </w:rPr>
        <w:t>3.1 Model-to-task mapping</w:t>
      </w:r>
    </w:p>
    <w:p>
      <w:r>
        <w:rPr>
          <w:rFonts w:ascii="Arial" w:hAnsi="Arial"/>
          <w:sz w:val="20"/>
        </w:rPr>
        <w:t>The system uses four distinct LLM-class models, each chosen deliberately for a different task and cost tier. Figure 2 below makes the assignments explicit. The same data flows through a single retrieval-augmented pipeline before branching to whichever model handles the reasoning step.</w:t>
      </w:r>
    </w:p>
    <w:p>
      <w:pPr>
        <w:jc w:val="center"/>
      </w:pPr>
      <w:r>
        <w:drawing>
          <wp:inline xmlns:a="http://schemas.openxmlformats.org/drawingml/2006/main" xmlns:pic="http://schemas.openxmlformats.org/drawingml/2006/picture">
            <wp:extent cx="5852160" cy="2726295"/>
            <wp:docPr id="3" name="Picture 3"/>
            <wp:cNvGraphicFramePr>
              <a:graphicFrameLocks noChangeAspect="1"/>
            </wp:cNvGraphicFramePr>
            <a:graphic>
              <a:graphicData uri="http://schemas.openxmlformats.org/drawingml/2006/picture">
                <pic:pic>
                  <pic:nvPicPr>
                    <pic:cNvPr id="0" name="architecture_diagram.png"/>
                    <pic:cNvPicPr/>
                  </pic:nvPicPr>
                  <pic:blipFill>
                    <a:blip r:embed="rId10"/>
                    <a:stretch>
                      <a:fillRect/>
                    </a:stretch>
                  </pic:blipFill>
                  <pic:spPr>
                    <a:xfrm>
                      <a:off x="0" y="0"/>
                      <a:ext cx="5852160" cy="2726295"/>
                    </a:xfrm>
                    <a:prstGeom prst="rect"/>
                  </pic:spPr>
                </pic:pic>
              </a:graphicData>
            </a:graphic>
          </wp:inline>
        </w:drawing>
      </w:r>
    </w:p>
    <w:p>
      <w:pPr>
        <w:jc w:val="center"/>
      </w:pPr>
      <w:r>
        <w:rPr>
          <w:i/>
          <w:color w:val="555555"/>
          <w:sz w:val="18"/>
        </w:rPr>
        <w:t>Figure 2. System architecture. Eight offline pipelines feed flat-file storage plus a ChromaDB vectorstore. At query time, gpt-4o handles narrative reasoning (gap diagnosis and opponent scouting), gpt-4o-mini handles structured-JSON tasks at one-twentieth the cost (contract pricing, target forecasting, lineup construction), text-embedding-3-small powers RAG retrieval, and a Together-hosted Qwen 2.5 7B fine-tune serves as the held-out contract-valuation benchmark.</w:t>
      </w:r>
    </w:p>
    <w:p>
      <w:r>
        <w:rPr>
          <w:rFonts w:ascii="Arial" w:hAnsi="Arial"/>
          <w:sz w:val="20"/>
        </w:rPr>
        <w:t xml:space="preserve">The cost discipline behind the model selection matters. Routing structured-JSON workloads to </w:t>
      </w:r>
      <w:r>
        <w:rPr>
          <w:rFonts w:ascii="Arial" w:hAnsi="Arial"/>
          <w:b/>
          <w:sz w:val="20"/>
        </w:rPr>
        <w:t>gpt-4o-mini</w:t>
      </w:r>
      <w:r>
        <w:rPr>
          <w:rFonts w:ascii="Arial" w:hAnsi="Arial"/>
          <w:sz w:val="20"/>
        </w:rPr>
        <w:t xml:space="preserve"> rather than gpt-4o cuts the per-call cost by roughly a factor of twenty without measurably hurting output quality on tasks where the schema is fixed. </w:t>
      </w:r>
      <w:r>
        <w:rPr>
          <w:rFonts w:ascii="Arial" w:hAnsi="Arial"/>
          <w:b/>
          <w:sz w:val="20"/>
        </w:rPr>
        <w:t>gpt-4o</w:t>
      </w:r>
      <w:r>
        <w:rPr>
          <w:rFonts w:ascii="Arial" w:hAnsi="Arial"/>
          <w:sz w:val="20"/>
        </w:rPr>
        <w:t xml:space="preserve"> is reserved for the two reasoning surfaces where qualitative writing matters: the gap diagnosis narrative and the opponent scouting report. </w:t>
      </w:r>
      <w:r>
        <w:rPr>
          <w:rFonts w:ascii="Arial" w:hAnsi="Arial"/>
          <w:b/>
          <w:sz w:val="20"/>
        </w:rPr>
        <w:t>text-embedding-3-small</w:t>
      </w:r>
      <w:r>
        <w:rPr>
          <w:rFonts w:ascii="Arial" w:hAnsi="Arial"/>
          <w:sz w:val="20"/>
        </w:rPr>
        <w:t xml:space="preserve"> powers all 1,014 vector embeddings (999 player profiles plus 15 glossary entries) at $0.02 per million tokens. Total OpenAI spend across the entire build, including five separate correlation study re-runs, forty RAG evaluation calls, and dozens of debugging traversals, was approximately $40. The Batch API was used for the bulk archetype classification pass that produced the vectorstore content, which halved the cost.</w:t>
      </w:r>
    </w:p>
    <w:p>
      <w:r>
        <w:rPr>
          <w:rFonts w:ascii="Arial" w:hAnsi="Arial"/>
          <w:sz w:val="20"/>
        </w:rPr>
        <w:t xml:space="preserve">The fourth model, the Together-hosted </w:t>
      </w:r>
      <w:r>
        <w:rPr>
          <w:rFonts w:ascii="Arial" w:hAnsi="Arial"/>
          <w:b/>
          <w:sz w:val="20"/>
        </w:rPr>
        <w:t>Qwen 2.5 7B Instruct</w:t>
      </w:r>
      <w:r>
        <w:rPr>
          <w:rFonts w:ascii="Arial" w:hAnsi="Arial"/>
          <w:sz w:val="20"/>
        </w:rPr>
        <w:t xml:space="preserve"> fine-tuned on Sabercast's contract data, serves as a published held-out MAE benchmark rather than a runtime path. Its dedicated 2× H100 endpoint costs $0.22 per minute and has a four-minute cold start, making it incompatible with the Streamlit interactive UX. The </w:t>
      </w:r>
      <w:r>
        <w:rPr>
          <w:rFonts w:ascii="Consolas" w:hAnsi="Consolas"/>
          <w:color w:val="444444"/>
          <w:sz w:val="19"/>
        </w:rPr>
        <w:t>use_finetuned</w:t>
      </w:r>
      <w:r>
        <w:rPr>
          <w:rFonts w:ascii="Arial" w:hAnsi="Arial"/>
          <w:sz w:val="20"/>
        </w:rPr>
        <w:t xml:space="preserve"> keyword argument on the contract forecaster is the routing seam that swaps the fine-tune in for offline evaluation only. This is a deliberate deployment trade-off discussed further in Section 6.</w:t>
      </w:r>
    </w:p>
    <w:p>
      <w:r>
        <w:rPr>
          <w:rFonts w:ascii="Arial" w:hAnsi="Arial"/>
          <w:b/>
          <w:color w:val="202020"/>
          <w:sz w:val="24"/>
        </w:rPr>
        <w:t>3.2 The three-tab user surface</w:t>
      </w:r>
    </w:p>
    <w:p>
      <w:r>
        <w:rPr>
          <w:rFonts w:ascii="Arial" w:hAnsi="Arial"/>
          <w:sz w:val="20"/>
        </w:rPr>
        <w:t xml:space="preserve">The Streamlit application exposes three tabs, all reading from the same vectorstore and the same flat-file aggregates. The </w:t>
      </w:r>
      <w:r>
        <w:rPr>
          <w:rFonts w:ascii="Arial" w:hAnsi="Arial"/>
          <w:b/>
          <w:sz w:val="20"/>
        </w:rPr>
        <w:t>Gap Filler</w:t>
      </w:r>
      <w:r>
        <w:rPr>
          <w:rFonts w:ascii="Arial" w:hAnsi="Arial"/>
          <w:sz w:val="20"/>
        </w:rPr>
        <w:t xml:space="preserve"> tab takes a team selector, a total-payroll budget input, and an editable committed-payroll override; it returns a payroll situation panel, the top three flagged gaps with current incumbent callouts, and one bargain / at-budget / premium candidate per gap with vs-incumbent delta chips and trade-off rationales. The </w:t>
      </w:r>
      <w:r>
        <w:rPr>
          <w:rFonts w:ascii="Arial" w:hAnsi="Arial"/>
          <w:b/>
          <w:sz w:val="20"/>
        </w:rPr>
        <w:t>Opponent Scouting</w:t>
      </w:r>
      <w:r>
        <w:rPr>
          <w:rFonts w:ascii="Arial" w:hAnsi="Arial"/>
          <w:sz w:val="20"/>
        </w:rPr>
        <w:t xml:space="preserve"> tab takes a team selector and returns a narrative scouting report including top threats, exploitable weaknesses, pitching strategy, and hitting approach, with the top five hitters' Statcast batted-ball spray and the top five pitchers' pitch arsenals displayed inline. The </w:t>
      </w:r>
      <w:r>
        <w:rPr>
          <w:rFonts w:ascii="Arial" w:hAnsi="Arial"/>
          <w:b/>
          <w:sz w:val="20"/>
        </w:rPr>
        <w:t>Roster Builder</w:t>
      </w:r>
      <w:r>
        <w:rPr>
          <w:rFonts w:ascii="Arial" w:hAnsi="Arial"/>
          <w:sz w:val="20"/>
        </w:rPr>
        <w:t xml:space="preserve"> tab takes both a team and an opponent (with an optional probable-starter selector) and returns a recommended nine-slot lineup with per-slot rationales tailored to that pitcher's arsenal and handedness. The three tabs are kept deliberately distinct: Roster Builder produces a lineup, Opponent Scouting produces opponent intelligence, Gap Filler produces a free-agent shortlist. Each tab owns a single primary deliverable rather than overlapping into the others.</w:t>
      </w:r>
    </w:p>
    <w:p>
      <w:r>
        <w:rPr>
          <w:rFonts w:ascii="Arial" w:hAnsi="Arial"/>
          <w:sz w:val="20"/>
        </w:rPr>
        <w:t xml:space="preserve">Every reasoning call runs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and </w:t>
      </w:r>
      <w:r>
        <w:rPr>
          <w:rFonts w:ascii="Consolas" w:hAnsi="Consolas"/>
          <w:color w:val="444444"/>
          <w:sz w:val="19"/>
        </w:rPr>
        <w:t>response_format={"type": "json_object"}</w:t>
      </w:r>
      <w:r>
        <w:rPr>
          <w:rFonts w:ascii="Arial" w:hAnsi="Arial"/>
          <w:sz w:val="20"/>
        </w:rPr>
        <w:t>. The system is reproducible to within roughly one prediction per held-out evaluation set across re-runs, which matters both for the evaluation discipline below and for caching.</w:t>
      </w:r>
    </w:p>
    <w:p>
      <w:r>
        <w:rPr>
          <w:rFonts w:ascii="Arial" w:hAnsi="Arial"/>
          <w:b/>
          <w:color w:val="202020"/>
          <w:sz w:val="24"/>
        </w:rPr>
        <w:t>3.3 The Gap Filler retrieval pipeline in detail</w:t>
      </w:r>
    </w:p>
    <w:p>
      <w:r>
        <w:rPr>
          <w:rFonts w:ascii="Arial" w:hAnsi="Arial"/>
          <w:sz w:val="20"/>
        </w:rPr>
        <w:t>Because the Gap Filler is the most technically ambitious of the three tabs and the one professor feedback specifically asked to see explained clearly, the full flow is worth walking through.</w:t>
      </w:r>
    </w:p>
    <w:p>
      <w:r>
        <w:rPr>
          <w:rFonts w:ascii="Arial" w:hAnsi="Arial"/>
          <w:sz w:val="20"/>
        </w:rPr>
        <w:t>When the user submits a team and budget, the orchestrator first computes the team's no-look-ahead committed payroll, using the end-of-evaluation-year Spotrac team-payroll page rather than the post-offseason number. (This is a non-trivial data choice; the original implementation used the wrong vintage and was caught and fixed late in the build, as discussed in Section 6.) Available room equals total budget minus committed payroll, and the single-signing ceiling equals 30% of that available room. These three numbers anchor the entire downstream decision.</w:t>
      </w:r>
    </w:p>
    <w:p>
      <w:r>
        <w:rPr>
          <w:rFonts w:ascii="Arial" w:hAnsi="Arial"/>
          <w:sz w:val="20"/>
        </w:rPr>
        <w:t xml:space="preserve">Next, </w:t>
      </w:r>
      <w:r>
        <w:rPr>
          <w:rFonts w:ascii="Consolas" w:hAnsi="Consolas"/>
          <w:color w:val="444444"/>
          <w:sz w:val="19"/>
        </w:rPr>
        <w:t>diagnose_gaps_llm</w:t>
      </w:r>
      <w:r>
        <w:rPr>
          <w:rFonts w:ascii="Arial" w:hAnsi="Arial"/>
          <w:sz w:val="20"/>
        </w:rPr>
        <w:t xml:space="preserve"> (a gpt-4o call) returns the top three ranked gap positions with reasoning text and an offense / defense / pitching weight split per gap. For each gap, the reasoning text is embedded via </w:t>
      </w:r>
      <w:r>
        <w:rPr>
          <w:rFonts w:ascii="Consolas" w:hAnsi="Consolas"/>
          <w:color w:val="444444"/>
          <w:sz w:val="19"/>
        </w:rPr>
        <w:t>text-embedding-3-small</w:t>
      </w:r>
      <w:r>
        <w:rPr>
          <w:rFonts w:ascii="Arial" w:hAnsi="Arial"/>
          <w:sz w:val="20"/>
        </w:rPr>
        <w:t xml:space="preserve"> and used as a semantic query against the </w:t>
      </w:r>
      <w:r>
        <w:rPr>
          <w:rFonts w:ascii="Consolas" w:hAnsi="Consolas"/>
          <w:color w:val="444444"/>
          <w:sz w:val="19"/>
        </w:rPr>
        <w:t>sabercast_player_profiles</w:t>
      </w:r>
      <w:r>
        <w:rPr>
          <w:rFonts w:ascii="Arial" w:hAnsi="Arial"/>
          <w:sz w:val="20"/>
        </w:rPr>
        <w:t xml:space="preserve"> ChromaDB collection. ChromaDB returns the top-20 candidates by cosine similarity, filtered to the gap position, signed by the evaluation year, and within an expanded retrieval ceiling.</w:t>
      </w:r>
    </w:p>
    <w:p>
      <w:r>
        <w:rPr>
          <w:rFonts w:ascii="Arial" w:hAnsi="Arial"/>
          <w:sz w:val="20"/>
        </w:rPr>
        <w:t xml:space="preserve">The retrieved candidates then pass through three deterministic stages before display. First, </w:t>
      </w:r>
      <w:r>
        <w:rPr>
          <w:rFonts w:ascii="Consolas" w:hAnsi="Consolas"/>
          <w:color w:val="444444"/>
          <w:sz w:val="19"/>
        </w:rPr>
        <w:t>get_position_incumbent</w:t>
      </w:r>
      <w:r>
        <w:rPr>
          <w:rFonts w:ascii="Arial" w:hAnsi="Arial"/>
          <w:sz w:val="20"/>
        </w:rPr>
        <w:t xml:space="preserve"> identifies the team's current player at the gap position (using OAA for fielders, games started for starting pitchers, games appeared for relievers, catcher pop time for catchers). Second, each candidate gets a </w:t>
      </w:r>
      <w:r>
        <w:rPr>
          <w:rFonts w:ascii="Consolas" w:hAnsi="Consolas"/>
          <w:color w:val="444444"/>
          <w:sz w:val="19"/>
        </w:rPr>
        <w:t>composite_improvement_score</w:t>
      </w:r>
      <w:r>
        <w:rPr>
          <w:rFonts w:ascii="Arial" w:hAnsi="Arial"/>
          <w:sz w:val="20"/>
        </w:rPr>
        <w:t xml:space="preserve"> computed against that incumbent, with offensive and defensive deltas normalized to comparable scales and weighted by the gap's offense / defense ratio. Third, candidates are classified into </w:t>
      </w:r>
      <w:r>
        <w:rPr>
          <w:rFonts w:ascii="Arial" w:hAnsi="Arial"/>
          <w:b/>
          <w:sz w:val="20"/>
        </w:rPr>
        <w:t>bargain</w:t>
      </w:r>
      <w:r>
        <w:rPr>
          <w:rFonts w:ascii="Arial" w:hAnsi="Arial"/>
          <w:sz w:val="20"/>
        </w:rPr>
        <w:t xml:space="preserve"> (AAV at or below 50% of the single-signing ceiling), </w:t>
      </w:r>
      <w:r>
        <w:rPr>
          <w:rFonts w:ascii="Arial" w:hAnsi="Arial"/>
          <w:b/>
          <w:sz w:val="20"/>
        </w:rPr>
        <w:t>at-budget</w:t>
      </w:r>
      <w:r>
        <w:rPr>
          <w:rFonts w:ascii="Arial" w:hAnsi="Arial"/>
          <w:sz w:val="20"/>
        </w:rPr>
        <w:t xml:space="preserve"> (above 50% but at or below 100% of ceiling), or </w:t>
      </w:r>
      <w:r>
        <w:rPr>
          <w:rFonts w:ascii="Arial" w:hAnsi="Arial"/>
          <w:b/>
          <w:sz w:val="20"/>
        </w:rPr>
        <w:t>premium</w:t>
      </w:r>
      <w:r>
        <w:rPr>
          <w:rFonts w:ascii="Arial" w:hAnsi="Arial"/>
          <w:sz w:val="20"/>
        </w:rPr>
        <w:t xml:space="preserve"> (above ceiling and capped at five times ceiling or $30M, whichever is larger). The top-1 per tier by composite score is returned in bargain to premium order, giving the GM three apples-to-different-tiers options.</w:t>
      </w:r>
    </w:p>
    <w:p>
      <w:r>
        <w:rPr>
          <w:rFonts w:ascii="Arial" w:hAnsi="Arial"/>
          <w:sz w:val="20"/>
        </w:rPr>
        <w:t xml:space="preserve">Finally, each surfaced candidate passes to </w:t>
      </w:r>
      <w:r>
        <w:rPr>
          <w:rFonts w:ascii="Consolas" w:hAnsi="Consolas"/>
          <w:color w:val="444444"/>
          <w:sz w:val="19"/>
        </w:rPr>
        <w:t>forecast_target_contract_llm</w:t>
      </w:r>
      <w:r>
        <w:rPr>
          <w:rFonts w:ascii="Arial" w:hAnsi="Arial"/>
          <w:sz w:val="20"/>
        </w:rPr>
        <w:t xml:space="preserve"> (gpt-4o-mini in production, with the fine-tuned Qwen-7B available for offline benchmarking) along with the incumbent profile and improvement deltas. The prompt requires the rationale to explicitly cite the trade-off. The output runs through a three-layered hallucination defense: any incumbent dimensions without corresponding deltas are stripped from the payload before display, the LLM rationale is regex-validated against the deltas dictionary, and any number not in the deltas dictionary triggers replacement with a deterministic programmatic rationale built from the same deltas. Across a 54-rationale stress test, this defense eliminated all hallucinated numbers.</w:t>
      </w:r>
    </w:p>
    <w:p>
      <w:pPr>
        <w:pBdr>
          <w:bottom w:val="single" w:sz="6" w:color="B0B0B0"/>
        </w:pBdr>
      </w:pPr>
    </w:p>
    <w:p>
      <w:r>
        <w:rPr>
          <w:rFonts w:ascii="Arial" w:hAnsi="Arial"/>
          <w:b/>
          <w:color w:val="202020"/>
          <w:sz w:val="30"/>
        </w:rPr>
        <w:t>4. Data and implementation</w:t>
      </w:r>
    </w:p>
    <w:p>
      <w:r>
        <w:rPr>
          <w:rFonts w:ascii="Arial" w:hAnsi="Arial"/>
          <w:b/>
          <w:color w:val="202020"/>
          <w:sz w:val="24"/>
        </w:rPr>
        <w:t>4.1 Sources, with no-look-ahead enforcement</w:t>
      </w:r>
    </w:p>
    <w:p>
      <w:r>
        <w:rPr>
          <w:rFonts w:ascii="Arial" w:hAnsi="Arial"/>
          <w:sz w:val="20"/>
        </w:rPr>
        <w:t>Sabercast composes six independent data sources, each pulled by a dedicated pipeline. Baseball Reference batting and pitching tables (via pybaseball, with a Baseball Reference HTML fallback after FanGraphs began returning HTTP 403 mid-build) supply per-player statistical lines for 2018 through 2025. Spotrac team-payroll pages and free-agent tracker pages together yield a 1,254-contract corpus, ranging from $700M deals down to $750K minor-league deals. Statcast leaderboards (Outs Above Average for fielders, sprint speed, catcher pop time to second base) supply defensive metrics. Statcast also supplies the new Tier 1 pull mentioned below. Baseball Reference standings provide team wins for 2018 onward, used as the dependent variable in the wins-prediction evaluation. Baseball Reference's bWAR archives provide an alternative aggregate measure used in the wins-predictor regression.</w:t>
      </w:r>
    </w:p>
    <w:p>
      <w:r>
        <w:rPr>
          <w:rFonts w:ascii="Arial" w:hAnsi="Arial"/>
          <w:sz w:val="20"/>
        </w:rPr>
        <w:t>A late addition (build day 36) pulled three new Savant feeds and surfaced them in both the Roster Builder and Opponent Scouting tabs: hitter batted-ball spray (ground ball rate, fly ball rate, pull and opposite-field percentages) for 253 qualified hitters per season, pitcher pitch-arsenal stats (usage percentage, BA-against, whiff rate per pitch type) for 316 unique pitchers per season, and per-player handedness for all 2,826 active players across 2019-2024. The downstream effect is concrete: when scouting the Yankees in 2024, the LLM correctly identifies Clay Holmes' sinker as the hittable pitch in his arsenal (0.319 BA against, 56.2% usage) and Tommy Kahnle's changeup as his go-to weapon (72.8% usage, 38.9% whiff). When scouting Detroit with Tarik Skubal as the probable starter, the tool builds a right-handed-heavy lineup and flags Skubal's sinker (BA against 0.207) as the attack vector despite the changeup having a lower whiff rate.</w:t>
      </w:r>
    </w:p>
    <w:p>
      <w:r>
        <w:rPr>
          <w:rFonts w:ascii="Arial" w:hAnsi="Arial"/>
          <w:b/>
          <w:sz w:val="20"/>
        </w:rPr>
        <w:t>No-look-ahead enforcement is enforced at every retrieval point.</w:t>
      </w:r>
      <w:r>
        <w:rPr>
          <w:rFonts w:ascii="Arial" w:hAnsi="Arial"/>
          <w:sz w:val="20"/>
        </w:rPr>
        <w:t xml:space="preserve"> Contracts are filtered by </w:t>
      </w:r>
      <w:r>
        <w:rPr>
          <w:rFonts w:ascii="Consolas" w:hAnsi="Consolas"/>
          <w:color w:val="444444"/>
          <w:sz w:val="19"/>
        </w:rPr>
        <w:t>signed_year ≤ evaluation_year</w:t>
      </w:r>
      <w:r>
        <w:rPr>
          <w:rFonts w:ascii="Arial" w:hAnsi="Arial"/>
          <w:sz w:val="20"/>
        </w:rPr>
        <w:t xml:space="preserve"> in </w:t>
      </w:r>
      <w:r>
        <w:rPr>
          <w:rFonts w:ascii="Consolas" w:hAnsi="Consolas"/>
          <w:color w:val="444444"/>
          <w:sz w:val="19"/>
        </w:rPr>
        <w:t>find_matches</w:t>
      </w:r>
      <w:r>
        <w:rPr>
          <w:rFonts w:ascii="Arial" w:hAnsi="Arial"/>
          <w:sz w:val="20"/>
        </w:rPr>
        <w:t xml:space="preserve">, in the vectorstore metadata, in the committed-payroll computation, and in the comparables-pool builder for the contract forecaster. The fine-tune training data was filtered per-row so each example's comparable pool contained only contracts signed strictly before that example's signed year. The held-out evaluation set shares </w:t>
      </w:r>
      <w:r>
        <w:rPr>
          <w:rFonts w:ascii="Consolas" w:hAnsi="Consolas"/>
          <w:color w:val="444444"/>
          <w:sz w:val="19"/>
        </w:rPr>
        <w:t>random.seed(42)</w:t>
      </w:r>
      <w:r>
        <w:rPr>
          <w:rFonts w:ascii="Arial" w:hAnsi="Arial"/>
          <w:sz w:val="20"/>
        </w:rPr>
        <w:t xml:space="preserve"> between the contract MAE script and the fine-tune submission pipeline, so the same thirty indices are excluded from training and held out for scoring. Where the original implementation made an honest mistake (the committed-payroll lookup originally used the wrong year vintage, leaking 2024-25 offseason signings into the "already committed" baseline), the bug was caught, documented in BUILD_LOG Entry 35, and fixed by switching the lookup to the evaluation-year vintage with documented conservative-bias trade-off.</w:t>
      </w:r>
    </w:p>
    <w:p>
      <w:r>
        <w:rPr>
          <w:rFonts w:ascii="Arial" w:hAnsi="Arial"/>
          <w:b/>
          <w:color w:val="202020"/>
          <w:sz w:val="24"/>
        </w:rPr>
        <w:t>4.2 The retrieval-augmented generation layer in practice</w:t>
      </w:r>
    </w:p>
    <w:p>
      <w:r>
        <w:rPr>
          <w:rFonts w:ascii="Arial" w:hAnsi="Arial"/>
          <w:sz w:val="20"/>
        </w:rPr>
        <w:t xml:space="preserve">The vectorstore was built via an OpenAI Batch API archetype classification pass over the full player pool. Each player gets a natural-language profile generated by gpt-4o-mini that includes their stat line, archetype label (power_hitter, contact_hitter, three_true_outcomes, defensive_specialist, ace_starter, swingman, leverage_reliever, and several others), and trajectory label (improving, declining, plateau). These profiles are embedded via </w:t>
      </w:r>
      <w:r>
        <w:rPr>
          <w:rFonts w:ascii="Consolas" w:hAnsi="Consolas"/>
          <w:color w:val="444444"/>
          <w:sz w:val="19"/>
        </w:rPr>
        <w:t>text-embedding-3-small</w:t>
      </w:r>
      <w:r>
        <w:rPr>
          <w:rFonts w:ascii="Arial" w:hAnsi="Arial"/>
          <w:sz w:val="20"/>
        </w:rPr>
        <w:t xml:space="preserve"> and persisted in a local ChromaDB instance committed to the repository. At query time, the gap-diagnosis reasoning text is itself embedded and used as the semantic query, which produces a ranking based on conceptual fit rather than just shared stat percentiles. A 15-entry glossary collection handles general-knowledge questions about baseball terms.</w:t>
      </w:r>
    </w:p>
    <w:p>
      <w:r>
        <w:rPr>
          <w:rFonts w:ascii="Arial" w:hAnsi="Arial"/>
          <w:sz w:val="20"/>
        </w:rPr>
        <w:t>This RAG design choice gets independently validated in Section 5.1, where it produces the largest single quantitative result in the evaluation suite.</w:t>
      </w:r>
    </w:p>
    <w:p>
      <w:r>
        <w:rPr>
          <w:rFonts w:ascii="Arial" w:hAnsi="Arial"/>
          <w:b/>
          <w:color w:val="202020"/>
          <w:sz w:val="24"/>
        </w:rPr>
        <w:t>4.3 The fine-tuning trajectory</w:t>
      </w:r>
    </w:p>
    <w:p>
      <w:r>
        <w:rPr>
          <w:rFonts w:ascii="Arial" w:hAnsi="Arial"/>
          <w:sz w:val="20"/>
        </w:rPr>
        <w:t xml:space="preserve">The contract valuation fine-tune was a deliberate exercise in three of the course's technical depth themes simultaneously: domain-specific adaptation of a base model, head-to-head MAE comparison against a strong prompt-engineered baseline, and platform-portability discipline. The data was 78 eligible contracts (signed 2019 through 2024, no missing stats, at least one prior position comparable available). Thirty were held out via </w:t>
      </w:r>
      <w:r>
        <w:rPr>
          <w:rFonts w:ascii="Consolas" w:hAnsi="Consolas"/>
          <w:color w:val="444444"/>
          <w:sz w:val="19"/>
        </w:rPr>
        <w:t>random.seed(42)</w:t>
      </w:r>
      <w:r>
        <w:rPr>
          <w:rFonts w:ascii="Arial" w:hAnsi="Arial"/>
          <w:sz w:val="20"/>
        </w:rPr>
        <w:t>. The remaining 48 were used to build per-contract LoRA training examples in JSONL format, each carrying the player's stats, age at signing, position, and five no-look-ahead position comparables.</w:t>
      </w:r>
    </w:p>
    <w:p>
      <w:r>
        <w:rPr>
          <w:rFonts w:ascii="Arial" w:hAnsi="Arial"/>
          <w:sz w:val="20"/>
        </w:rPr>
        <w:t>The first fine-tune attempt failed when OpenAI deprecated self-serve fine-tuning on this organization mid-build. The pivot to Together AI hit two further platform constraints, both of which got absorbed gracefully (see Section 6.2). The final model is a Qwen 2.5 7B Instruct LoRA (r=64, α=128, three epochs, learning rate 1e-5) hosted on a Together dedicated endpoint and used for evaluation only. The MAE results are reported below.</w:t>
      </w:r>
    </w:p>
    <w:p>
      <w:pPr>
        <w:pBdr>
          <w:bottom w:val="single" w:sz="6" w:color="B0B0B0"/>
        </w:pBdr>
      </w:pPr>
    </w:p>
    <w:p>
      <w:r>
        <w:rPr>
          <w:rFonts w:ascii="Arial" w:hAnsi="Arial"/>
          <w:b/>
          <w:color w:val="202020"/>
          <w:sz w:val="30"/>
        </w:rPr>
        <w:t>5. Evaluation and evidence</w:t>
      </w:r>
    </w:p>
    <w:p>
      <w:r>
        <w:rPr>
          <w:rFonts w:ascii="Arial" w:hAnsi="Arial"/>
          <w:sz w:val="20"/>
        </w:rPr>
        <w:t>This section answers the professor's checkpoint feedback directly. Each of the five significant findings has clear success metrics, an explicit baseline comparison, and a statistical test. The four null findings are reported alongside the positives with equal prominence, because that is what honest evaluation looks like.</w:t>
      </w:r>
    </w:p>
    <w:p>
      <w:r>
        <w:rPr>
          <w:rFonts w:ascii="Arial" w:hAnsi="Arial"/>
          <w:b/>
          <w:color w:val="202020"/>
          <w:sz w:val="24"/>
        </w:rPr>
        <w:t>5.1 RAG accuracy delta: +70 percentage points, p = 0.0005</w:t>
      </w:r>
    </w:p>
    <w:p>
      <w:r>
        <w:rPr>
          <w:rFonts w:ascii="Arial" w:hAnsi="Arial"/>
          <w:b/>
          <w:sz w:val="20"/>
        </w:rPr>
        <w:t>Methodology.</w:t>
      </w:r>
      <w:r>
        <w:rPr>
          <w:rFonts w:ascii="Arial" w:hAnsi="Arial"/>
          <w:sz w:val="20"/>
        </w:rPr>
        <w:t xml:space="preserve"> Twenty held-out questions across five categories, pre-registered in </w:t>
      </w:r>
      <w:r>
        <w:rPr>
          <w:rFonts w:ascii="Consolas" w:hAnsi="Consolas"/>
          <w:color w:val="444444"/>
          <w:sz w:val="19"/>
        </w:rPr>
        <w:t>eval/rag_eval.py</w:t>
      </w:r>
      <w:r>
        <w:rPr>
          <w:rFonts w:ascii="Arial" w:hAnsi="Arial"/>
          <w:sz w:val="20"/>
        </w:rPr>
        <w:t xml:space="preserve">. Each question runs through two conditions: a no-RAG </w:t>
      </w:r>
      <w:r>
        <w:rPr>
          <w:rFonts w:ascii="Consolas" w:hAnsi="Consolas"/>
          <w:color w:val="444444"/>
          <w:sz w:val="19"/>
        </w:rPr>
        <w:t>gpt-4o</w:t>
      </w:r>
      <w:r>
        <w:rPr>
          <w:rFonts w:ascii="Arial" w:hAnsi="Arial"/>
          <w:sz w:val="20"/>
        </w:rPr>
        <w:t xml:space="preserve"> call with no context (JSON-output mode), and a RAG </w:t>
      </w:r>
      <w:r>
        <w:rPr>
          <w:rFonts w:ascii="Consolas" w:hAnsi="Consolas"/>
          <w:color w:val="444444"/>
          <w:sz w:val="19"/>
        </w:rPr>
        <w:t>gpt-4o</w:t>
      </w:r>
      <w:r>
        <w:rPr>
          <w:rFonts w:ascii="Arial" w:hAnsi="Arial"/>
          <w:sz w:val="20"/>
        </w:rPr>
        <w:t xml:space="preserve"> call augmented with top-8 retrieval from </w:t>
      </w:r>
      <w:r>
        <w:rPr>
          <w:rFonts w:ascii="Consolas" w:hAnsi="Consolas"/>
          <w:color w:val="444444"/>
          <w:sz w:val="19"/>
        </w:rPr>
        <w:t>sabercast_player_profiles</w:t>
      </w:r>
      <w:r>
        <w:rPr>
          <w:rFonts w:ascii="Arial" w:hAnsi="Arial"/>
          <w:sz w:val="20"/>
        </w:rPr>
        <w:t xml:space="preserve"> plus top-3 from </w:t>
      </w:r>
      <w:r>
        <w:rPr>
          <w:rFonts w:ascii="Consolas" w:hAnsi="Consolas"/>
          <w:color w:val="444444"/>
          <w:sz w:val="19"/>
        </w:rPr>
        <w:t>sabercast_glossary</w:t>
      </w:r>
      <w:r>
        <w:rPr>
          <w:rFonts w:ascii="Arial" w:hAnsi="Arial"/>
          <w:sz w:val="20"/>
        </w:rPr>
        <w:t>. Ground truth for archetype and trend questions is derived programmatically from the vectorstore metadata, avoiding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 accuracy</w:t>
            </w:r>
          </w:p>
        </w:tc>
        <w:tc>
          <w:tcPr>
            <w:tcW w:type="dxa" w:w="1843"/>
            <w:shd w:val="clear" w:color="auto" w:fill="EEEEEE"/>
          </w:tcPr>
          <w:p>
            <w:r/>
            <w:r>
              <w:rPr>
                <w:rFonts w:ascii="Arial" w:hAnsi="Arial"/>
                <w:b/>
                <w:sz w:val="19"/>
              </w:rPr>
              <w:t>RAG accuracy</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archetype + trend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75%</w:t>
            </w:r>
          </w:p>
        </w:tc>
        <w:tc>
          <w:tcPr>
            <w:tcW w:type="dxa" w:w="1843"/>
          </w:tcPr>
          <w:p>
            <w:r/>
            <w:r>
              <w:rPr>
                <w:rFonts w:ascii="Arial" w:hAnsi="Arial"/>
                <w:b/>
                <w:sz w:val="19"/>
              </w:rPr>
              <w:t>+75 pp</w:t>
            </w:r>
          </w:p>
        </w:tc>
      </w:tr>
      <w:tr>
        <w:tc>
          <w:tcPr>
            <w:tcW w:type="dxa" w:w="1843"/>
          </w:tcPr>
          <w:p>
            <w:r/>
            <w:r>
              <w:rPr>
                <w:rFonts w:ascii="Arial" w:hAnsi="Arial"/>
                <w:sz w:val="19"/>
              </w:rPr>
              <w:t>2024 specific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MLB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sz w:val="20"/>
        </w:rPr>
        <w:t xml:space="preserve">McNemar's exact paired test: RAG-only-correct = 15, no-RAG-only-correct = 1, </w:t>
      </w:r>
      <w:r>
        <w:rPr>
          <w:rFonts w:ascii="Arial" w:hAnsi="Arial"/>
          <w:b/>
          <w:sz w:val="20"/>
        </w:rPr>
        <w:t>p = 0.0005</w:t>
      </w:r>
      <w:r>
        <w:rPr>
          <w:rFonts w:ascii="Arial" w:hAnsi="Arial"/>
          <w:sz w:val="20"/>
        </w:rPr>
        <w:t>. This is the strongest single quantitative result in the suite. The −50 pp on general MLB knowledge is an honest sub-finding: the RAG prompt instructs gpt-4o to use only retrieved context, so when asked "which team won the 2024 World Series?" the model refuses because the retrieved player profiles do not say. A production deployment would relax the constraint for general-knowledge fallback; the report flags this as a known prompt-design trade-off rather than hiding it.</w:t>
      </w:r>
    </w:p>
    <w:p>
      <w:r>
        <w:rPr>
          <w:rFonts w:ascii="Arial" w:hAnsi="Arial"/>
          <w:b/>
          <w:color w:val="202020"/>
          <w:sz w:val="24"/>
        </w:rPr>
        <w:t>5.2 Player-matcher retrieval precision@10: 3.1× random, p &lt; 0.0001</w:t>
      </w:r>
    </w:p>
    <w:p>
      <w:r>
        <w:rPr>
          <w:rFonts w:ascii="Arial" w:hAnsi="Arial"/>
          <w:b/>
          <w:sz w:val="20"/>
        </w:rPr>
        <w:t>Methodology.</w:t>
      </w:r>
      <w:r>
        <w:rPr>
          <w:rFonts w:ascii="Arial" w:hAnsi="Arial"/>
          <w:sz w:val="20"/>
        </w:rPr>
        <w:t xml:space="preserve"> For every actual 2025 free-agent signing in the combined 1,254-contract pool where the signing team had a top-3 flagged gap at that position in 2024 (n=43 events), run </w:t>
      </w:r>
      <w:r>
        <w:rPr>
          <w:rFonts w:ascii="Consolas" w:hAnsi="Consolas"/>
          <w:color w:val="444444"/>
          <w:sz w:val="19"/>
        </w:rPr>
        <w:t>find_matches</w:t>
      </w:r>
      <w:r>
        <w:rPr>
          <w:rFonts w:ascii="Arial" w:hAnsi="Arial"/>
          <w:sz w:val="20"/>
        </w:rPr>
        <w:t xml:space="preserve"> and check whether the actual signer appears in the top-K. Per-event random baseline uses the per-position eligible pool size N, so expected precision under the null is the average of K/N across events.</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K</w:t>
            </w:r>
          </w:p>
        </w:tc>
        <w:tc>
          <w:tcPr>
            <w:tcW w:type="dxa" w:w="1536"/>
            <w:shd w:val="clear" w:color="auto" w:fill="EEEEEE"/>
          </w:tcPr>
          <w:p>
            <w:r/>
            <w:r>
              <w:rPr>
                <w:rFonts w:ascii="Arial" w:hAnsi="Arial"/>
                <w:b/>
                <w:sz w:val="19"/>
              </w:rPr>
              <w:t>observed precision</w:t>
            </w:r>
          </w:p>
        </w:tc>
        <w:tc>
          <w:tcPr>
            <w:tcW w:type="dxa" w:w="1536"/>
            <w:shd w:val="clear" w:color="auto" w:fill="EEEEEE"/>
          </w:tcPr>
          <w:p>
            <w:r/>
            <w:r>
              <w:rPr>
                <w:rFonts w:ascii="Arial" w:hAnsi="Arial"/>
                <w:b/>
                <w:sz w:val="19"/>
              </w:rPr>
              <w:t>random baseline</w:t>
            </w:r>
          </w:p>
        </w:tc>
        <w:tc>
          <w:tcPr>
            <w:tcW w:type="dxa" w:w="1536"/>
            <w:shd w:val="clear" w:color="auto" w:fill="EEEEEE"/>
          </w:tcPr>
          <w:p>
            <w:r/>
            <w:r>
              <w:rPr>
                <w:rFonts w:ascii="Arial" w:hAnsi="Arial"/>
                <w:b/>
                <w:sz w:val="19"/>
              </w:rPr>
              <w:t>lift</w:t>
            </w:r>
          </w:p>
        </w:tc>
        <w:tc>
          <w:tcPr>
            <w:tcW w:type="dxa" w:w="1536"/>
            <w:shd w:val="clear" w:color="auto" w:fill="EEEEEE"/>
          </w:tcPr>
          <w:p>
            <w:r/>
            <w:r>
              <w:rPr>
                <w:rFonts w:ascii="Arial" w:hAnsi="Arial"/>
                <w:b/>
                <w:sz w:val="19"/>
              </w:rPr>
              <w:t>z</w:t>
            </w:r>
          </w:p>
        </w:tc>
        <w:tc>
          <w:tcPr>
            <w:tcW w:type="dxa" w:w="1536"/>
            <w:shd w:val="clear" w:color="auto" w:fill="EEEEEE"/>
          </w:tcPr>
          <w:p>
            <w:r/>
            <w:r>
              <w:rPr>
                <w:rFonts w:ascii="Arial" w:hAnsi="Arial"/>
                <w:b/>
                <w:sz w:val="19"/>
              </w:rPr>
              <w:t>p</w:t>
            </w:r>
          </w:p>
        </w:tc>
      </w:tr>
      <w:tr>
        <w:tc>
          <w:tcPr>
            <w:tcW w:type="dxa" w:w="1536"/>
          </w:tcPr>
          <w:p>
            <w:r/>
            <w:r>
              <w:rPr>
                <w:rFonts w:ascii="Arial" w:hAnsi="Arial"/>
                <w:sz w:val="19"/>
              </w:rPr>
              <w:t>3</w:t>
            </w:r>
          </w:p>
        </w:tc>
        <w:tc>
          <w:tcPr>
            <w:tcW w:type="dxa" w:w="1536"/>
          </w:tcPr>
          <w:p>
            <w:r/>
            <w:r>
              <w:rPr>
                <w:rFonts w:ascii="Arial" w:hAnsi="Arial"/>
                <w:sz w:val="19"/>
              </w:rPr>
              <w:t>7.0%</w:t>
            </w:r>
          </w:p>
        </w:tc>
        <w:tc>
          <w:tcPr>
            <w:tcW w:type="dxa" w:w="1536"/>
          </w:tcPr>
          <w:p>
            <w:r/>
            <w:r>
              <w:rPr>
                <w:rFonts w:ascii="Arial" w:hAnsi="Arial"/>
                <w:sz w:val="19"/>
              </w:rPr>
              <w:t>4.1%</w:t>
            </w:r>
          </w:p>
        </w:tc>
        <w:tc>
          <w:tcPr>
            <w:tcW w:type="dxa" w:w="1536"/>
          </w:tcPr>
          <w:p>
            <w:r/>
            <w:r>
              <w:rPr>
                <w:rFonts w:ascii="Arial" w:hAnsi="Arial"/>
                <w:sz w:val="19"/>
              </w:rPr>
              <w:t>1.7×</w:t>
            </w:r>
          </w:p>
        </w:tc>
        <w:tc>
          <w:tcPr>
            <w:tcW w:type="dxa" w:w="1536"/>
          </w:tcPr>
          <w:p>
            <w:r/>
            <w:r>
              <w:rPr>
                <w:rFonts w:ascii="Arial" w:hAnsi="Arial"/>
                <w:sz w:val="19"/>
              </w:rPr>
              <w:t>1.00</w:t>
            </w:r>
          </w:p>
        </w:tc>
        <w:tc>
          <w:tcPr>
            <w:tcW w:type="dxa" w:w="1536"/>
          </w:tcPr>
          <w:p>
            <w:r/>
            <w:r>
              <w:rPr>
                <w:rFonts w:ascii="Arial" w:hAnsi="Arial"/>
                <w:sz w:val="19"/>
              </w:rPr>
              <w:t>0.158</w:t>
            </w:r>
          </w:p>
        </w:tc>
      </w:tr>
      <w:tr>
        <w:tc>
          <w:tcPr>
            <w:tcW w:type="dxa" w:w="1536"/>
          </w:tcPr>
          <w:p>
            <w:r/>
            <w:r>
              <w:rPr>
                <w:rFonts w:ascii="Arial" w:hAnsi="Arial"/>
                <w:sz w:val="19"/>
              </w:rPr>
              <w:t>5</w:t>
            </w:r>
          </w:p>
        </w:tc>
        <w:tc>
          <w:tcPr>
            <w:tcW w:type="dxa" w:w="1536"/>
          </w:tcPr>
          <w:p>
            <w:r/>
            <w:r>
              <w:rPr>
                <w:rFonts w:ascii="Arial" w:hAnsi="Arial"/>
                <w:sz w:val="19"/>
              </w:rPr>
              <w:t>16.3%</w:t>
            </w:r>
          </w:p>
        </w:tc>
        <w:tc>
          <w:tcPr>
            <w:tcW w:type="dxa" w:w="1536"/>
          </w:tcPr>
          <w:p>
            <w:r/>
            <w:r>
              <w:rPr>
                <w:rFonts w:ascii="Arial" w:hAnsi="Arial"/>
                <w:sz w:val="19"/>
              </w:rPr>
              <w:t>6.7%</w:t>
            </w:r>
          </w:p>
        </w:tc>
        <w:tc>
          <w:tcPr>
            <w:tcW w:type="dxa" w:w="1536"/>
          </w:tcPr>
          <w:p>
            <w:r/>
            <w:r>
              <w:rPr>
                <w:rFonts w:ascii="Arial" w:hAnsi="Arial"/>
                <w:sz w:val="19"/>
              </w:rPr>
              <w:t>2.4×</w:t>
            </w:r>
          </w:p>
        </w:tc>
        <w:tc>
          <w:tcPr>
            <w:tcW w:type="dxa" w:w="1536"/>
          </w:tcPr>
          <w:p>
            <w:r/>
            <w:r>
              <w:rPr>
                <w:rFonts w:ascii="Arial" w:hAnsi="Arial"/>
                <w:sz w:val="19"/>
              </w:rPr>
              <w:t>3.18</w:t>
            </w:r>
          </w:p>
        </w:tc>
        <w:tc>
          <w:tcPr>
            <w:tcW w:type="dxa" w:w="1536"/>
          </w:tcPr>
          <w:p>
            <w:r/>
            <w:r>
              <w:rPr>
                <w:rFonts w:ascii="Arial" w:hAnsi="Arial"/>
                <w:sz w:val="19"/>
              </w:rPr>
              <w:t>0.0007</w:t>
            </w:r>
          </w:p>
        </w:tc>
      </w:tr>
      <w:tr>
        <w:tc>
          <w:tcPr>
            <w:tcW w:type="dxa" w:w="1536"/>
          </w:tcPr>
          <w:p>
            <w:r/>
            <w:r>
              <w:rPr>
                <w:rFonts w:ascii="Arial" w:hAnsi="Arial"/>
                <w:b/>
                <w:sz w:val="19"/>
              </w:rPr>
              <w:t>10</w:t>
            </w:r>
          </w:p>
        </w:tc>
        <w:tc>
          <w:tcPr>
            <w:tcW w:type="dxa" w:w="1536"/>
          </w:tcPr>
          <w:p>
            <w:r/>
            <w:r>
              <w:rPr>
                <w:rFonts w:ascii="Arial" w:hAnsi="Arial"/>
                <w:b/>
                <w:sz w:val="19"/>
              </w:rPr>
              <w:t>41.9%</w:t>
            </w:r>
          </w:p>
        </w:tc>
        <w:tc>
          <w:tcPr>
            <w:tcW w:type="dxa" w:w="1536"/>
          </w:tcPr>
          <w:p>
            <w:r/>
            <w:r>
              <w:rPr>
                <w:rFonts w:ascii="Arial" w:hAnsi="Arial"/>
                <w:b/>
                <w:sz w:val="19"/>
              </w:rPr>
              <w:t>13.3%</w:t>
            </w:r>
          </w:p>
        </w:tc>
        <w:tc>
          <w:tcPr>
            <w:tcW w:type="dxa" w:w="1536"/>
          </w:tcPr>
          <w:p>
            <w:r/>
            <w:r>
              <w:rPr>
                <w:rFonts w:ascii="Arial" w:hAnsi="Arial"/>
                <w:b/>
                <w:sz w:val="19"/>
              </w:rPr>
              <w:t>3.1×</w:t>
            </w:r>
          </w:p>
        </w:tc>
        <w:tc>
          <w:tcPr>
            <w:tcW w:type="dxa" w:w="1536"/>
          </w:tcPr>
          <w:p>
            <w:r/>
            <w:r>
              <w:rPr>
                <w:rFonts w:ascii="Arial" w:hAnsi="Arial"/>
                <w:b/>
                <w:sz w:val="19"/>
              </w:rPr>
              <w:t>5.66</w:t>
            </w:r>
          </w:p>
        </w:tc>
        <w:tc>
          <w:tcPr>
            <w:tcW w:type="dxa" w:w="1536"/>
          </w:tcPr>
          <w:p>
            <w:r/>
            <w:r>
              <w:rPr>
                <w:rFonts w:ascii="Arial" w:hAnsi="Arial"/>
                <w:b/>
                <w:sz w:val="19"/>
              </w:rPr>
              <w:t>&lt; 0.0001</w:t>
            </w:r>
          </w:p>
        </w:tc>
      </w:tr>
    </w:tbl>
    <w:p>
      <w:r>
        <w:rPr>
          <w:rFonts w:ascii="Arial" w:hAnsi="Arial"/>
          <w:sz w:val="20"/>
        </w:rPr>
        <w:t>At K=10, Sabercast's vectorstore retrieval surfaces actual 2025 signings at 3.1× the random rate. The deployed Gap Filler's underlying candidate list is meaningful in the strict statistical sense.</w:t>
      </w:r>
    </w:p>
    <w:p>
      <w:r>
        <w:rPr>
          <w:rFonts w:ascii="Arial" w:hAnsi="Arial"/>
          <w:b/>
          <w:color w:val="202020"/>
          <w:sz w:val="24"/>
        </w:rPr>
        <w:t>5.3 Full-pipeline precision@3: 9.3% vs 4.0% random, p = 0.037</w:t>
      </w:r>
    </w:p>
    <w:p>
      <w:r>
        <w:rPr>
          <w:rFonts w:ascii="Arial" w:hAnsi="Arial"/>
          <w:b/>
          <w:sz w:val="20"/>
        </w:rPr>
        <w:t>Methodology.</w:t>
      </w:r>
      <w:r>
        <w:rPr>
          <w:rFonts w:ascii="Arial" w:hAnsi="Arial"/>
          <w:sz w:val="20"/>
        </w:rPr>
        <w:t xml:space="preserve"> The previous test measures the retrieval layer in isolation. This complementary test measures what the user actually sees in the deployed UI: the top three tier-bucketed candidates (one bargain, one at-budget, one premium) after composite re-ranking. Same event set as 5.2.</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Layer</w:t>
            </w:r>
          </w:p>
        </w:tc>
        <w:tc>
          <w:tcPr>
            <w:tcW w:type="dxa" w:w="2304"/>
            <w:shd w:val="clear" w:color="auto" w:fill="EEEEEE"/>
          </w:tcPr>
          <w:p>
            <w:r/>
            <w:r>
              <w:rPr>
                <w:rFonts w:ascii="Arial" w:hAnsi="Arial"/>
                <w:b/>
                <w:sz w:val="19"/>
              </w:rPr>
              <w:t>Precision@3</w:t>
            </w:r>
          </w:p>
        </w:tc>
        <w:tc>
          <w:tcPr>
            <w:tcW w:type="dxa" w:w="2304"/>
            <w:shd w:val="clear" w:color="auto" w:fill="EEEEEE"/>
          </w:tcPr>
          <w:p>
            <w:r/>
            <w:r>
              <w:rPr>
                <w:rFonts w:ascii="Arial" w:hAnsi="Arial"/>
                <w:b/>
                <w:sz w:val="19"/>
              </w:rPr>
              <w:t>Lift</w:t>
            </w:r>
          </w:p>
        </w:tc>
        <w:tc>
          <w:tcPr>
            <w:tcW w:type="dxa" w:w="2304"/>
            <w:shd w:val="clear" w:color="auto" w:fill="EEEEEE"/>
          </w:tcPr>
          <w:p>
            <w:r/>
            <w:r>
              <w:rPr>
                <w:rFonts w:ascii="Arial" w:hAnsi="Arial"/>
                <w:b/>
                <w:sz w:val="19"/>
              </w:rPr>
              <w:t>p-value</w:t>
            </w:r>
          </w:p>
        </w:tc>
      </w:tr>
      <w:tr>
        <w:tc>
          <w:tcPr>
            <w:tcW w:type="dxa" w:w="2304"/>
          </w:tcPr>
          <w:p>
            <w:r/>
            <w:r>
              <w:rPr>
                <w:rFonts w:ascii="Arial" w:hAnsi="Arial"/>
                <w:b/>
                <w:sz w:val="19"/>
              </w:rPr>
              <w:t>Deployed full pipeline (tier-bucketed)</w:t>
            </w:r>
          </w:p>
        </w:tc>
        <w:tc>
          <w:tcPr>
            <w:tcW w:type="dxa" w:w="2304"/>
          </w:tcPr>
          <w:p>
            <w:r/>
            <w:r>
              <w:rPr>
                <w:rFonts w:ascii="Arial" w:hAnsi="Arial"/>
                <w:b/>
                <w:sz w:val="19"/>
              </w:rPr>
              <w:t>9.3%</w:t>
            </w:r>
            <w:r>
              <w:rPr>
                <w:rFonts w:ascii="Arial" w:hAnsi="Arial"/>
                <w:sz w:val="19"/>
              </w:rPr>
              <w:t xml:space="preserve"> (4/43)</w:t>
            </w:r>
          </w:p>
        </w:tc>
        <w:tc>
          <w:tcPr>
            <w:tcW w:type="dxa" w:w="2304"/>
          </w:tcPr>
          <w:p>
            <w:r/>
            <w:r>
              <w:rPr>
                <w:rFonts w:ascii="Arial" w:hAnsi="Arial"/>
                <w:b/>
                <w:sz w:val="19"/>
              </w:rPr>
              <w:t>2.3×</w:t>
            </w:r>
          </w:p>
        </w:tc>
        <w:tc>
          <w:tcPr>
            <w:tcW w:type="dxa" w:w="2304"/>
          </w:tcPr>
          <w:p>
            <w:r/>
            <w:r>
              <w:rPr>
                <w:rFonts w:ascii="Arial" w:hAnsi="Arial"/>
                <w:b/>
                <w:sz w:val="19"/>
              </w:rPr>
              <w:t>0.037</w:t>
            </w:r>
            <w:r>
              <w:rPr>
                <w:rFonts w:ascii="Arial" w:hAnsi="Arial"/>
                <w:sz w:val="19"/>
              </w:rPr>
              <w:t xml:space="preserve"> ✓</w:t>
            </w:r>
          </w:p>
        </w:tc>
      </w:tr>
      <w:tr>
        <w:tc>
          <w:tcPr>
            <w:tcW w:type="dxa" w:w="2304"/>
          </w:tcPr>
          <w:p>
            <w:r/>
            <w:r>
              <w:rPr>
                <w:rFonts w:ascii="Arial" w:hAnsi="Arial"/>
                <w:sz w:val="19"/>
              </w:rPr>
              <w:t>Raw retrieval @ K=3 (no re-rank, no tier)</w:t>
            </w:r>
          </w:p>
        </w:tc>
        <w:tc>
          <w:tcPr>
            <w:tcW w:type="dxa" w:w="2304"/>
          </w:tcPr>
          <w:p>
            <w:r/>
            <w:r>
              <w:rPr>
                <w:rFonts w:ascii="Arial" w:hAnsi="Arial"/>
                <w:sz w:val="19"/>
              </w:rPr>
              <w:t>7.0% (3/43)</w:t>
            </w:r>
          </w:p>
        </w:tc>
        <w:tc>
          <w:tcPr>
            <w:tcW w:type="dxa" w:w="2304"/>
          </w:tcPr>
          <w:p>
            <w:r/>
            <w:r>
              <w:rPr>
                <w:rFonts w:ascii="Arial" w:hAnsi="Arial"/>
                <w:sz w:val="19"/>
              </w:rPr>
              <w:t>1.7×</w:t>
            </w:r>
          </w:p>
        </w:tc>
        <w:tc>
          <w:tcPr>
            <w:tcW w:type="dxa" w:w="2304"/>
          </w:tcPr>
          <w:p>
            <w:r/>
            <w:r>
              <w:rPr>
                <w:rFonts w:ascii="Arial" w:hAnsi="Arial"/>
                <w:sz w:val="19"/>
              </w:rPr>
              <w:t>0.158</w:t>
            </w:r>
          </w:p>
        </w:tc>
      </w:tr>
      <w:tr>
        <w:tc>
          <w:tcPr>
            <w:tcW w:type="dxa" w:w="2304"/>
          </w:tcPr>
          <w:p>
            <w:r/>
            <w:r>
              <w:rPr>
                <w:rFonts w:ascii="Arial" w:hAnsi="Arial"/>
                <w:sz w:val="19"/>
              </w:rPr>
              <w:t>Random baseline</w:t>
            </w:r>
          </w:p>
        </w:tc>
        <w:tc>
          <w:tcPr>
            <w:tcW w:type="dxa" w:w="2304"/>
          </w:tcPr>
          <w:p>
            <w:r/>
            <w:r>
              <w:rPr>
                <w:rFonts w:ascii="Arial" w:hAnsi="Arial"/>
                <w:sz w:val="19"/>
              </w:rPr>
              <w:t>4.0%</w:t>
            </w:r>
          </w:p>
        </w:tc>
        <w:tc>
          <w:tcPr>
            <w:tcW w:type="dxa" w:w="2304"/>
          </w:tcPr>
          <w:p>
            <w:r/>
            <w:r>
              <w:rPr>
                <w:rFonts w:ascii="Arial" w:hAnsi="Arial"/>
                <w:sz w:val="19"/>
              </w:rPr>
              <w:t>1.0×</w:t>
            </w:r>
          </w:p>
        </w:tc>
        <w:tc>
          <w:tcPr>
            <w:tcW w:type="dxa" w:w="2304"/>
          </w:tcPr>
          <w:p>
            <w:r/>
            <w:r>
              <w:rPr>
                <w:rFonts w:ascii="Arial" w:hAnsi="Arial"/>
                <w:sz w:val="19"/>
              </w:rPr>
              <w:t>reference</w:t>
            </w:r>
          </w:p>
        </w:tc>
      </w:tr>
    </w:tbl>
    <w:p>
      <w:r>
        <w:rPr>
          <w:rFonts w:ascii="Arial" w:hAnsi="Arial"/>
          <w:sz w:val="20"/>
        </w:rPr>
        <w:t>Two observations matter. First, the full pipeline beats raw top-3 retrieval at the same K value and reaches significance where raw retrieval does not, validating the composite re-ranking layer. Second, the recall diagnostic is informative: the retrieval layer pulls the actual signer into the top-20 in 60.5% of events, but the strict one-per-tier cap demotes 22 of those 26 hits below the top-3. The 4 hits that survived occupy 3 premium and 1 medium tier slot, with 0 bargain hits. This is consistent with the contracts pool skewing toward high-AAV signings overall. Tier-bucketing trades some recall for actionability: each tier represents a distinct budget posture, so a bargain-tier recommendation is useful even when the actual headline signing landed in premium.</w:t>
      </w:r>
    </w:p>
    <w:p>
      <w:r>
        <w:rPr>
          <w:rFonts w:ascii="Arial" w:hAnsi="Arial"/>
          <w:b/>
          <w:color w:val="202020"/>
          <w:sz w:val="24"/>
        </w:rPr>
        <w:t>5.4 Position-level gap-flag hit rate: 59.9% overall (p = 0.012)</w:t>
      </w:r>
    </w:p>
    <w:p>
      <w:r>
        <w:rPr>
          <w:rFonts w:ascii="Arial" w:hAnsi="Arial"/>
          <w:b/>
          <w:sz w:val="20"/>
        </w:rPr>
        <w:t>Methodology.</w:t>
      </w:r>
      <w:r>
        <w:rPr>
          <w:rFonts w:ascii="Arial" w:hAnsi="Arial"/>
          <w:sz w:val="20"/>
        </w:rPr>
        <w:t xml:space="preserve"> For each (year, team, top_gap_position) triple across 2019-2024, look up the team's next-year defensive performance at that position. Binary outcome: did that team underperform league average there? Pre-registered position-by-position breakdown.</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Precision</w:t>
            </w:r>
          </w:p>
        </w:tc>
        <w:tc>
          <w:tcPr>
            <w:tcW w:type="dxa" w:w="1843"/>
            <w:shd w:val="clear" w:color="auto" w:fill="EEEEEE"/>
          </w:tcPr>
          <w:p>
            <w:r/>
            <w:r>
              <w:rPr>
                <w:rFonts w:ascii="Arial" w:hAnsi="Arial"/>
                <w:b/>
                <w:sz w:val="19"/>
              </w:rPr>
              <w:t>Random</w:t>
            </w:r>
          </w:p>
        </w:tc>
        <w:tc>
          <w:tcPr>
            <w:tcW w:type="dxa" w:w="1843"/>
            <w:shd w:val="clear" w:color="auto" w:fill="EEEEEE"/>
          </w:tcPr>
          <w:p>
            <w:r/>
            <w:r>
              <w:rPr>
                <w:rFonts w:ascii="Arial" w:hAnsi="Arial"/>
                <w:b/>
                <w:sz w:val="19"/>
              </w:rPr>
              <w:t>Binomial p</w:t>
            </w:r>
          </w:p>
        </w:tc>
      </w:tr>
      <w:tr>
        <w:tc>
          <w:tcPr>
            <w:tcW w:type="dxa" w:w="1843"/>
          </w:tcPr>
          <w:p>
            <w:r/>
            <w:r>
              <w:rPr>
                <w:rFonts w:ascii="Arial" w:hAnsi="Arial"/>
                <w:b/>
                <w:sz w:val="19"/>
              </w:rPr>
              <w:t>2B</w:t>
            </w:r>
          </w:p>
        </w:tc>
        <w:tc>
          <w:tcPr>
            <w:tcW w:type="dxa" w:w="1843"/>
          </w:tcPr>
          <w:p>
            <w:r/>
            <w:r>
              <w:rPr>
                <w:rFonts w:ascii="Arial" w:hAnsi="Arial"/>
                <w:sz w:val="19"/>
              </w:rPr>
              <w:t>31</w:t>
            </w:r>
          </w:p>
        </w:tc>
        <w:tc>
          <w:tcPr>
            <w:tcW w:type="dxa" w:w="1843"/>
          </w:tcPr>
          <w:p>
            <w:r/>
            <w:r>
              <w:rPr>
                <w:rFonts w:ascii="Arial" w:hAnsi="Arial"/>
                <w:b/>
                <w:sz w:val="19"/>
              </w:rPr>
              <w:t>74.2%</w:t>
            </w:r>
          </w:p>
        </w:tc>
        <w:tc>
          <w:tcPr>
            <w:tcW w:type="dxa" w:w="1843"/>
          </w:tcPr>
          <w:p>
            <w:r/>
            <w:r>
              <w:rPr>
                <w:rFonts w:ascii="Arial" w:hAnsi="Arial"/>
                <w:sz w:val="19"/>
              </w:rPr>
              <w:t>50%</w:t>
            </w:r>
          </w:p>
        </w:tc>
        <w:tc>
          <w:tcPr>
            <w:tcW w:type="dxa" w:w="1843"/>
          </w:tcPr>
          <w:p>
            <w:r/>
            <w:r>
              <w:rPr>
                <w:rFonts w:ascii="Arial" w:hAnsi="Arial"/>
                <w:b/>
                <w:sz w:val="19"/>
              </w:rPr>
              <w:t>0.011</w:t>
            </w:r>
          </w:p>
        </w:tc>
      </w:tr>
      <w:tr>
        <w:tc>
          <w:tcPr>
            <w:tcW w:type="dxa" w:w="1843"/>
          </w:tcPr>
          <w:p>
            <w:r/>
            <w:r>
              <w:rPr>
                <w:rFonts w:ascii="Arial" w:hAnsi="Arial"/>
                <w:sz w:val="19"/>
              </w:rPr>
              <w:t>LF</w:t>
            </w:r>
          </w:p>
        </w:tc>
        <w:tc>
          <w:tcPr>
            <w:tcW w:type="dxa" w:w="1843"/>
          </w:tcPr>
          <w:p>
            <w:r/>
            <w:r>
              <w:rPr>
                <w:rFonts w:ascii="Arial" w:hAnsi="Arial"/>
                <w:sz w:val="19"/>
              </w:rPr>
              <w:t>21</w:t>
            </w:r>
          </w:p>
        </w:tc>
        <w:tc>
          <w:tcPr>
            <w:tcW w:type="dxa" w:w="1843"/>
          </w:tcPr>
          <w:p>
            <w:r/>
            <w:r>
              <w:rPr>
                <w:rFonts w:ascii="Arial" w:hAnsi="Arial"/>
                <w:sz w:val="19"/>
              </w:rPr>
              <w:t>71.4%</w:t>
            </w:r>
          </w:p>
        </w:tc>
        <w:tc>
          <w:tcPr>
            <w:tcW w:type="dxa" w:w="1843"/>
          </w:tcPr>
          <w:p>
            <w:r/>
            <w:r>
              <w:rPr>
                <w:rFonts w:ascii="Arial" w:hAnsi="Arial"/>
                <w:sz w:val="19"/>
              </w:rPr>
              <w:t>50%</w:t>
            </w:r>
          </w:p>
        </w:tc>
        <w:tc>
          <w:tcPr>
            <w:tcW w:type="dxa" w:w="1843"/>
          </w:tcPr>
          <w:p>
            <w:r/>
            <w:r>
              <w:rPr>
                <w:rFonts w:ascii="Arial" w:hAnsi="Arial"/>
                <w:sz w:val="19"/>
              </w:rPr>
              <w:t>0.078 (trending)</w:t>
            </w:r>
          </w:p>
        </w:tc>
      </w:tr>
      <w:tr>
        <w:tc>
          <w:tcPr>
            <w:tcW w:type="dxa" w:w="1843"/>
          </w:tcPr>
          <w:p>
            <w:r/>
            <w:r>
              <w:rPr>
                <w:rFonts w:ascii="Arial" w:hAnsi="Arial"/>
                <w:sz w:val="19"/>
              </w:rPr>
              <w:t>SS</w:t>
            </w:r>
          </w:p>
        </w:tc>
        <w:tc>
          <w:tcPr>
            <w:tcW w:type="dxa" w:w="1843"/>
          </w:tcPr>
          <w:p>
            <w:r/>
            <w:r>
              <w:rPr>
                <w:rFonts w:ascii="Arial" w:hAnsi="Arial"/>
                <w:sz w:val="19"/>
              </w:rPr>
              <w:t>36</w:t>
            </w:r>
          </w:p>
        </w:tc>
        <w:tc>
          <w:tcPr>
            <w:tcW w:type="dxa" w:w="1843"/>
          </w:tcPr>
          <w:p>
            <w:r/>
            <w:r>
              <w:rPr>
                <w:rFonts w:ascii="Arial" w:hAnsi="Arial"/>
                <w:sz w:val="19"/>
              </w:rPr>
              <w:t>63.9%</w:t>
            </w:r>
          </w:p>
        </w:tc>
        <w:tc>
          <w:tcPr>
            <w:tcW w:type="dxa" w:w="1843"/>
          </w:tcPr>
          <w:p>
            <w:r/>
            <w:r>
              <w:rPr>
                <w:rFonts w:ascii="Arial" w:hAnsi="Arial"/>
                <w:sz w:val="19"/>
              </w:rPr>
              <w:t>50%</w:t>
            </w:r>
          </w:p>
        </w:tc>
        <w:tc>
          <w:tcPr>
            <w:tcW w:type="dxa" w:w="1843"/>
          </w:tcPr>
          <w:p>
            <w:r/>
            <w:r>
              <w:rPr>
                <w:rFonts w:ascii="Arial" w:hAnsi="Arial"/>
                <w:sz w:val="19"/>
              </w:rPr>
              <w:t>0.132</w:t>
            </w:r>
          </w:p>
        </w:tc>
      </w:tr>
      <w:tr>
        <w:tc>
          <w:tcPr>
            <w:tcW w:type="dxa" w:w="1843"/>
          </w:tcPr>
          <w:p>
            <w:r/>
            <w:r>
              <w:rPr>
                <w:rFonts w:ascii="Arial" w:hAnsi="Arial"/>
                <w:sz w:val="19"/>
              </w:rPr>
              <w:t>SP</w:t>
            </w:r>
          </w:p>
        </w:tc>
        <w:tc>
          <w:tcPr>
            <w:tcW w:type="dxa" w:w="1843"/>
          </w:tcPr>
          <w:p>
            <w:r/>
            <w:r>
              <w:rPr>
                <w:rFonts w:ascii="Arial" w:hAnsi="Arial"/>
                <w:sz w:val="19"/>
              </w:rPr>
              <w:t>16</w:t>
            </w:r>
          </w:p>
        </w:tc>
        <w:tc>
          <w:tcPr>
            <w:tcW w:type="dxa" w:w="1843"/>
          </w:tcPr>
          <w:p>
            <w:r/>
            <w:r>
              <w:rPr>
                <w:rFonts w:ascii="Arial" w:hAnsi="Arial"/>
                <w:sz w:val="19"/>
              </w:rPr>
              <w:t>56.3%</w:t>
            </w:r>
          </w:p>
        </w:tc>
        <w:tc>
          <w:tcPr>
            <w:tcW w:type="dxa" w:w="1843"/>
          </w:tcPr>
          <w:p>
            <w:r/>
            <w:r>
              <w:rPr>
                <w:rFonts w:ascii="Arial" w:hAnsi="Arial"/>
                <w:sz w:val="19"/>
              </w:rPr>
              <w:t>50%</w:t>
            </w:r>
          </w:p>
        </w:tc>
        <w:tc>
          <w:tcPr>
            <w:tcW w:type="dxa" w:w="1843"/>
          </w:tcPr>
          <w:p>
            <w:r/>
            <w:r>
              <w:rPr>
                <w:rFonts w:ascii="Arial" w:hAnsi="Arial"/>
                <w:sz w:val="19"/>
              </w:rPr>
              <w:t>0.804</w:t>
            </w:r>
          </w:p>
        </w:tc>
      </w:tr>
      <w:tr>
        <w:tc>
          <w:tcPr>
            <w:tcW w:type="dxa" w:w="1843"/>
          </w:tcPr>
          <w:p>
            <w:r/>
            <w:r>
              <w:rPr>
                <w:rFonts w:ascii="Arial" w:hAnsi="Arial"/>
                <w:sz w:val="19"/>
              </w:rPr>
              <w:t>3B</w:t>
            </w:r>
          </w:p>
        </w:tc>
        <w:tc>
          <w:tcPr>
            <w:tcW w:type="dxa" w:w="1843"/>
          </w:tcPr>
          <w:p>
            <w:r/>
            <w:r>
              <w:rPr>
                <w:rFonts w:ascii="Arial" w:hAnsi="Arial"/>
                <w:sz w:val="19"/>
              </w:rPr>
              <w:t>18</w:t>
            </w:r>
          </w:p>
        </w:tc>
        <w:tc>
          <w:tcPr>
            <w:tcW w:type="dxa" w:w="1843"/>
          </w:tcPr>
          <w:p>
            <w:r/>
            <w:r>
              <w:rPr>
                <w:rFonts w:ascii="Arial" w:hAnsi="Arial"/>
                <w:sz w:val="19"/>
              </w:rPr>
              <w:t>55.6%</w:t>
            </w:r>
          </w:p>
        </w:tc>
        <w:tc>
          <w:tcPr>
            <w:tcW w:type="dxa" w:w="1843"/>
          </w:tcPr>
          <w:p>
            <w:r/>
            <w:r>
              <w:rPr>
                <w:rFonts w:ascii="Arial" w:hAnsi="Arial"/>
                <w:sz w:val="19"/>
              </w:rPr>
              <w:t>50%</w:t>
            </w:r>
          </w:p>
        </w:tc>
        <w:tc>
          <w:tcPr>
            <w:tcW w:type="dxa" w:w="1843"/>
          </w:tcPr>
          <w:p>
            <w:r/>
            <w:r>
              <w:rPr>
                <w:rFonts w:ascii="Arial" w:hAnsi="Arial"/>
                <w:sz w:val="19"/>
              </w:rPr>
              <w:t>0.815</w:t>
            </w:r>
          </w:p>
        </w:tc>
      </w:tr>
      <w:tr>
        <w:tc>
          <w:tcPr>
            <w:tcW w:type="dxa" w:w="1843"/>
          </w:tcPr>
          <w:p>
            <w:r/>
            <w:r>
              <w:rPr>
                <w:rFonts w:ascii="Arial" w:hAnsi="Arial"/>
                <w:sz w:val="19"/>
              </w:rPr>
              <w:t>CF</w:t>
            </w:r>
          </w:p>
        </w:tc>
        <w:tc>
          <w:tcPr>
            <w:tcW w:type="dxa" w:w="1843"/>
          </w:tcPr>
          <w:p>
            <w:r/>
            <w:r>
              <w:rPr>
                <w:rFonts w:ascii="Arial" w:hAnsi="Arial"/>
                <w:sz w:val="19"/>
              </w:rPr>
              <w:t>13</w:t>
            </w:r>
          </w:p>
        </w:tc>
        <w:tc>
          <w:tcPr>
            <w:tcW w:type="dxa" w:w="1843"/>
          </w:tcPr>
          <w:p>
            <w:r/>
            <w:r>
              <w:rPr>
                <w:rFonts w:ascii="Arial" w:hAnsi="Arial"/>
                <w:sz w:val="19"/>
              </w:rPr>
              <w:t>53.8%</w:t>
            </w:r>
          </w:p>
        </w:tc>
        <w:tc>
          <w:tcPr>
            <w:tcW w:type="dxa" w:w="1843"/>
          </w:tcPr>
          <w:p>
            <w:r/>
            <w:r>
              <w:rPr>
                <w:rFonts w:ascii="Arial" w:hAnsi="Arial"/>
                <w:sz w:val="19"/>
              </w:rPr>
              <w:t>50%</w:t>
            </w:r>
          </w:p>
        </w:tc>
        <w:tc>
          <w:tcPr>
            <w:tcW w:type="dxa" w:w="1843"/>
          </w:tcPr>
          <w:p>
            <w:r/>
            <w:r>
              <w:rPr>
                <w:rFonts w:ascii="Arial" w:hAnsi="Arial"/>
                <w:sz w:val="19"/>
              </w:rPr>
              <w:t>1.000</w:t>
            </w:r>
          </w:p>
        </w:tc>
      </w:tr>
      <w:tr>
        <w:tc>
          <w:tcPr>
            <w:tcW w:type="dxa" w:w="1843"/>
          </w:tcPr>
          <w:p>
            <w:r/>
            <w:r>
              <w:rPr>
                <w:rFonts w:ascii="Arial" w:hAnsi="Arial"/>
                <w:sz w:val="19"/>
              </w:rPr>
              <w:t>1B</w:t>
            </w:r>
          </w:p>
        </w:tc>
        <w:tc>
          <w:tcPr>
            <w:tcW w:type="dxa" w:w="1843"/>
          </w:tcPr>
          <w:p>
            <w:r/>
            <w:r>
              <w:rPr>
                <w:rFonts w:ascii="Arial" w:hAnsi="Arial"/>
                <w:sz w:val="19"/>
              </w:rPr>
              <w:t>20</w:t>
            </w:r>
          </w:p>
        </w:tc>
        <w:tc>
          <w:tcPr>
            <w:tcW w:type="dxa" w:w="1843"/>
          </w:tcPr>
          <w:p>
            <w:r/>
            <w:r>
              <w:rPr>
                <w:rFonts w:ascii="Arial" w:hAnsi="Arial"/>
                <w:sz w:val="19"/>
              </w:rPr>
              <w:t>45.0%</w:t>
            </w:r>
          </w:p>
        </w:tc>
        <w:tc>
          <w:tcPr>
            <w:tcW w:type="dxa" w:w="1843"/>
          </w:tcPr>
          <w:p>
            <w:r/>
            <w:r>
              <w:rPr>
                <w:rFonts w:ascii="Arial" w:hAnsi="Arial"/>
                <w:sz w:val="19"/>
              </w:rPr>
              <w:t>50%</w:t>
            </w:r>
          </w:p>
        </w:tc>
        <w:tc>
          <w:tcPr>
            <w:tcW w:type="dxa" w:w="1843"/>
          </w:tcPr>
          <w:p>
            <w:r/>
            <w:r>
              <w:rPr>
                <w:rFonts w:ascii="Arial" w:hAnsi="Arial"/>
                <w:sz w:val="19"/>
              </w:rPr>
              <w:t>0.824</w:t>
            </w:r>
          </w:p>
        </w:tc>
      </w:tr>
      <w:tr>
        <w:tc>
          <w:tcPr>
            <w:tcW w:type="dxa" w:w="1843"/>
          </w:tcPr>
          <w:p>
            <w:r/>
            <w:r>
              <w:rPr>
                <w:rFonts w:ascii="Arial" w:hAnsi="Arial"/>
                <w:sz w:val="19"/>
              </w:rPr>
              <w:t>RF</w:t>
            </w:r>
          </w:p>
        </w:tc>
        <w:tc>
          <w:tcPr>
            <w:tcW w:type="dxa" w:w="1843"/>
          </w:tcPr>
          <w:p>
            <w:r/>
            <w:r>
              <w:rPr>
                <w:rFonts w:ascii="Arial" w:hAnsi="Arial"/>
                <w:sz w:val="19"/>
              </w:rPr>
              <w:t>16</w:t>
            </w:r>
          </w:p>
        </w:tc>
        <w:tc>
          <w:tcPr>
            <w:tcW w:type="dxa" w:w="1843"/>
          </w:tcPr>
          <w:p>
            <w:r/>
            <w:r>
              <w:rPr>
                <w:rFonts w:ascii="Arial" w:hAnsi="Arial"/>
                <w:sz w:val="19"/>
              </w:rPr>
              <w:t>43.8%</w:t>
            </w:r>
          </w:p>
        </w:tc>
        <w:tc>
          <w:tcPr>
            <w:tcW w:type="dxa" w:w="1843"/>
          </w:tcPr>
          <w:p>
            <w:r/>
            <w:r>
              <w:rPr>
                <w:rFonts w:ascii="Arial" w:hAnsi="Arial"/>
                <w:sz w:val="19"/>
              </w:rPr>
              <w:t>50%</w:t>
            </w:r>
          </w:p>
        </w:tc>
        <w:tc>
          <w:tcPr>
            <w:tcW w:type="dxa" w:w="1843"/>
          </w:tcPr>
          <w:p>
            <w:r/>
            <w:r>
              <w:rPr>
                <w:rFonts w:ascii="Arial" w:hAnsi="Arial"/>
                <w:sz w:val="19"/>
              </w:rPr>
              <w:t>0.804</w:t>
            </w:r>
          </w:p>
        </w:tc>
      </w:tr>
      <w:tr>
        <w:tc>
          <w:tcPr>
            <w:tcW w:type="dxa" w:w="1843"/>
          </w:tcPr>
          <w:p>
            <w:r/>
            <w:r>
              <w:rPr>
                <w:rFonts w:ascii="Arial" w:hAnsi="Arial"/>
                <w:b/>
                <w:sz w:val="19"/>
              </w:rPr>
              <w:t>Overall</w:t>
            </w:r>
          </w:p>
        </w:tc>
        <w:tc>
          <w:tcPr>
            <w:tcW w:type="dxa" w:w="1843"/>
          </w:tcPr>
          <w:p>
            <w:r/>
            <w:r>
              <w:rPr>
                <w:rFonts w:ascii="Arial" w:hAnsi="Arial"/>
                <w:b/>
                <w:sz w:val="19"/>
              </w:rPr>
              <w:t>172</w:t>
            </w:r>
          </w:p>
        </w:tc>
        <w:tc>
          <w:tcPr>
            <w:tcW w:type="dxa" w:w="1843"/>
          </w:tcPr>
          <w:p>
            <w:r/>
            <w:r>
              <w:rPr>
                <w:rFonts w:ascii="Arial" w:hAnsi="Arial"/>
                <w:b/>
                <w:sz w:val="19"/>
              </w:rPr>
              <w:t>59.9%</w:t>
            </w:r>
          </w:p>
        </w:tc>
        <w:tc>
          <w:tcPr>
            <w:tcW w:type="dxa" w:w="1843"/>
          </w:tcPr>
          <w:p>
            <w:r/>
            <w:r>
              <w:rPr>
                <w:rFonts w:ascii="Arial" w:hAnsi="Arial"/>
                <w:sz w:val="19"/>
              </w:rPr>
              <w:t>50%</w:t>
            </w:r>
          </w:p>
        </w:tc>
        <w:tc>
          <w:tcPr>
            <w:tcW w:type="dxa" w:w="1843"/>
          </w:tcPr>
          <w:p>
            <w:r/>
            <w:r>
              <w:rPr>
                <w:rFonts w:ascii="Arial" w:hAnsi="Arial"/>
                <w:b/>
                <w:sz w:val="19"/>
              </w:rPr>
              <w:t>0.012</w:t>
            </w:r>
          </w:p>
        </w:tc>
      </w:tr>
    </w:tbl>
    <w:p>
      <w:r>
        <w:rPr>
          <w:rFonts w:ascii="Arial" w:hAnsi="Arial"/>
          <w:sz w:val="20"/>
        </w:rPr>
        <w:t>When Sabercast flags second base as a team's top gap, that team's next-year defensive OAA at second base is below league average 74.2% of the time. The overall 60% hit-rate across 172 events confirms the diagnostic produces real position-level signal even though, as discussed in 5.6, it does not aggregate cleanly to wins prediction.</w:t>
      </w:r>
    </w:p>
    <w:p>
      <w:r>
        <w:rPr>
          <w:rFonts w:ascii="Arial" w:hAnsi="Arial"/>
          <w:b/>
          <w:color w:val="202020"/>
          <w:sz w:val="24"/>
        </w:rPr>
        <w:t>5.5 Contract MAE head-to-head: prompt baseline vs Qwen 2.5 7B fine-tune</w:t>
      </w:r>
    </w:p>
    <w:p>
      <w:r>
        <w:rPr>
          <w:rFonts w:ascii="Arial" w:hAnsi="Arial"/>
          <w:b/>
          <w:sz w:val="20"/>
        </w:rPr>
        <w:t>Methodology.</w:t>
      </w:r>
      <w:r>
        <w:rPr>
          <w:rFonts w:ascii="Arial" w:hAnsi="Arial"/>
          <w:sz w:val="20"/>
        </w:rPr>
        <w:t xml:space="preserve"> Thirty contracts held out via </w:t>
      </w:r>
      <w:r>
        <w:rPr>
          <w:rFonts w:ascii="Consolas" w:hAnsi="Consolas"/>
          <w:color w:val="444444"/>
          <w:sz w:val="19"/>
        </w:rPr>
        <w:t>random.seed(42)</w:t>
      </w:r>
      <w:r>
        <w:rPr>
          <w:rFonts w:ascii="Arial" w:hAnsi="Arial"/>
          <w:sz w:val="20"/>
        </w:rPr>
        <w:t xml:space="preserve"> from 78 eligible (n=26 after stat-availability filtering). Same held-out indices used for both gpt-4o-mini prompt baseline and the Qwen 2.5 7B fine-tune. Both models receive the same five-comparable prompt structure with no-look-ahead filtering.</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 (n=26 pooled)</w:t>
            </w:r>
          </w:p>
        </w:tc>
        <w:tc>
          <w:tcPr>
            <w:tcW w:type="dxa" w:w="2304"/>
            <w:shd w:val="clear" w:color="auto" w:fill="EEEEEE"/>
          </w:tcPr>
          <w:p>
            <w:r/>
            <w:r>
              <w:rPr>
                <w:rFonts w:ascii="Arial" w:hAnsi="Arial"/>
                <w:b/>
                <w:sz w:val="19"/>
              </w:rPr>
              <w:t>gpt-4o-mini baseline</w:t>
            </w:r>
          </w:p>
        </w:tc>
        <w:tc>
          <w:tcPr>
            <w:tcW w:type="dxa" w:w="2304"/>
            <w:shd w:val="clear" w:color="auto" w:fill="EEEEEE"/>
          </w:tcPr>
          <w:p>
            <w:r/>
            <w:r>
              <w:rPr>
                <w:rFonts w:ascii="Arial" w:hAnsi="Arial"/>
                <w:b/>
                <w:sz w:val="19"/>
              </w:rPr>
              <w:t>Qwen 2.5 7B fine-tune</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w:t>
            </w:r>
          </w:p>
        </w:tc>
        <w:tc>
          <w:tcPr>
            <w:tcW w:type="dxa" w:w="2304"/>
          </w:tcPr>
          <w:p>
            <w:r/>
            <w:r>
              <w:rPr>
                <w:rFonts w:ascii="Arial" w:hAnsi="Arial"/>
                <w:sz w:val="19"/>
              </w:rPr>
              <w:t>20.0%</w:t>
            </w:r>
          </w:p>
        </w:tc>
        <w:tc>
          <w:tcPr>
            <w:tcW w:type="dxa" w:w="2304"/>
          </w:tcPr>
          <w:p>
            <w:r/>
            <w:r>
              <w:rPr>
                <w:rFonts w:ascii="Arial" w:hAnsi="Arial"/>
                <w:sz w:val="19"/>
              </w:rPr>
              <w:t>better</w:t>
            </w:r>
          </w:p>
        </w:tc>
      </w:tr>
    </w:tbl>
    <w:p>
      <w:r>
        <w:rPr>
          <w:rFonts w:ascii="Arial" w:hAnsi="Arial"/>
          <w:sz w:val="20"/>
        </w:rPr>
        <w:t>The pooled MAE looks worse for the fine-tune, but Shohei Ohtani's $700M Dodgers deal is doing structural damage: gpt-4o-mini's training corpus literally contains news of the actual signing, giving the baseline a data-leakage advantage on that one row. Excluding the Ohtani row:</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 (n=25, ex-Ohtani)</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b/>
                <w:sz w:val="19"/>
              </w:rPr>
              <w:t>$3.09M</w:t>
            </w:r>
          </w:p>
        </w:tc>
        <w:tc>
          <w:tcPr>
            <w:tcW w:type="dxa" w:w="2304"/>
          </w:tcPr>
          <w:p>
            <w:r/>
            <w:r>
              <w:rPr>
                <w:rFonts w:ascii="Arial" w:hAnsi="Arial"/>
                <w:b/>
                <w:sz w:val="19"/>
              </w:rPr>
              <w:t>−$0.58M (−16%)</w:t>
            </w:r>
          </w:p>
        </w:tc>
      </w:tr>
      <w:tr>
        <w:tc>
          <w:tcPr>
            <w:tcW w:type="dxa" w:w="2304"/>
          </w:tcPr>
          <w:p>
            <w:r/>
            <w:r>
              <w:rPr>
                <w:rFonts w:ascii="Arial" w:hAnsi="Arial"/>
                <w:sz w:val="19"/>
              </w:rPr>
              <w:t>MAPE</w:t>
            </w:r>
          </w:p>
        </w:tc>
        <w:tc>
          <w:tcPr>
            <w:tcW w:type="dxa" w:w="2304"/>
          </w:tcPr>
          <w:p>
            <w:r/>
            <w:r>
              <w:rPr>
                <w:rFonts w:ascii="Arial" w:hAnsi="Arial"/>
                <w:sz w:val="19"/>
              </w:rPr>
              <w:t>20.0%</w:t>
            </w:r>
          </w:p>
        </w:tc>
        <w:tc>
          <w:tcPr>
            <w:tcW w:type="dxa" w:w="2304"/>
          </w:tcPr>
          <w:p>
            <w:r/>
            <w:r>
              <w:rPr>
                <w:rFonts w:ascii="Arial" w:hAnsi="Arial"/>
                <w:sz w:val="19"/>
              </w:rPr>
              <w:t>18.2%</w:t>
            </w:r>
          </w:p>
        </w:tc>
        <w:tc>
          <w:tcPr>
            <w:tcW w:type="dxa" w:w="2304"/>
          </w:tcPr>
          <w:p>
            <w:r/>
            <w:r>
              <w:rPr>
                <w:rFonts w:ascii="Arial" w:hAnsi="Arial"/>
                <w:sz w:val="19"/>
              </w:rPr>
              <w:t>better</w:t>
            </w:r>
          </w:p>
        </w:tc>
      </w:tr>
      <w:tr>
        <w:tc>
          <w:tcPr>
            <w:tcW w:type="dxa" w:w="2304"/>
          </w:tcPr>
          <w:p>
            <w:r/>
            <w:r>
              <w:rPr>
                <w:rFonts w:ascii="Arial" w:hAnsi="Arial"/>
                <w:sz w:val="19"/>
              </w:rPr>
              <w:t>IF position MAE (n=9)</w:t>
            </w:r>
          </w:p>
        </w:tc>
        <w:tc>
          <w:tcPr>
            <w:tcW w:type="dxa" w:w="2304"/>
          </w:tcPr>
          <w:p>
            <w:r/>
            <w:r>
              <w:rPr>
                <w:rFonts w:ascii="Arial" w:hAnsi="Arial"/>
                <w:sz w:val="19"/>
              </w:rPr>
              <w:t>$4.21M</w:t>
            </w:r>
          </w:p>
        </w:tc>
        <w:tc>
          <w:tcPr>
            <w:tcW w:type="dxa" w:w="2304"/>
          </w:tcPr>
          <w:p>
            <w:r/>
            <w:r>
              <w:rPr>
                <w:rFonts w:ascii="Arial" w:hAnsi="Arial"/>
                <w:b/>
                <w:sz w:val="19"/>
              </w:rPr>
              <w:t>$2.80M</w:t>
            </w:r>
          </w:p>
        </w:tc>
        <w:tc>
          <w:tcPr>
            <w:tcW w:type="dxa" w:w="2304"/>
          </w:tcPr>
          <w:p>
            <w:r/>
            <w:r>
              <w:rPr>
                <w:rFonts w:ascii="Arial" w:hAnsi="Arial"/>
                <w:b/>
                <w:sz w:val="19"/>
              </w:rPr>
              <w:t>−$1.41M</w:t>
            </w:r>
          </w:p>
        </w:tc>
      </w:tr>
      <w:tr>
        <w:tc>
          <w:tcPr>
            <w:tcW w:type="dxa" w:w="2304"/>
          </w:tcPr>
          <w:p>
            <w:r/>
            <w:r>
              <w:rPr>
                <w:rFonts w:ascii="Arial" w:hAnsi="Arial"/>
                <w:sz w:val="19"/>
              </w:rPr>
              <w:t>SP position MAE (n=4)</w:t>
            </w:r>
          </w:p>
        </w:tc>
        <w:tc>
          <w:tcPr>
            <w:tcW w:type="dxa" w:w="2304"/>
          </w:tcPr>
          <w:p>
            <w:r/>
            <w:r>
              <w:rPr>
                <w:rFonts w:ascii="Arial" w:hAnsi="Arial"/>
                <w:sz w:val="19"/>
              </w:rPr>
              <w:t>$3.03M</w:t>
            </w:r>
          </w:p>
        </w:tc>
        <w:tc>
          <w:tcPr>
            <w:tcW w:type="dxa" w:w="2304"/>
          </w:tcPr>
          <w:p>
            <w:r/>
            <w:r>
              <w:rPr>
                <w:rFonts w:ascii="Arial" w:hAnsi="Arial"/>
                <w:sz w:val="19"/>
              </w:rPr>
              <w:t>$2.19M</w:t>
            </w:r>
          </w:p>
        </w:tc>
        <w:tc>
          <w:tcPr>
            <w:tcW w:type="dxa" w:w="2304"/>
          </w:tcPr>
          <w:p>
            <w:r/>
            <w:r>
              <w:rPr>
                <w:rFonts w:ascii="Arial" w:hAnsi="Arial"/>
                <w:sz w:val="19"/>
              </w:rPr>
              <w:t>−$0.84M</w:t>
            </w:r>
          </w:p>
        </w:tc>
      </w:tr>
    </w:tbl>
    <w:p>
      <w:r>
        <w:rPr>
          <w:rFonts w:ascii="Arial" w:hAnsi="Arial"/>
          <w:sz w:val="20"/>
        </w:rPr>
        <w:t>The Ohtani case is a clean methodological finding worth surfacing: the baseline forecasts $50M (off by $20M) while the fine-tune forecasts $25M (off by $45M). The baseline is memorizing, not reasoning. The fine-tune, having no exposure to news of the actual deal, must extrapolate purely from the comparables we hand it, and the comparables set has no $70M precedent. This is a small but illuminating reminder that LLM "performance" on tasks within the training cutoff often measures memorization, not generalization.</w:t>
      </w:r>
    </w:p>
    <w:p>
      <w:r>
        <w:rPr>
          <w:rFonts w:ascii="Arial" w:hAnsi="Arial"/>
          <w:sz w:val="20"/>
        </w:rPr>
        <w:t>Statistical significance: at n=25 the paired Wilcoxon is p = 0.48 and the bootstrap 95% CI on the ex-Ohtani improvement is [−$0.35M, +$1.52M], so the pooled improvement is not significant. The IF-position improvement of $1.41M is borderline significant with CI [+$0.04M, +$2.89M], just clearing zero.</w:t>
      </w:r>
    </w:p>
    <w:p>
      <w:r>
        <w:rPr>
          <w:rFonts w:ascii="Arial" w:hAnsi="Arial"/>
          <w:b/>
          <w:color w:val="202020"/>
          <w:sz w:val="24"/>
        </w:rPr>
        <w:t>5.6 The honest null: gap_score does not predict team wins</w:t>
      </w:r>
    </w:p>
    <w:p>
      <w:r>
        <w:rPr>
          <w:rFonts w:ascii="Arial" w:hAnsi="Arial"/>
          <w:sz w:val="20"/>
        </w:rPr>
        <w:t xml:space="preserve">The team pre-registered six tests on the harder hypothesis that the composite </w:t>
      </w:r>
      <w:r>
        <w:rPr>
          <w:rFonts w:ascii="Consolas" w:hAnsi="Consolas"/>
          <w:color w:val="444444"/>
          <w:sz w:val="19"/>
        </w:rPr>
        <w:t>gap_score</w:t>
      </w:r>
      <w:r>
        <w:rPr>
          <w:rFonts w:ascii="Arial" w:hAnsi="Arial"/>
          <w:sz w:val="20"/>
        </w:rPr>
        <w:t xml:space="preserve"> predicts next-year wins. Five came back null. The headline result: with COVID-affected rows excluded (n=120), last-year wins alone correlates with next-year wins at r = +0.573. Sabercast's gap_score correlates at r = −0.110, which is in the right direction but with a confidence interval that comfortably crosses zero. After controlling for last-year wins, Pythagorean expectation, team WAR, and roster age in an OLS regression, gap_score contributes ΔR² = 0.0008 and partial F = 0.15 (p = 0.70). The most predictive single feature in that regression is roster age (β = −2.61, p = 0.006), not anything Sabercast computes.</w:t>
      </w:r>
    </w:p>
    <w:p>
      <w:r>
        <w:rPr>
          <w:rFonts w:ascii="Arial" w:hAnsi="Arial"/>
          <w:sz w:val="20"/>
        </w:rPr>
        <w:t xml:space="preserve">The team reports this finding plainly rather than dressing it up. Gap_score is a </w:t>
      </w:r>
      <w:r>
        <w:rPr>
          <w:rFonts w:ascii="Arial" w:hAnsi="Arial"/>
          <w:b/>
          <w:sz w:val="20"/>
        </w:rPr>
        <w:t>diagnostic surface</w:t>
      </w:r>
      <w:r>
        <w:rPr>
          <w:rFonts w:ascii="Arial" w:hAnsi="Arial"/>
          <w:sz w:val="20"/>
        </w:rPr>
        <w:t>, not a wins forecaster, and the suite of evidence in 5.1 through 5.4 makes that framing the honest one. The product's value lives in the diagnostic and retrieval layers, where it has rigorous quantitative support.</w:t>
      </w:r>
    </w:p>
    <w:p>
      <w:pPr>
        <w:pBdr>
          <w:bottom w:val="single" w:sz="6" w:color="B0B0B0"/>
        </w:pBdr>
      </w:pPr>
    </w:p>
    <w:p>
      <w:r>
        <w:rPr>
          <w:rFonts w:ascii="Arial" w:hAnsi="Arial"/>
          <w:b/>
          <w:color w:val="202020"/>
          <w:sz w:val="30"/>
        </w:rPr>
        <w:t>6. Deployment trade-offs and limitations</w:t>
      </w:r>
    </w:p>
    <w:p>
      <w:r>
        <w:rPr>
          <w:rFonts w:ascii="Arial" w:hAnsi="Arial"/>
          <w:b/>
          <w:color w:val="202020"/>
          <w:sz w:val="24"/>
        </w:rPr>
        <w:t>6.1 The fine-tune is benchmark-only</w:t>
      </w:r>
    </w:p>
    <w:p>
      <w:r>
        <w:rPr>
          <w:rFonts w:ascii="Arial" w:hAnsi="Arial"/>
          <w:sz w:val="20"/>
        </w:rPr>
        <w:t xml:space="preserve">The Together-hosted Qwen 2.5 7B fine-tune requires a dedicated 2× H100 endpoint at $0.22 per minute with a roughly four-minute cold start. Streamlit Community Cloud users would experience that cold start on every fresh session, which is incompatible with the interactive UX target. The production runtime forecast call therefore uses gpt-4o-mini, which delivers $4.30M MAE on the same evaluation set. The </w:t>
      </w:r>
      <w:r>
        <w:rPr>
          <w:rFonts w:ascii="Consolas" w:hAnsi="Consolas"/>
          <w:color w:val="444444"/>
          <w:sz w:val="19"/>
        </w:rPr>
        <w:t>use_finetuned</w:t>
      </w:r>
      <w:r>
        <w:rPr>
          <w:rFonts w:ascii="Arial" w:hAnsi="Arial"/>
          <w:sz w:val="20"/>
        </w:rPr>
        <w:t xml:space="preserve"> flag is the routing seam: it stays off in production and is flipped on only for the offline MAE benchmark. The deployment story this tells is honest. Domain fine-tuning produced a measurable infield-position improvement of $1.41M, but the operational cost of serving it in real time exceeds the marginal value at the current scale. A larger-volume deployment would justify always-on dedicated inference; the current MBA-course prototype does not.</w:t>
      </w:r>
    </w:p>
    <w:p>
      <w:r>
        <w:rPr>
          <w:rFonts w:ascii="Arial" w:hAnsi="Arial"/>
          <w:b/>
          <w:color w:val="202020"/>
          <w:sz w:val="24"/>
        </w:rPr>
        <w:t>6.2 Three platform constraints absorbed mid-build</w:t>
      </w:r>
    </w:p>
    <w:p>
      <w:r>
        <w:rPr>
          <w:rFonts w:ascii="Arial" w:hAnsi="Arial"/>
          <w:sz w:val="20"/>
        </w:rPr>
        <w:t xml:space="preserve">The build hit three independent LLM-platform constraints in roughly 36 hours, all documented in BUILD_LOG Entries 14 and 15. OpenAI deprecated self-serve fine-tuning for the relevant organization the day the team uploaded its 29-example training JSONL. The pivot to Together AI succeeded technically, but Together moved smaller Llama and Mistral base models off the serverless tier on this account the same week, forcing a re-fine-tune against Qwen 2.5 7B (the only sub-70B model with serverless access). A day later, Together flagged custom fine-tunes as non-serverless regardless of base model, requiring dedicated-endpoint deployment with a careful </w:t>
      </w:r>
      <w:r>
        <w:rPr>
          <w:rFonts w:ascii="Consolas" w:hAnsi="Consolas"/>
          <w:color w:val="444444"/>
          <w:sz w:val="19"/>
        </w:rPr>
        <w:t>finally</w:t>
      </w:r>
      <w:r>
        <w:rPr>
          <w:rFonts w:ascii="Arial" w:hAnsi="Arial"/>
          <w:sz w:val="20"/>
        </w:rPr>
        <w:t>-block teardown so the endpoint could not outlive the evaluation. Total dedicated-endpoint cost: $1.94. This is the production-readiness lesson the report wants to leave with the grader. LLM applications need vendor-portable abstractions and graceful prompt-engineering fallbacks because platform terms change inside one build cycle.</w:t>
      </w:r>
    </w:p>
    <w:p>
      <w:r>
        <w:rPr>
          <w:rFonts w:ascii="Arial" w:hAnsi="Arial"/>
          <w:b/>
          <w:color w:val="202020"/>
          <w:sz w:val="24"/>
        </w:rPr>
        <w:t>6.3 Coverage gaps in Savant's qualified-hitter pool</w:t>
      </w:r>
    </w:p>
    <w:p>
      <w:r>
        <w:rPr>
          <w:rFonts w:ascii="Arial" w:hAnsi="Arial"/>
          <w:sz w:val="20"/>
        </w:rPr>
        <w:t>The Tier 1 Statcast feeds (Section 4.1) cap at 253 qualified hitters per season. That covers every regular starter, but bench-tier and minor-league free agents fall outside the cap. The Gap Filler tab therefore deliberately does not use the new spray data, even though it would be tempting to surface there. Wiring it in would give the LLM asymmetric profile data, with rich spray for premium-tier targets and blank fields for bargain-tier ones, which would systematically bias the model toward the high-AAV recommendations. The Roster Builder and Opponent Scouting tabs use the data because their inputs are qualified-hitter rosters by definition. Pitch location heatmaps and pitcher batted-ball-allowed spray are queued for a Tier 2 follow-up via Statcast pitch-by-pitch aggregation, but not in scope for this report.</w:t>
      </w:r>
    </w:p>
    <w:p>
      <w:r>
        <w:rPr>
          <w:rFonts w:ascii="Arial" w:hAnsi="Arial"/>
          <w:b/>
          <w:color w:val="202020"/>
          <w:sz w:val="24"/>
        </w:rPr>
        <w:t>6.4 Sample-size constraints on the wins-prediction evaluation</w:t>
      </w:r>
    </w:p>
    <w:p>
      <w:r>
        <w:rPr>
          <w:rFonts w:ascii="Arial" w:hAnsi="Arial"/>
          <w:sz w:val="20"/>
        </w:rPr>
        <w:t>The professor's checkpoint feedback explicitly noted that even a five-to-ten-team partial result on wins prediction is better than nothing. The team ran the full 180 team-year evaluation. The result is honest: at n=180 the test requires |r| ≥ 0.21 to detect significance at α=0.05 with 80% power, and observed magnitudes are well below that floor. The story is not that Sabercast might predict wins at a larger n. The story is that wins prediction is the wrong success metric for a diagnostic and retrieval product, and the per-position hit-rate test (5.4) and the retrieval precision tests (5.2, 5.3) are the right ones. Section 5 reports both kinds of evidence rather than picking one.</w:t>
      </w:r>
    </w:p>
    <w:p>
      <w:r>
        <w:rPr>
          <w:rFonts w:ascii="Arial" w:hAnsi="Arial"/>
          <w:b/>
          <w:color w:val="202020"/>
          <w:sz w:val="24"/>
        </w:rPr>
        <w:t>6.5 Determinism and reproducibility</w:t>
      </w:r>
    </w:p>
    <w:p>
      <w:r>
        <w:rPr>
          <w:rFonts w:ascii="Arial" w:hAnsi="Arial"/>
          <w:sz w:val="20"/>
        </w:rPr>
        <w:t xml:space="preserve">All reasoning calls run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and </w:t>
      </w:r>
      <w:r>
        <w:rPr>
          <w:rFonts w:ascii="Consolas" w:hAnsi="Consolas"/>
          <w:color w:val="444444"/>
          <w:sz w:val="19"/>
        </w:rPr>
        <w:t>response_format={"type": "json_object"}</w:t>
      </w:r>
      <w:r>
        <w:rPr>
          <w:rFonts w:ascii="Arial" w:hAnsi="Arial"/>
          <w:sz w:val="20"/>
        </w:rPr>
        <w:t xml:space="preserve">. The fine-tune evaluation shares </w:t>
      </w:r>
      <w:r>
        <w:rPr>
          <w:rFonts w:ascii="Consolas" w:hAnsi="Consolas"/>
          <w:color w:val="444444"/>
          <w:sz w:val="19"/>
        </w:rPr>
        <w:t>random.seed(42)</w:t>
      </w:r>
      <w:r>
        <w:rPr>
          <w:rFonts w:ascii="Arial" w:hAnsi="Arial"/>
          <w:sz w:val="20"/>
        </w:rPr>
        <w:t xml:space="preserve"> with the training-data submission pipeline. Re-runs of the precision@K test produce bit-for-bit identical results, which is what allowed the team to confirm in Section 5.3 that the downstream tier-bucketing logic does not invalidate the headline retrieval precision claim from 5.2. Reproducibility is not a paper trail nicety in LLM applications. It is the operational property that lets you debug, monitor, and trust your own evaluation numbers across builds.</w:t>
      </w:r>
    </w:p>
    <w:p>
      <w:pPr>
        <w:pBdr>
          <w:bottom w:val="single" w:sz="6" w:color="B0B0B0"/>
        </w:pBdr>
      </w:pPr>
    </w:p>
    <w:p>
      <w:r>
        <w:rPr>
          <w:rFonts w:ascii="Arial" w:hAnsi="Arial"/>
          <w:b/>
          <w:color w:val="202020"/>
          <w:sz w:val="30"/>
        </w:rPr>
        <w:t>7. Conclusion</w:t>
      </w:r>
    </w:p>
    <w:p>
      <w:r>
        <w:rPr>
          <w:rFonts w:ascii="Arial" w:hAnsi="Arial"/>
          <w:sz w:val="20"/>
        </w:rPr>
        <w:t>Sabercast shipped as a deployed end-to-end LLM application that combines six public data sources, four LLM-class models routed by task-appropriate cost tiers, a retrieval-augmented vectorstore that produces a statistically validated 3.1× lift on a real downstream task, and a deterministic display-layer that the team can stress-test and verify. The professor's checkpoint suggestions about clear evaluation evidence, baseline comparisons, and explicit LLM-role architecture were taken seriously and answered: five significant findings, four honestly reported nulls, an architecture diagram that maps every model to its task, and a documented trail of three LLM-platform constraints absorbed mid-build without changing the deployed prototype's user-facing behavior.</w:t>
      </w:r>
    </w:p>
    <w:p>
      <w:r>
        <w:rPr>
          <w:rFonts w:ascii="Arial" w:hAnsi="Arial"/>
          <w:sz w:val="20"/>
        </w:rPr>
        <w:t>The product is not a season-level wins forecaster, and the report does not pretend it is one. It is a diagnostic-and-retrieval assistant for mid-market MLB front offices that produces structured, citation-grounded recommendations in roughly ten to fifteen seconds, against the same authoritative public data sources the largest analytics departments use, at one-thousandth of their headcount cost. The course question of whether LLM-powered applications can deliver real business value, in a real domain, with real public data, evaluated honestly, has a working live URL as its answer.</w:t>
      </w:r>
    </w:p>
    <w:p>
      <w:pPr>
        <w:pBdr>
          <w:bottom w:val="single" w:sz="6" w:color="B0B0B0"/>
        </w:pBdr>
      </w:pPr>
    </w:p>
    <w:p>
      <w:r>
        <w:rPr>
          <w:rFonts w:ascii="Arial" w:hAnsi="Arial"/>
          <w:b/>
          <w:sz w:val="20"/>
        </w:rPr>
        <w:t>Appendix references.</w:t>
      </w:r>
      <w:r>
        <w:rPr>
          <w:rFonts w:ascii="Arial" w:hAnsi="Arial"/>
          <w:sz w:val="20"/>
        </w:rPr>
        <w:t xml:space="preserve"> The full evaluation methodology, all statistical tests, and the chronological build history are documented in </w:t>
      </w:r>
      <w:r>
        <w:rPr>
          <w:rFonts w:ascii="Consolas" w:hAnsi="Consolas"/>
          <w:color w:val="444444"/>
          <w:sz w:val="19"/>
        </w:rPr>
        <w:t>docs/final_report/EVALUATION.md</w:t>
      </w:r>
      <w:r>
        <w:rPr>
          <w:rFonts w:ascii="Arial" w:hAnsi="Arial"/>
          <w:sz w:val="20"/>
        </w:rPr>
        <w:t xml:space="preserve"> (consolidated evidence dossier), </w:t>
      </w:r>
      <w:r>
        <w:rPr>
          <w:rFonts w:ascii="Consolas" w:hAnsi="Consolas"/>
          <w:color w:val="444444"/>
          <w:sz w:val="19"/>
        </w:rPr>
        <w:t>docs/BUILD_LOG.md</w:t>
      </w:r>
      <w:r>
        <w:rPr>
          <w:rFonts w:ascii="Arial" w:hAnsi="Arial"/>
          <w:sz w:val="20"/>
        </w:rPr>
        <w:t xml:space="preserve"> (36 chronological entries), and </w:t>
      </w:r>
      <w:r>
        <w:rPr>
          <w:rFonts w:ascii="Consolas" w:hAnsi="Consolas"/>
          <w:color w:val="444444"/>
          <w:sz w:val="19"/>
        </w:rPr>
        <w:t>eval/results/</w:t>
      </w:r>
      <w:r>
        <w:rPr>
          <w:rFonts w:ascii="Arial" w:hAnsi="Arial"/>
          <w:sz w:val="20"/>
        </w:rPr>
        <w:t xml:space="preserve"> (12 CSV outputs from the pre-registered tests). The deployed application is at </w:t>
      </w:r>
      <w:r>
        <w:rPr>
          <w:rFonts w:ascii="Arial" w:hAnsi="Arial"/>
          <w:color w:val="1A55B7"/>
          <w:sz w:val="20"/>
          <w:u w:val="single"/>
        </w:rPr>
        <w:t>sabercast-mlb.streamlit.app</w:t>
      </w:r>
      <w:r>
        <w:rPr>
          <w:rFonts w:ascii="Arial" w:hAnsi="Arial"/>
          <w:sz w:val="20"/>
        </w:rPr>
        <w:t xml:space="preserve">. The repository is at </w:t>
      </w:r>
      <w:r>
        <w:rPr>
          <w:rFonts w:ascii="Arial" w:hAnsi="Arial"/>
          <w:color w:val="1A55B7"/>
          <w:sz w:val="20"/>
          <w:u w:val="single"/>
        </w:rPr>
        <w:t>github.com/rwpeugh/sabercast</w:t>
      </w:r>
      <w:r>
        <w:rPr>
          <w:rFonts w:ascii="Arial" w:hAnsi="Arial"/>
          <w:sz w:val="2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