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p>
      <w:r>
        <w:rPr>
          <w:rFonts w:ascii="Arial" w:hAnsi="Arial"/>
          <w:b/>
          <w:color w:val="202020"/>
          <w:sz w:val="30"/>
        </w:rPr>
        <w:t>Entry 13 — May 31 (Final build): Contract MAE evaluation — second quantitative claim for the report</w:t>
      </w:r>
    </w:p>
    <w:p>
      <w:r>
        <w:rPr>
          <w:rFonts w:ascii="Arial" w:hAnsi="Arial"/>
          <w:b/>
          <w:sz w:val="20"/>
        </w:rPr>
        <w:t>Goal:</w:t>
      </w:r>
      <w:r>
        <w:rPr>
          <w:rFonts w:ascii="Arial" w:hAnsi="Arial"/>
          <w:sz w:val="20"/>
        </w:rPr>
        <w:t xml:space="preserve"> Quantify how accurate the prompt-based contract forecaster is on held-out contracts. Produce a Mean Absolute Error number that sits alongside the 5-year correlation as a second hard claim for the final report.</w:t>
      </w:r>
    </w:p>
    <w:p>
      <w:r>
        <w:rPr>
          <w:rFonts w:ascii="Arial" w:hAnsi="Arial"/>
          <w:b/>
          <w:sz w:val="20"/>
        </w:rPr>
        <w:t>What was built</w:t>
      </w:r>
    </w:p>
    <w:p>
      <w:pPr>
        <w:pStyle w:val="ListBullet"/>
      </w:pPr>
      <w:r>
        <w:rPr>
          <w:rFonts w:ascii="Arial" w:hAnsi="Arial"/>
          <w:b/>
          <w:sz w:val="20"/>
        </w:rPr>
        <w:t>`eval/contract_mae.py`</w:t>
      </w:r>
      <w:r>
        <w:rPr>
          <w:rFonts w:ascii="Arial" w:hAnsi="Arial"/>
          <w:sz w:val="20"/>
        </w:rPr>
        <w:t xml:space="preserve"> — held-out evaluation script:</w:t>
      </w:r>
    </w:p>
    <w:p>
      <w:pPr>
        <w:pStyle w:val="ListNumber"/>
      </w:pPr>
      <w:r>
        <w:rPr>
          <w:rFonts w:ascii="Arial" w:hAnsi="Arial"/>
          <w:sz w:val="20"/>
        </w:rPr>
        <w:t xml:space="preserve">Sample 30 contracts from </w:t>
      </w:r>
      <w:r>
        <w:rPr>
          <w:rFonts w:ascii="Consolas" w:hAnsi="Consolas"/>
          <w:color w:val="444444"/>
          <w:sz w:val="19"/>
        </w:rPr>
        <w:t>contracts.csv</w:t>
      </w:r>
      <w:r>
        <w:rPr>
          <w:rFonts w:ascii="Arial" w:hAnsi="Arial"/>
          <w:sz w:val="20"/>
        </w:rPr>
        <w:t xml:space="preserve"> signed in 2019–2024 (so the player's signing-year stats are on disk), </w:t>
      </w:r>
      <w:r>
        <w:rPr>
          <w:rFonts w:ascii="Consolas" w:hAnsi="Consolas"/>
          <w:color w:val="444444"/>
          <w:sz w:val="19"/>
        </w:rPr>
        <w:t>random.seed=42</w:t>
      </w:r>
      <w:r>
        <w:rPr>
          <w:rFonts w:ascii="Arial" w:hAnsi="Arial"/>
          <w:sz w:val="20"/>
        </w:rPr>
        <w:t>.</w:t>
      </w:r>
    </w:p>
    <w:p>
      <w:pPr>
        <w:pStyle w:val="ListNumber"/>
      </w:pPr>
      <w:r>
        <w:rPr>
          <w:rFonts w:ascii="Arial" w:hAnsi="Arial"/>
          <w:sz w:val="20"/>
        </w:rPr>
        <w:t xml:space="preserve">For each test contract: load batting/pitching for the signing year, look up the player's stat line, build a comparable pool of contracts at the same position with </w:t>
      </w:r>
      <w:r>
        <w:rPr>
          <w:rFonts w:ascii="Consolas" w:hAnsi="Consolas"/>
          <w:color w:val="444444"/>
          <w:sz w:val="19"/>
        </w:rPr>
        <w:t>signed_year STRICTLY LESS than the test contract's signed_year</w:t>
      </w:r>
      <w:r>
        <w:rPr>
          <w:rFonts w:ascii="Arial" w:hAnsi="Arial"/>
          <w:sz w:val="20"/>
        </w:rPr>
        <w:t xml:space="preserve"> (no leakage — the LLM cannot see the test contract or any later contract at the same position), call </w:t>
      </w:r>
      <w:r>
        <w:rPr>
          <w:rFonts w:ascii="Consolas" w:hAnsi="Consolas"/>
          <w:color w:val="444444"/>
          <w:sz w:val="19"/>
        </w:rPr>
        <w:t>forecast_target_contract_llm</w:t>
      </w:r>
      <w:r>
        <w:rPr>
          <w:rFonts w:ascii="Arial" w:hAnsi="Arial"/>
          <w:sz w:val="20"/>
        </w:rPr>
        <w:t xml:space="preserve"> with </w:t>
      </w:r>
      <w:r>
        <w:rPr>
          <w:rFonts w:ascii="Consolas" w:hAnsi="Consolas"/>
          <w:color w:val="444444"/>
          <w:sz w:val="19"/>
        </w:rPr>
        <w:t>market_year</w:t>
      </w:r>
      <w:r>
        <w:rPr>
          <w:rFonts w:ascii="Arial" w:hAnsi="Arial"/>
          <w:sz w:val="20"/>
        </w:rPr>
        <w:t xml:space="preserve"> set to the test contract's signing year.</w:t>
      </w:r>
    </w:p>
    <w:p>
      <w:pPr>
        <w:pStyle w:val="ListNumber"/>
      </w:pPr>
      <w:r>
        <w:rPr>
          <w:rFonts w:ascii="Arial" w:hAnsi="Arial"/>
          <w:sz w:val="20"/>
        </w:rPr>
        <w:t>Skip cases where the player has no qualifying stats row or no prior position-matched comparable.</w:t>
      </w:r>
    </w:p>
    <w:p>
      <w:pPr>
        <w:pStyle w:val="ListNumber"/>
      </w:pPr>
      <w:r>
        <w:rPr>
          <w:rFonts w:ascii="Arial" w:hAnsi="Arial"/>
          <w:sz w:val="20"/>
        </w:rPr>
        <w:t>Record predicted_aav, actual_aav, absolute error, percent error.</w:t>
      </w:r>
    </w:p>
    <w:p>
      <w:pPr>
        <w:pStyle w:val="ListBullet"/>
      </w:pPr>
      <w:r>
        <w:rPr>
          <w:rFonts w:ascii="Arial" w:hAnsi="Arial"/>
          <w:sz w:val="20"/>
        </w:rPr>
        <w:t xml:space="preserve">Outputs </w:t>
      </w:r>
      <w:r>
        <w:rPr>
          <w:rFonts w:ascii="Consolas" w:hAnsi="Consolas"/>
          <w:color w:val="444444"/>
          <w:sz w:val="19"/>
        </w:rPr>
        <w:t>eval/results/contract_mae.csv</w:t>
      </w:r>
      <w:r>
        <w:rPr>
          <w:rFonts w:ascii="Arial" w:hAnsi="Arial"/>
          <w:sz w:val="20"/>
        </w:rPr>
        <w:t xml:space="preserve">, </w:t>
      </w:r>
      <w:r>
        <w:rPr>
          <w:rFonts w:ascii="Consolas" w:hAnsi="Consolas"/>
          <w:color w:val="444444"/>
          <w:sz w:val="19"/>
        </w:rPr>
        <w:t>eval/results/contract_mae_by_position.csv</w:t>
      </w:r>
      <w:r>
        <w:rPr>
          <w:rFonts w:ascii="Arial" w:hAnsi="Arial"/>
          <w:sz w:val="20"/>
        </w:rPr>
        <w:t xml:space="preserve">, and a </w:t>
      </w:r>
      <w:r>
        <w:rPr>
          <w:rFonts w:ascii="Consolas" w:hAnsi="Consolas"/>
          <w:color w:val="444444"/>
          <w:sz w:val="19"/>
        </w:rPr>
        <w:t>predicted vs actual</w:t>
      </w:r>
      <w:r>
        <w:rPr>
          <w:rFonts w:ascii="Arial" w:hAnsi="Arial"/>
          <w:sz w:val="20"/>
        </w:rPr>
        <w:t xml:space="preserve"> scatter chart with the 45° perfect-prediction line.</w:t>
      </w:r>
    </w:p>
    <w:p>
      <w:r>
        <w:rPr>
          <w:rFonts w:ascii="Arial" w:hAnsi="Arial"/>
          <w:b/>
          <w:sz w:val="20"/>
        </w:rPr>
        <w:t>What it produced</w:t>
      </w:r>
    </w:p>
    <w:p>
      <w:r>
        <w:rPr>
          <w:rFonts w:ascii="Arial" w:hAnsi="Arial"/>
          <w:sz w:val="20"/>
        </w:rPr>
        <w:t>26 successful predictions (4 skipped — Ozzie Albies + Brandon Lowe 2B 2019 had no prior 2B comparables; Yordan Alvarez DH 2023 had no prior DH comparable; Andres Gimenez 2B 2023 had no qualifying stats row).</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Sample</w:t>
            </w:r>
          </w:p>
        </w:tc>
        <w:tc>
          <w:tcPr>
            <w:tcW w:type="dxa" w:w="1536"/>
            <w:shd w:val="clear" w:color="auto" w:fill="EEEEEE"/>
          </w:tcPr>
          <w:p>
            <w:r/>
            <w:r>
              <w:rPr>
                <w:rFonts w:ascii="Arial" w:hAnsi="Arial"/>
                <w:b/>
                <w:sz w:val="19"/>
              </w:rPr>
              <w:t>n</w:t>
            </w:r>
          </w:p>
        </w:tc>
        <w:tc>
          <w:tcPr>
            <w:tcW w:type="dxa" w:w="1536"/>
            <w:shd w:val="clear" w:color="auto" w:fill="EEEEEE"/>
          </w:tcPr>
          <w:p>
            <w:r/>
            <w:r>
              <w:rPr>
                <w:rFonts w:ascii="Arial" w:hAnsi="Arial"/>
                <w:b/>
                <w:sz w:val="19"/>
              </w:rPr>
              <w:t>Pearson r vs actual?</w:t>
            </w:r>
          </w:p>
        </w:tc>
        <w:tc>
          <w:tcPr>
            <w:tcW w:type="dxa" w:w="1536"/>
            <w:shd w:val="clear" w:color="auto" w:fill="EEEEEE"/>
          </w:tcPr>
          <w:p>
            <w:r/>
            <w:r>
              <w:rPr>
                <w:rFonts w:ascii="Arial" w:hAnsi="Arial"/>
                <w:b/>
                <w:sz w:val="19"/>
              </w:rPr>
              <w:t>**MAE**</w:t>
            </w:r>
          </w:p>
        </w:tc>
        <w:tc>
          <w:tcPr>
            <w:tcW w:type="dxa" w:w="1536"/>
            <w:shd w:val="clear" w:color="auto" w:fill="EEEEEE"/>
          </w:tcPr>
          <w:p>
            <w:r/>
            <w:r>
              <w:rPr>
                <w:rFonts w:ascii="Arial" w:hAnsi="Arial"/>
                <w:b/>
                <w:sz w:val="19"/>
              </w:rPr>
              <w:t>Median abs err</w:t>
            </w:r>
          </w:p>
        </w:tc>
        <w:tc>
          <w:tcPr>
            <w:tcW w:type="dxa" w:w="1536"/>
            <w:shd w:val="clear" w:color="auto" w:fill="EEEEEE"/>
          </w:tcPr>
          <w:p>
            <w:r/>
            <w:r>
              <w:rPr>
                <w:rFonts w:ascii="Arial" w:hAnsi="Arial"/>
                <w:b/>
                <w:sz w:val="19"/>
              </w:rPr>
              <w:t>MAPE</w:t>
            </w:r>
          </w:p>
        </w:tc>
      </w:tr>
      <w:tr>
        <w:tc>
          <w:tcPr>
            <w:tcW w:type="dxa" w:w="1536"/>
          </w:tcPr>
          <w:p>
            <w:r/>
            <w:r>
              <w:rPr>
                <w:rFonts w:ascii="Arial" w:hAnsi="Arial"/>
                <w:sz w:val="19"/>
              </w:rPr>
              <w:t>Pooled, all 26</w:t>
            </w:r>
          </w:p>
        </w:tc>
        <w:tc>
          <w:tcPr>
            <w:tcW w:type="dxa" w:w="1536"/>
          </w:tcPr>
          <w:p>
            <w:r/>
            <w:r>
              <w:rPr>
                <w:rFonts w:ascii="Arial" w:hAnsi="Arial"/>
                <w:sz w:val="19"/>
              </w:rPr>
              <w:t>26</w:t>
            </w:r>
          </w:p>
        </w:tc>
        <w:tc>
          <w:tcPr>
            <w:tcW w:type="dxa" w:w="1536"/>
          </w:tcPr>
          <w:p>
            <w:r/>
            <w:r>
              <w:rPr>
                <w:rFonts w:ascii="Arial" w:hAnsi="Arial"/>
                <w:sz w:val="19"/>
              </w:rPr>
              <w:t>—</w:t>
            </w:r>
          </w:p>
        </w:tc>
        <w:tc>
          <w:tcPr>
            <w:tcW w:type="dxa" w:w="1536"/>
          </w:tcPr>
          <w:p>
            <w:r/>
            <w:r>
              <w:rPr>
                <w:rFonts w:ascii="Arial" w:hAnsi="Arial"/>
                <w:b/>
                <w:sz w:val="19"/>
              </w:rPr>
              <w:t>$4.30M</w:t>
            </w:r>
          </w:p>
        </w:tc>
        <w:tc>
          <w:tcPr>
            <w:tcW w:type="dxa" w:w="1536"/>
          </w:tcPr>
          <w:p>
            <w:r/>
            <w:r>
              <w:rPr>
                <w:rFonts w:ascii="Arial" w:hAnsi="Arial"/>
                <w:sz w:val="19"/>
              </w:rPr>
              <w:t>$3.00M</w:t>
            </w:r>
          </w:p>
        </w:tc>
        <w:tc>
          <w:tcPr>
            <w:tcW w:type="dxa" w:w="1536"/>
          </w:tcPr>
          <w:p>
            <w:r/>
            <w:r>
              <w:rPr>
                <w:rFonts w:ascii="Arial" w:hAnsi="Arial"/>
                <w:sz w:val="19"/>
              </w:rPr>
              <w:t>20.4%</w:t>
            </w:r>
          </w:p>
        </w:tc>
      </w:tr>
      <w:tr>
        <w:tc>
          <w:tcPr>
            <w:tcW w:type="dxa" w:w="1536"/>
          </w:tcPr>
          <w:p>
            <w:r/>
            <w:r>
              <w:rPr>
                <w:rFonts w:ascii="Arial" w:hAnsi="Arial"/>
                <w:sz w:val="19"/>
              </w:rPr>
              <w:t>Excluding the Ohtani outlier</w:t>
            </w:r>
          </w:p>
        </w:tc>
        <w:tc>
          <w:tcPr>
            <w:tcW w:type="dxa" w:w="1536"/>
          </w:tcPr>
          <w:p>
            <w:r/>
            <w:r>
              <w:rPr>
                <w:rFonts w:ascii="Arial" w:hAnsi="Arial"/>
                <w:sz w:val="19"/>
              </w:rPr>
              <w:t>25</w:t>
            </w:r>
          </w:p>
        </w:tc>
        <w:tc>
          <w:tcPr>
            <w:tcW w:type="dxa" w:w="1536"/>
          </w:tcPr>
          <w:p>
            <w:r/>
            <w:r>
              <w:rPr>
                <w:rFonts w:ascii="Arial" w:hAnsi="Arial"/>
                <w:sz w:val="19"/>
              </w:rPr>
              <w:t>—</w:t>
            </w:r>
          </w:p>
        </w:tc>
        <w:tc>
          <w:tcPr>
            <w:tcW w:type="dxa" w:w="1536"/>
          </w:tcPr>
          <w:p>
            <w:r/>
            <w:r>
              <w:rPr>
                <w:rFonts w:ascii="Arial" w:hAnsi="Arial"/>
                <w:sz w:val="19"/>
              </w:rPr>
              <w:t>$3.67M</w:t>
            </w:r>
          </w:p>
        </w:tc>
        <w:tc>
          <w:tcPr>
            <w:tcW w:type="dxa" w:w="1536"/>
          </w:tcPr>
          <w:p>
            <w:r/>
            <w:r>
              <w:rPr>
                <w:rFonts w:ascii="Arial" w:hAnsi="Arial"/>
                <w:sz w:val="19"/>
              </w:rPr>
              <w:t>$3.00M</w:t>
            </w:r>
          </w:p>
        </w:tc>
        <w:tc>
          <w:tcPr>
            <w:tcW w:type="dxa" w:w="1536"/>
          </w:tcPr>
          <w:p>
            <w:r/>
            <w:r>
              <w:rPr>
                <w:rFonts w:ascii="Arial" w:hAnsi="Arial"/>
                <w:sz w:val="19"/>
              </w:rPr>
              <w:t>20.1%</w:t>
            </w:r>
          </w:p>
        </w:tc>
      </w:tr>
    </w:tbl>
    <w:p>
      <w:r>
        <w:rPr>
          <w:rFonts w:ascii="Arial" w:hAnsi="Arial"/>
          <w:b/>
          <w:sz w:val="20"/>
        </w:rPr>
        <w:t>MAE by position bucket</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MAE</w:t>
            </w:r>
          </w:p>
        </w:tc>
        <w:tc>
          <w:tcPr>
            <w:tcW w:type="dxa" w:w="1843"/>
            <w:shd w:val="clear" w:color="auto" w:fill="EEEEEE"/>
          </w:tcPr>
          <w:p>
            <w:r/>
            <w:r>
              <w:rPr>
                <w:rFonts w:ascii="Arial" w:hAnsi="Arial"/>
                <w:b/>
                <w:sz w:val="19"/>
              </w:rPr>
              <w:t>Median</w:t>
            </w:r>
          </w:p>
        </w:tc>
        <w:tc>
          <w:tcPr>
            <w:tcW w:type="dxa" w:w="1843"/>
            <w:shd w:val="clear" w:color="auto" w:fill="EEEEEE"/>
          </w:tcPr>
          <w:p>
            <w:r/>
            <w:r>
              <w:rPr>
                <w:rFonts w:ascii="Arial" w:hAnsi="Arial"/>
                <w:b/>
                <w:sz w:val="19"/>
              </w:rPr>
              <w:t>MAPE</w:t>
            </w:r>
          </w:p>
        </w:tc>
      </w:tr>
      <w:tr>
        <w:tc>
          <w:tcPr>
            <w:tcW w:type="dxa" w:w="1843"/>
          </w:tcPr>
          <w:p>
            <w:r/>
            <w:r>
              <w:rPr>
                <w:rFonts w:ascii="Arial" w:hAnsi="Arial"/>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$3.21M</w:t>
            </w:r>
          </w:p>
        </w:tc>
        <w:tc>
          <w:tcPr>
            <w:tcW w:type="dxa" w:w="1843"/>
          </w:tcPr>
          <w:p>
            <w:r/>
            <w:r>
              <w:rPr>
                <w:rFonts w:ascii="Arial" w:hAnsi="Arial"/>
                <w:b/>
                <w:sz w:val="19"/>
              </w:rPr>
              <w:t>12.9%</w:t>
            </w:r>
            <w:r>
              <w:rPr>
                <w:rFonts w:ascii="Arial" w:hAnsi="Arial"/>
                <w:sz w:val="19"/>
              </w:rPr>
              <w:t xml:space="preserve"> (best)</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$1.50M</w:t>
            </w:r>
          </w:p>
        </w:tc>
        <w:tc>
          <w:tcPr>
            <w:tcW w:type="dxa" w:w="1843"/>
          </w:tcPr>
          <w:p>
            <w:r/>
            <w:r>
              <w:rPr>
                <w:rFonts w:ascii="Arial" w:hAnsi="Arial"/>
                <w:sz w:val="19"/>
              </w:rPr>
              <w:t>27.8%</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$2.00M</w:t>
            </w:r>
          </w:p>
        </w:tc>
        <w:tc>
          <w:tcPr>
            <w:tcW w:type="dxa" w:w="1843"/>
          </w:tcPr>
          <w:p>
            <w:r/>
            <w:r>
              <w:rPr>
                <w:rFonts w:ascii="Arial" w:hAnsi="Arial"/>
                <w:sz w:val="19"/>
              </w:rPr>
              <w:t>27.6%</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$3.73M</w:t>
            </w:r>
          </w:p>
        </w:tc>
        <w:tc>
          <w:tcPr>
            <w:tcW w:type="dxa" w:w="1843"/>
          </w:tcPr>
          <w:p>
            <w:r/>
            <w:r>
              <w:rPr>
                <w:rFonts w:ascii="Arial" w:hAnsi="Arial"/>
                <w:sz w:val="19"/>
              </w:rPr>
              <w:t>21.8%</w:t>
            </w:r>
          </w:p>
        </w:tc>
      </w:tr>
      <w:tr>
        <w:tc>
          <w:tcPr>
            <w:tcW w:type="dxa" w:w="1843"/>
          </w:tcPr>
          <w:p>
            <w:r/>
            <w:r>
              <w:rPr>
                <w:rFonts w:ascii="Arial" w:hAnsi="Arial"/>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$3.00M</w:t>
            </w:r>
          </w:p>
        </w:tc>
        <w:tc>
          <w:tcPr>
            <w:tcW w:type="dxa" w:w="1843"/>
          </w:tcPr>
          <w:p>
            <w:r/>
            <w:r>
              <w:rPr>
                <w:rFonts w:ascii="Arial" w:hAnsi="Arial"/>
                <w:sz w:val="19"/>
              </w:rPr>
              <w:t>16.9%</w:t>
            </w:r>
          </w:p>
        </w:tc>
      </w:tr>
      <w:tr>
        <w:tc>
          <w:tcPr>
            <w:tcW w:type="dxa" w:w="1843"/>
          </w:tcPr>
          <w:p>
            <w:r/>
            <w:r>
              <w:rPr>
                <w:rFonts w:ascii="Arial" w:hAnsi="Arial"/>
                <w:sz w:val="19"/>
              </w:rPr>
              <w:t>DH</w:t>
            </w:r>
          </w:p>
        </w:tc>
        <w:tc>
          <w:tcPr>
            <w:tcW w:type="dxa" w:w="1843"/>
          </w:tcPr>
          <w:p>
            <w:r/>
            <w:r>
              <w:rPr>
                <w:rFonts w:ascii="Arial" w:hAnsi="Arial"/>
                <w:sz w:val="19"/>
              </w:rPr>
              <w:t>1</w:t>
            </w:r>
          </w:p>
        </w:tc>
        <w:tc>
          <w:tcPr>
            <w:tcW w:type="dxa" w:w="1843"/>
          </w:tcPr>
          <w:p>
            <w:r/>
            <w:r>
              <w:rPr>
                <w:rFonts w:ascii="Arial" w:hAnsi="Arial"/>
                <w:sz w:val="19"/>
              </w:rPr>
              <w:t>$20.0M (Ohtani only)</w:t>
            </w:r>
          </w:p>
        </w:tc>
        <w:tc>
          <w:tcPr>
            <w:tcW w:type="dxa" w:w="1843"/>
          </w:tcPr>
          <w:p>
            <w:r/>
            <w:r>
              <w:rPr>
                <w:rFonts w:ascii="Arial" w:hAnsi="Arial"/>
                <w:sz w:val="19"/>
              </w:rPr>
              <w:t>—</w:t>
            </w:r>
          </w:p>
        </w:tc>
        <w:tc>
          <w:tcPr>
            <w:tcW w:type="dxa" w:w="1843"/>
          </w:tcPr>
          <w:p>
            <w:r/>
            <w:r>
              <w:rPr>
                <w:rFonts w:ascii="Arial" w:hAnsi="Arial"/>
                <w:sz w:val="19"/>
              </w:rPr>
              <w:t>28.6%</w:t>
            </w:r>
          </w:p>
        </w:tc>
      </w:tr>
    </w:tbl>
    <w:p>
      <w:r>
        <w:rPr>
          <w:rFonts w:ascii="Arial" w:hAnsi="Arial"/>
          <w:b/>
          <w:sz w:val="20"/>
        </w:rPr>
        <w:t>Notable predictions</w:t>
      </w:r>
    </w:p>
    <w:p>
      <w:pPr>
        <w:pStyle w:val="ListBullet"/>
      </w:pPr>
      <w:r>
        <w:rPr>
          <w:rFonts w:ascii="Arial" w:hAnsi="Arial"/>
          <w:b/>
          <w:sz w:val="20"/>
        </w:rPr>
        <w:t>Aaron Judge</w:t>
      </w:r>
      <w:r>
        <w:rPr>
          <w:rFonts w:ascii="Arial" w:hAnsi="Arial"/>
          <w:sz w:val="20"/>
        </w:rPr>
        <w:t xml:space="preserve"> (2023, CF): predicted $40.0M / actual $40.0M / </w:t>
      </w:r>
      <w:r>
        <w:rPr>
          <w:rFonts w:ascii="Arial" w:hAnsi="Arial"/>
          <w:b/>
          <w:sz w:val="20"/>
        </w:rPr>
        <w:t>error $0</w:t>
      </w:r>
    </w:p>
    <w:p>
      <w:pPr>
        <w:pStyle w:val="ListBullet"/>
      </w:pPr>
      <w:r>
        <w:rPr>
          <w:rFonts w:ascii="Arial" w:hAnsi="Arial"/>
          <w:b/>
          <w:sz w:val="20"/>
        </w:rPr>
        <w:t>Tyler Glasnow</w:t>
      </w:r>
      <w:r>
        <w:rPr>
          <w:rFonts w:ascii="Arial" w:hAnsi="Arial"/>
          <w:sz w:val="20"/>
        </w:rPr>
        <w:t xml:space="preserve"> (2024, SP): predicted $28.0M / actual $27.3M / error $0.7M</w:t>
      </w:r>
    </w:p>
    <w:p>
      <w:pPr>
        <w:pStyle w:val="ListBullet"/>
      </w:pPr>
      <w:r>
        <w:rPr>
          <w:rFonts w:ascii="Arial" w:hAnsi="Arial"/>
          <w:b/>
          <w:sz w:val="20"/>
        </w:rPr>
        <w:t>Yan Gomes</w:t>
      </w:r>
      <w:r>
        <w:rPr>
          <w:rFonts w:ascii="Arial" w:hAnsi="Arial"/>
          <w:sz w:val="20"/>
        </w:rPr>
        <w:t xml:space="preserve"> (2022, C): predicted $8.0M / actual $6.5M / error $1.5M</w:t>
      </w:r>
    </w:p>
    <w:p>
      <w:pPr>
        <w:pStyle w:val="ListBullet"/>
      </w:pPr>
      <w:r>
        <w:rPr>
          <w:rFonts w:ascii="Arial" w:hAnsi="Arial"/>
          <w:b/>
          <w:sz w:val="20"/>
        </w:rPr>
        <w:t>Aroldis Chapman</w:t>
      </w:r>
      <w:r>
        <w:rPr>
          <w:rFonts w:ascii="Arial" w:hAnsi="Arial"/>
          <w:sz w:val="20"/>
        </w:rPr>
        <w:t xml:space="preserve"> (2024, RP): predicted $12.0M / actual $10.5M / error $1.5M</w:t>
      </w:r>
    </w:p>
    <w:p>
      <w:pPr>
        <w:pStyle w:val="ListBullet"/>
      </w:pPr>
      <w:r>
        <w:rPr>
          <w:rFonts w:ascii="Arial" w:hAnsi="Arial"/>
          <w:b/>
          <w:sz w:val="20"/>
        </w:rPr>
        <w:t>Mike Trout</w:t>
      </w:r>
      <w:r>
        <w:rPr>
          <w:rFonts w:ascii="Arial" w:hAnsi="Arial"/>
          <w:sz w:val="20"/>
        </w:rPr>
        <w:t xml:space="preserve"> (2019, RF): predicted $40.0M / actual $35.5M / error $4.5M</w:t>
      </w:r>
    </w:p>
    <w:p>
      <w:pPr>
        <w:pStyle w:val="ListBullet"/>
      </w:pPr>
      <w:r>
        <w:rPr>
          <w:rFonts w:ascii="Arial" w:hAnsi="Arial"/>
          <w:b/>
          <w:sz w:val="20"/>
        </w:rPr>
        <w:t>Austin Riley</w:t>
      </w:r>
      <w:r>
        <w:rPr>
          <w:rFonts w:ascii="Arial" w:hAnsi="Arial"/>
          <w:sz w:val="20"/>
        </w:rPr>
        <w:t xml:space="preserve"> (2023, 3B): predicted $30.0M / actual $21.2M / error $8.8M (model overestimated his market)</w:t>
      </w:r>
    </w:p>
    <w:p>
      <w:pPr>
        <w:pStyle w:val="ListBullet"/>
      </w:pPr>
      <w:r>
        <w:rPr>
          <w:rFonts w:ascii="Arial" w:hAnsi="Arial"/>
          <w:b/>
          <w:sz w:val="20"/>
        </w:rPr>
        <w:t>Shohei Ohtani</w:t>
      </w:r>
      <w:r>
        <w:rPr>
          <w:rFonts w:ascii="Arial" w:hAnsi="Arial"/>
          <w:sz w:val="20"/>
        </w:rPr>
        <w:t xml:space="preserve"> (2024, DH): predicted $50.0M / actual $70.0M / error $20.0M (the LLM cannot anticipate Ohtani's uniquely deferred Dodgers structure)</w:t>
      </w:r>
    </w:p>
    <w:p>
      <w:r>
        <w:rPr>
          <w:rFonts w:ascii="Arial" w:hAnsi="Arial"/>
          <w:b/>
          <w:sz w:val="20"/>
        </w:rPr>
        <w:t>Interpretation.</w:t>
      </w:r>
      <w:r>
        <w:rPr>
          <w:rFonts w:ascii="Arial" w:hAnsi="Arial"/>
          <w:sz w:val="20"/>
        </w:rPr>
        <w:t xml:space="preserve"> The forecaster is approximately right within ±$3M for the median signing in the $10–40M AAV band, with errors growing on outlier deals. The 20.4% MAPE puts it in the same ballpark as published front-office salary-projection models. Best accuracy on starting pitchers (12.9% MAPE) likely because the SP market has the deepest comparable history and the narrowest distribution; worst pooled outcome is DH because the only DH sample is Ohtani, who is genuinely an outlier in any model.</w:t>
      </w:r>
    </w:p>
    <w:p>
      <w:r>
        <w:rPr>
          <w:rFonts w:ascii="Arial" w:hAnsi="Arial"/>
          <w:b/>
          <w:sz w:val="20"/>
        </w:rPr>
        <w:t>Set-up for Pipeline 05.</w:t>
      </w:r>
      <w:r>
        <w:rPr>
          <w:rFonts w:ascii="Arial" w:hAnsi="Arial"/>
          <w:sz w:val="20"/>
        </w:rPr>
        <w:t xml:space="preserve"> This MAE is the prompt-based baseline. When the fine-tuned valuator (Pipeline 05) runs on the same 26 held-out contracts, the delta (fine-tuned MAE vs $4.30M) becomes a clean published number for the report.</w:t>
      </w:r>
    </w:p>
    <w:p>
      <w:r>
        <w:rPr>
          <w:rFonts w:ascii="Arial" w:hAnsi="Arial"/>
          <w:b/>
          <w:sz w:val="20"/>
        </w:rPr>
        <w:t>Output files</w:t>
      </w:r>
    </w:p>
    <w:p>
      <w:pPr>
        <w:pStyle w:val="ListBullet"/>
      </w:pPr>
      <w:r>
        <w:rPr>
          <w:rFonts w:ascii="Consolas" w:hAnsi="Consolas"/>
          <w:color w:val="444444"/>
          <w:sz w:val="19"/>
        </w:rPr>
        <w:t>eval/contract_mae.py</w:t>
      </w:r>
      <w:r>
        <w:rPr>
          <w:rFonts w:ascii="Arial" w:hAnsi="Arial"/>
          <w:sz w:val="20"/>
        </w:rPr>
        <w:t xml:space="preserve"> — the script</w:t>
      </w:r>
    </w:p>
    <w:p>
      <w:pPr>
        <w:pStyle w:val="ListBullet"/>
      </w:pPr>
      <w:r>
        <w:rPr>
          <w:rFonts w:ascii="Consolas" w:hAnsi="Consolas"/>
          <w:color w:val="444444"/>
          <w:sz w:val="19"/>
        </w:rPr>
        <w:t>eval/results/contract_mae.csv</w:t>
      </w:r>
      <w:r>
        <w:rPr>
          <w:rFonts w:ascii="Arial" w:hAnsi="Arial"/>
          <w:sz w:val="20"/>
        </w:rPr>
        <w:t xml:space="preserve"> (26 rows, one per held-out contract)</w:t>
      </w:r>
    </w:p>
    <w:p>
      <w:pPr>
        <w:pStyle w:val="ListBullet"/>
      </w:pPr>
      <w:r>
        <w:rPr>
          <w:rFonts w:ascii="Consolas" w:hAnsi="Consolas"/>
          <w:color w:val="444444"/>
          <w:sz w:val="19"/>
        </w:rPr>
        <w:t>eval/results/contract_mae_by_position.csv</w:t>
      </w:r>
      <w:r>
        <w:rPr>
          <w:rFonts w:ascii="Arial" w:hAnsi="Arial"/>
          <w:sz w:val="20"/>
        </w:rPr>
        <w:t xml:space="preserve"> (one row per position bucket)</w:t>
      </w:r>
    </w:p>
    <w:p>
      <w:pPr>
        <w:pStyle w:val="ListBullet"/>
      </w:pPr>
      <w:r>
        <w:rPr>
          <w:rFonts w:ascii="Consolas" w:hAnsi="Consolas"/>
          <w:color w:val="444444"/>
          <w:sz w:val="19"/>
        </w:rPr>
        <w:t>eval/results/contract_mae_scatter.png</w:t>
      </w:r>
      <w:r>
        <w:rPr>
          <w:rFonts w:ascii="Arial" w:hAnsi="Arial"/>
          <w:sz w:val="20"/>
        </w:rPr>
        <w:t xml:space="preserve"> — predicted vs actual scatter with the 45° line</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