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sz w:val="28"/>
        </w:rPr>
        <w:t>ПРИЛОЖЕНИЕ № 1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sz w:val="22"/>
        </w:rPr>
        <w:t>к Договору № 71 / 2026 от «03» сентября 2026 г.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sz w:val="22"/>
        </w:rPr>
        <w:t>г. Казань                                                              «03» сентября 2026 г.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sz w:val="20"/>
        </w:rPr>
        <w:t>Заказчик: ООО «Цементоптторг-Риэлт» («Заказчик») и Исполнитель: ИП Мухаметзянов Булат Ирекович («Исполнитель») согласовали настоящее Приложение. Во всём, что прямо не изменено ниже, действуют условия Договора (включая приёмку, классификацию замечаний А/Б/В, Круг приёмки, запрет раздачи до Акта, UAT и разбор документов как доп. работы).</w:t>
      </w:r>
    </w:p>
    <w:p>
      <w:pPr>
        <w:spacing w:after="120" w:before="80"/>
      </w:pPr>
      <w:r>
        <w:rPr>
          <w:rFonts w:ascii="Times New Roman" w:hAnsi="Times New Roman" w:eastAsia="Times New Roman"/>
          <w:b/>
          <w:sz w:val="24"/>
        </w:rPr>
        <w:t>1. ПРОЕКТ</w:t>
      </w:r>
    </w:p>
    <w:p>
      <w:pPr>
        <w:spacing w:after="80" w:before="0"/>
      </w:pPr>
      <w:r>
        <w:rPr>
          <w:rFonts w:ascii="Times New Roman" w:hAnsi="Times New Roman" w:eastAsia="Times New Roman"/>
          <w:b/>
          <w:sz w:val="22"/>
        </w:rPr>
        <w:t xml:space="preserve">Наименование: </w:t>
      </w:r>
      <w:r>
        <w:rPr>
          <w:rFonts w:ascii="Times New Roman" w:hAnsi="Times New Roman" w:eastAsia="Times New Roman"/>
          <w:b w:val="0"/>
          <w:sz w:val="22"/>
        </w:rPr>
        <w:t>сайт проката «Вольница» (квадроциклы летом, снегоходы зимой)</w:t>
      </w:r>
    </w:p>
    <w:p>
      <w:pPr>
        <w:spacing w:after="80" w:before="0"/>
      </w:pPr>
      <w:r>
        <w:rPr>
          <w:rFonts w:ascii="Times New Roman" w:hAnsi="Times New Roman" w:eastAsia="Times New Roman"/>
          <w:b/>
          <w:sz w:val="22"/>
        </w:rPr>
        <w:t xml:space="preserve">Ответственный Заказчика: </w:t>
      </w:r>
      <w:r>
        <w:rPr>
          <w:rFonts w:ascii="Times New Roman" w:hAnsi="Times New Roman" w:eastAsia="Times New Roman"/>
          <w:b w:val="0"/>
          <w:sz w:val="22"/>
        </w:rPr>
        <w:t>Шишикин Андрей Викторович; email: 5trestkazan@mail.ru; тел.: (843) 560-10-32</w:t>
      </w:r>
    </w:p>
    <w:p>
      <w:pPr>
        <w:spacing w:after="80" w:before="0"/>
      </w:pPr>
      <w:r>
        <w:rPr>
          <w:rFonts w:ascii="Times New Roman" w:hAnsi="Times New Roman" w:eastAsia="Times New Roman"/>
          <w:b/>
          <w:sz w:val="22"/>
        </w:rPr>
        <w:t xml:space="preserve">Вариант объёма: </w:t>
      </w:r>
      <w:r>
        <w:rPr>
          <w:rFonts w:ascii="Times New Roman" w:hAnsi="Times New Roman" w:eastAsia="Times New Roman"/>
          <w:b w:val="0"/>
          <w:sz w:val="22"/>
        </w:rPr>
        <w:t>стандарт (сайт, CMS, модуль маршрутов и личный кабинет)</w:t>
      </w:r>
    </w:p>
    <w:p>
      <w:pPr>
        <w:spacing w:after="40" w:before="80"/>
      </w:pPr>
      <w:r>
        <w:rPr>
          <w:rFonts w:ascii="Times New Roman" w:hAnsi="Times New Roman" w:eastAsia="Times New Roman"/>
          <w:b/>
          <w:sz w:val="22"/>
        </w:rPr>
        <w:t>Стек (фиксируем):</w:t>
      </w:r>
    </w:p>
    <w:p>
      <w:pPr>
        <w:spacing w:after="20" w:before="0"/>
      </w:pPr>
      <w:r>
        <w:rPr>
          <w:rFonts w:ascii="Times New Roman" w:hAnsi="Times New Roman" w:eastAsia="Times New Roman"/>
          <w:b w:val="0"/>
          <w:sz w:val="20"/>
        </w:rPr>
        <w:t>1. Frontend и серверная часть сайта: Next.js (или согласованный аналог на Node.js)</w:t>
      </w:r>
    </w:p>
    <w:p>
      <w:pPr>
        <w:spacing w:after="20" w:before="0"/>
      </w:pPr>
      <w:r>
        <w:rPr>
          <w:rFonts w:ascii="Times New Roman" w:hAnsi="Times New Roman" w:eastAsia="Times New Roman"/>
          <w:b w:val="0"/>
          <w:sz w:val="20"/>
        </w:rPr>
        <w:t>2. CMS: Payload CMS</w:t>
      </w:r>
    </w:p>
    <w:p>
      <w:pPr>
        <w:spacing w:after="20" w:before="0"/>
      </w:pPr>
      <w:r>
        <w:rPr>
          <w:rFonts w:ascii="Times New Roman" w:hAnsi="Times New Roman" w:eastAsia="Times New Roman"/>
          <w:b w:val="0"/>
          <w:sz w:val="20"/>
        </w:rPr>
        <w:t>3. База данных: PostgreSQL (лиды и заявки)</w:t>
      </w:r>
    </w:p>
    <w:p>
      <w:pPr>
        <w:spacing w:after="20" w:before="0"/>
      </w:pPr>
      <w:r>
        <w:rPr>
          <w:rFonts w:ascii="Times New Roman" w:hAnsi="Times New Roman" w:eastAsia="Times New Roman"/>
          <w:b w:val="0"/>
          <w:sz w:val="20"/>
        </w:rPr>
        <w:t>4. Хостинг: по согласованию Сторон (сервер Заказчика либо развёртывание Исполнителем)</w:t>
      </w:r>
    </w:p>
    <w:p>
      <w:pPr>
        <w:spacing w:after="20" w:before="0"/>
      </w:pPr>
      <w:r>
        <w:rPr>
          <w:rFonts w:ascii="Times New Roman" w:hAnsi="Times New Roman" w:eastAsia="Times New Roman"/>
          <w:b w:val="0"/>
          <w:sz w:val="20"/>
        </w:rPr>
        <w:t>5. Уведомления: Telegram-бот либо email (один канал на выбор Заказчика до старта)</w:t>
      </w:r>
    </w:p>
    <w:p>
      <w:pPr>
        <w:spacing w:after="80" w:before="200"/>
      </w:pPr>
      <w:r>
        <w:rPr>
          <w:rFonts w:ascii="Times New Roman" w:hAnsi="Times New Roman" w:eastAsia="Times New Roman"/>
          <w:b/>
          <w:sz w:val="24"/>
        </w:rPr>
        <w:t>2. SCOPE / ТЗ И ТАБЛИЦА ПРИЁМКИ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0"/>
        </w:rPr>
        <w:t>2.1. Объём работ определяется таблицей user stories (US-01 – US-06) ниже. Приёмка этапа осуществляется только по этой таблице: каждый US считается выполненным, если соблюдены требования и сценарий приёмки соответствующей строки. Всё, что не описано в таблице, является дополнительными работами по ставке настоящего Приложения: 2 000 (две тысячи) рублей за 1 (один) час (особые условия к п. 6.16 Договора для данного этапа).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sz w:val="20"/>
        </w:rPr>
        <w:t>2.2. Источник дизайна: согласованные прототипы Заказчика (макеты сайта «Вольница»). Новые экраны вне прототипов в объём не входят.</w:t>
      </w:r>
    </w:p>
    <w:p>
      <w:pPr>
        <w:spacing w:after="80" w:before="0"/>
      </w:pPr>
      <w:r>
        <w:rPr>
          <w:rFonts w:ascii="Times New Roman" w:hAnsi="Times New Roman" w:eastAsia="Times New Roman"/>
          <w:b/>
          <w:sz w:val="22"/>
        </w:rPr>
        <w:t>2.3. Сводная смета этапа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AD3" w:val="clea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US</w:t>
            </w:r>
          </w:p>
        </w:tc>
        <w:tc>
          <w:tcPr>
            <w:tcW w:type="dxa" w:w="24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AD3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Модуль</w:t>
            </w:r>
          </w:p>
        </w:tc>
        <w:tc>
          <w:tcPr>
            <w:tcW w:type="dxa" w:w="24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AD3" w:val="clea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Часы</w:t>
            </w:r>
          </w:p>
        </w:tc>
        <w:tc>
          <w:tcPr>
            <w:tcW w:type="dxa" w:w="24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AD3" w:val="clea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Стоимость, руб.</w:t>
            </w:r>
          </w:p>
        </w:tc>
      </w:tr>
      <w:tr>
        <w:tc>
          <w:tcPr>
            <w:tcW w:type="dxa" w:w="24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US-01</w:t>
            </w:r>
          </w:p>
        </w:tc>
        <w:tc>
          <w:tcPr>
            <w:tcW w:type="dxa" w:w="24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Домен и старт</w:t>
            </w:r>
          </w:p>
        </w:tc>
        <w:tc>
          <w:tcPr>
            <w:tcW w:type="dxa" w:w="24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4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4 000</w:t>
            </w:r>
          </w:p>
        </w:tc>
      </w:tr>
      <w:tr>
        <w:tc>
          <w:tcPr>
            <w:tcW w:type="dxa" w:w="24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US-02</w:t>
            </w:r>
          </w:p>
        </w:tc>
        <w:tc>
          <w:tcPr>
            <w:tcW w:type="dxa" w:w="24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Дизайн по прототипам</w:t>
            </w:r>
          </w:p>
        </w:tc>
        <w:tc>
          <w:tcPr>
            <w:tcW w:type="dxa" w:w="24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4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8 000</w:t>
            </w:r>
          </w:p>
        </w:tc>
      </w:tr>
      <w:tr>
        <w:tc>
          <w:tcPr>
            <w:tcW w:type="dxa" w:w="24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US-03</w:t>
            </w:r>
          </w:p>
        </w:tc>
        <w:tc>
          <w:tcPr>
            <w:tcW w:type="dxa" w:w="24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Вёрстка и страницы</w:t>
            </w:r>
          </w:p>
        </w:tc>
        <w:tc>
          <w:tcPr>
            <w:tcW w:type="dxa" w:w="24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4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14 000</w:t>
            </w:r>
          </w:p>
        </w:tc>
      </w:tr>
      <w:tr>
        <w:tc>
          <w:tcPr>
            <w:tcW w:type="dxa" w:w="24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US-04</w:t>
            </w:r>
          </w:p>
        </w:tc>
        <w:tc>
          <w:tcPr>
            <w:tcW w:type="dxa" w:w="24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Payload CMS и PostgreSQL</w:t>
            </w:r>
          </w:p>
        </w:tc>
        <w:tc>
          <w:tcPr>
            <w:tcW w:type="dxa" w:w="24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</w:t>
            </w:r>
          </w:p>
        </w:tc>
        <w:tc>
          <w:tcPr>
            <w:tcW w:type="dxa" w:w="24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18 000</w:t>
            </w:r>
          </w:p>
        </w:tc>
      </w:tr>
      <w:tr>
        <w:tc>
          <w:tcPr>
            <w:tcW w:type="dxa" w:w="24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US-05</w:t>
            </w:r>
          </w:p>
        </w:tc>
        <w:tc>
          <w:tcPr>
            <w:tcW w:type="dxa" w:w="24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QA, правки, сдача</w:t>
            </w:r>
          </w:p>
        </w:tc>
        <w:tc>
          <w:tcPr>
            <w:tcW w:type="dxa" w:w="24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4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6 000</w:t>
            </w:r>
          </w:p>
        </w:tc>
      </w:tr>
      <w:tr>
        <w:tc>
          <w:tcPr>
            <w:tcW w:type="dxa" w:w="24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US-06</w:t>
            </w:r>
          </w:p>
        </w:tc>
        <w:tc>
          <w:tcPr>
            <w:tcW w:type="dxa" w:w="24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Прогресс маршрутов и ЛК</w:t>
            </w:r>
          </w:p>
        </w:tc>
        <w:tc>
          <w:tcPr>
            <w:tcW w:type="dxa" w:w="24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</w:t>
            </w:r>
          </w:p>
        </w:tc>
        <w:tc>
          <w:tcPr>
            <w:tcW w:type="dxa" w:w="24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20 000</w:t>
            </w:r>
          </w:p>
        </w:tc>
      </w:tr>
      <w:tr>
        <w:tc>
          <w:tcPr>
            <w:tcW w:type="dxa" w:w="24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2CC" w:val="clea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Итого</w:t>
            </w:r>
          </w:p>
        </w:tc>
        <w:tc>
          <w:tcPr>
            <w:tcW w:type="dxa" w:w="24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2CC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Этап 1 (полная поставка)</w:t>
            </w:r>
          </w:p>
        </w:tc>
        <w:tc>
          <w:tcPr>
            <w:tcW w:type="dxa" w:w="24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2CC" w:val="clea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35</w:t>
            </w:r>
          </w:p>
        </w:tc>
        <w:tc>
          <w:tcPr>
            <w:tcW w:type="dxa" w:w="24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2CC" w:val="clea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70 000</w:t>
            </w:r>
          </w:p>
        </w:tc>
      </w:tr>
    </w:tbl>
    <w:p>
      <w:pPr>
        <w:spacing w:after="120" w:before="0"/>
      </w:pPr>
    </w:p>
    <w:p>
      <w:pPr>
        <w:spacing w:after="80" w:before="0"/>
      </w:pPr>
      <w:r>
        <w:rPr>
          <w:rFonts w:ascii="Times New Roman" w:hAnsi="Times New Roman" w:eastAsia="Times New Roman"/>
          <w:b/>
          <w:sz w:val="22"/>
        </w:rPr>
        <w:t>2.4. Детализация user stories (требования, история пользователя, сценарий приёмки)</w:t>
      </w:r>
    </w:p>
    <w:p>
      <w:pPr>
        <w:spacing w:after="60" w:before="160"/>
      </w:pPr>
      <w:r>
        <w:rPr>
          <w:rFonts w:ascii="Times New Roman" w:hAnsi="Times New Roman" w:eastAsia="Times New Roman"/>
          <w:b/>
          <w:sz w:val="20"/>
        </w:rPr>
        <w:t>US-01. Домен и старт  |  2 ч  |  4 000 руб.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Поле</w:t>
            </w:r>
          </w:p>
        </w:tc>
        <w:tc>
          <w:tcPr>
            <w:tcW w:type="dxa" w:w="76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Содержание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Требования</w:t>
            </w:r>
          </w:p>
        </w:tc>
        <w:tc>
          <w:tcPr>
            <w:tcW w:type="dxa" w:w="76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Функциональные: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регистрация домена в зоне .ru; настройка DNS; SSL (HTTPS); привязка к стенду/сайту.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/>
                <w:sz w:val="16"/>
              </w:rPr>
              <w:t>Нефункциональные: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домен оформляется на имя Заказчика либо по иной письменной договорённости Сторон.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История пользователя</w:t>
            </w:r>
          </w:p>
        </w:tc>
        <w:tc>
          <w:tcPr>
            <w:tcW w:type="dxa" w:w="76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Как Заказчик я хочу рабочий адрес сайта в зоне .ru.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Сценарий и критерий приёмки</w:t>
            </w:r>
          </w:p>
        </w:tc>
        <w:tc>
          <w:tcPr>
            <w:tcW w:type="dxa" w:w="76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Сценарий: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Запуск домена. Участники: Заказчик, Исполнитель.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1. Стороны согласуют имя домена.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2. Исполнитель регистрирует домен, настраивает DNS и HTTPS.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3. Сайт открывается по согласованному домену.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/>
                <w:sz w:val="16"/>
              </w:rPr>
              <w:t>Исключения: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домен занят: Стороны согласуют альтернативное имя до покупки.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/>
                <w:sz w:val="16"/>
              </w:rPr>
              <w:t>Критерий приёмки: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сайт открывается по домену .ru по HTTPS без критических ошибок сертификата.</w:t>
            </w:r>
          </w:p>
        </w:tc>
      </w:tr>
    </w:tbl>
    <w:p>
      <w:pPr>
        <w:spacing w:after="60" w:before="160"/>
      </w:pPr>
      <w:r>
        <w:rPr>
          <w:rFonts w:ascii="Times New Roman" w:hAnsi="Times New Roman" w:eastAsia="Times New Roman"/>
          <w:b/>
          <w:sz w:val="20"/>
        </w:rPr>
        <w:t>US-02. Дизайн по прототипам  |  4 ч  |  8 000 руб.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Поле</w:t>
            </w:r>
          </w:p>
        </w:tc>
        <w:tc>
          <w:tcPr>
            <w:tcW w:type="dxa" w:w="76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Содержание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Требования</w:t>
            </w:r>
          </w:p>
        </w:tc>
        <w:tc>
          <w:tcPr>
            <w:tcW w:type="dxa" w:w="76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Функциональные: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рабочие макеты на основе прототипов Заказчика: тёмная тема, акценты, разделы меню (маршруты, техника, тарифы, ночной квест, усадьба/услуги, галерея, FAQ).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/>
                <w:sz w:val="16"/>
              </w:rPr>
              <w:t>Нефункциональные: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адаптив desktop и mobile; sticky-кнопка бронирования на mobile.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История пользователя</w:t>
            </w:r>
          </w:p>
        </w:tc>
        <w:tc>
          <w:tcPr>
            <w:tcW w:type="dxa" w:w="76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Как гость я хочу видеть премиальный сайт в стиле согласованных прототипов.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Как Заказчик я хочу единый UI для всех страниц поставки.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Сценарий и критерий приёмки</w:t>
            </w:r>
          </w:p>
        </w:tc>
        <w:tc>
          <w:tcPr>
            <w:tcW w:type="dxa" w:w="76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Сценарий: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Согласование дизайна. Участник: Заказчик.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1. Исполнитель переносит прототипы в рабочие макеты.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2. Заказчик согласует макеты до начала массовой вёрстки.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/>
                <w:sz w:val="16"/>
              </w:rPr>
              <w:t>Исключения: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новые экраны вне прототипов не входят в лимит правок и оцениваются отдельно.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/>
                <w:sz w:val="16"/>
              </w:rPr>
              <w:t>Критерий приёмки: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есть согласованный комплект макетов по разделам прототипов (письменно или в мессенджере).</w:t>
            </w:r>
          </w:p>
        </w:tc>
      </w:tr>
    </w:tbl>
    <w:p>
      <w:pPr>
        <w:spacing w:after="60" w:before="160"/>
      </w:pPr>
      <w:r>
        <w:rPr>
          <w:rFonts w:ascii="Times New Roman" w:hAnsi="Times New Roman" w:eastAsia="Times New Roman"/>
          <w:b/>
          <w:sz w:val="20"/>
        </w:rPr>
        <w:t>US-03. Вёрстка и страницы  |  7 ч  |  14 000 руб.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Поле</w:t>
            </w:r>
          </w:p>
        </w:tc>
        <w:tc>
          <w:tcPr>
            <w:tcW w:type="dxa" w:w="76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Содержание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Требования</w:t>
            </w:r>
          </w:p>
        </w:tc>
        <w:tc>
          <w:tcPr>
            <w:tcW w:type="dxa" w:w="76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Функциональные: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страницы: главная, маршруты, техника, тарифы, ночной квест, галерея, FAQ; формы бронирования (заявки).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/>
                <w:sz w:val="16"/>
              </w:rPr>
              <w:t>Нефункциональные: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кроссбраузерная проверка: Chrome, Safari, мобильные браузеры.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История пользователя</w:t>
            </w:r>
          </w:p>
        </w:tc>
        <w:tc>
          <w:tcPr>
            <w:tcW w:type="dxa" w:w="76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Как гость я хочу просмотреть маршруты и технику и оставить заявку на бронирование.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Сценарий и критерий приёмки</w:t>
            </w:r>
          </w:p>
        </w:tc>
        <w:tc>
          <w:tcPr>
            <w:tcW w:type="dxa" w:w="76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Сценарий: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Просмотр и заявка. Участник: Гость.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1. Гость открывает разделы сайта и карточки контента.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2. Гость нажимает «Забронировать», заполняет и отправляет форму.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/>
                <w:sz w:val="16"/>
              </w:rPr>
              <w:t>Исключения: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при сбое отправки гость видит сообщение об ошибке; повторная отправка возможна.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/>
                <w:sz w:val="16"/>
              </w:rPr>
              <w:t>Критерий приёмки: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все страницы из состава US-03 открываются; форма заявки отправляется успешно на тестовых данных.</w:t>
            </w:r>
          </w:p>
        </w:tc>
      </w:tr>
    </w:tbl>
    <w:p>
      <w:pPr>
        <w:spacing w:after="60" w:before="160"/>
      </w:pPr>
      <w:r>
        <w:rPr>
          <w:rFonts w:ascii="Times New Roman" w:hAnsi="Times New Roman" w:eastAsia="Times New Roman"/>
          <w:b/>
          <w:sz w:val="20"/>
        </w:rPr>
        <w:t>US-04. Payload CMS и PostgreSQL  |  9 ч  |  18 000 руб.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Поле</w:t>
            </w:r>
          </w:p>
        </w:tc>
        <w:tc>
          <w:tcPr>
            <w:tcW w:type="dxa" w:w="76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Содержание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Требования</w:t>
            </w:r>
          </w:p>
        </w:tc>
        <w:tc>
          <w:tcPr>
            <w:tcW w:type="dxa" w:w="76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Функциональные: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коллекции CMS: техника, тарифы, маршруты, заявки, FAQ, галерея; сезонность (квадроциклы / снегоходы); дублирование лидов в PostgreSQL; уведомление о новой заявке.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/>
                <w:sz w:val="16"/>
              </w:rPr>
              <w:t>Нефункциональные: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администратор меняет карточки техники, тексты и цены без участия программиста.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История пользователя</w:t>
            </w:r>
          </w:p>
        </w:tc>
        <w:tc>
          <w:tcPr>
            <w:tcW w:type="dxa" w:w="76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Как администратор я хочу менять технику и цены самостоятельно.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Как администратор я хочу видеть заявки в CMS и в базе данных.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Сценарий и критерий приёмки</w:t>
            </w:r>
          </w:p>
        </w:tc>
        <w:tc>
          <w:tcPr>
            <w:tcW w:type="dxa" w:w="76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Сценарий: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Новая заявка. Участники: Гость, Администратор.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1. Гость отправляет форму бронирования.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2. Заявка появляется в Payload CMS и в PostgreSQL.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3. Уходит уведомление в выбранный канал (Telegram либо email).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/>
                <w:sz w:val="16"/>
              </w:rPr>
              <w:t>Исключения: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базовая защита от явного спама (повтор по телефону) на усмотрение реализации в пределах этапа.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/>
                <w:sz w:val="16"/>
              </w:rPr>
              <w:t>Критерий приёмки: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админ создаёт/меняет карточку техники и сезон; тестовая заявка видна в CMS и в PostgreSQL; уведомление доставлено.</w:t>
            </w:r>
          </w:p>
        </w:tc>
      </w:tr>
    </w:tbl>
    <w:p>
      <w:pPr>
        <w:spacing w:after="60" w:before="160"/>
      </w:pPr>
      <w:r>
        <w:rPr>
          <w:rFonts w:ascii="Times New Roman" w:hAnsi="Times New Roman" w:eastAsia="Times New Roman"/>
          <w:b/>
          <w:sz w:val="20"/>
        </w:rPr>
        <w:t>US-05. QA, правки, сдача  |  3 ч  |  6 000 руб.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Поле</w:t>
            </w:r>
          </w:p>
        </w:tc>
        <w:tc>
          <w:tcPr>
            <w:tcW w:type="dxa" w:w="76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Содержание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Требования</w:t>
            </w:r>
          </w:p>
        </w:tc>
        <w:tc>
          <w:tcPr>
            <w:tcW w:type="dxa" w:w="76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Функциональные: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прогон форм и CMS; до 10 правок в рамках scope; обучение администратора; подготовка к Акту.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/>
                <w:sz w:val="16"/>
              </w:rPr>
              <w:t>Нефункциональные: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правки только в согласованном scope таблицы US.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История пользователя</w:t>
            </w:r>
          </w:p>
        </w:tc>
        <w:tc>
          <w:tcPr>
            <w:tcW w:type="dxa" w:w="76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Как Заказчик я хочу принять сайт по таблице приёмки без расширения объёма «на ходу».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Сценарий и критерий приёмки</w:t>
            </w:r>
          </w:p>
        </w:tc>
        <w:tc>
          <w:tcPr>
            <w:tcW w:type="dxa" w:w="76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Сценарий: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Приёмка. Участник: Заказчик.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1. Совместный тест форм, CMS, уведомлений, модуля US-06.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2. Заказчик направляет единый список до 10 правок в рамках scope.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3. Подписание Акта по результатам таблицы US.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/>
                <w:sz w:val="16"/>
              </w:rPr>
              <w:t>Исключения: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правка сверх 10 либо вне scope: 2 000 руб./час по отдельному согласованию.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/>
                <w:sz w:val="16"/>
              </w:rPr>
              <w:t>Критерий приёмки: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пройден чек-лист US-01–US-06; направлен акт; доступы и инструкция CMS переданы.</w:t>
            </w:r>
          </w:p>
        </w:tc>
      </w:tr>
    </w:tbl>
    <w:p>
      <w:pPr>
        <w:spacing w:after="60" w:before="160"/>
      </w:pPr>
      <w:r>
        <w:rPr>
          <w:rFonts w:ascii="Times New Roman" w:hAnsi="Times New Roman" w:eastAsia="Times New Roman"/>
          <w:b/>
          <w:sz w:val="20"/>
        </w:rPr>
        <w:t>US-06. Прогресс маршрутов и ЛК  |  10 ч  |  20 000 руб.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Поле</w:t>
            </w:r>
          </w:p>
        </w:tc>
        <w:tc>
          <w:tcPr>
            <w:tcW w:type="dxa" w:w="76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Содержание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Требования</w:t>
            </w:r>
          </w:p>
        </w:tc>
        <w:tc>
          <w:tcPr>
            <w:tcW w:type="dxa" w:w="76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Функциональные: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регистрация, вход, личный кабинет; маршрут 2 закрыт до отметки «маршрут 1 пройден»; администратор подтверждает прохождение в CMS.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/>
                <w:sz w:val="16"/>
              </w:rPr>
              <w:t>Нефункциональные: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хранение пароля в хэшированном виде; сессии; защита доступа к ЛК.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История пользователя</w:t>
            </w:r>
          </w:p>
        </w:tc>
        <w:tc>
          <w:tcPr>
            <w:tcW w:type="dxa" w:w="76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Как клиент я хочу сначала пройти доступный маршрут, затем открыть следующий.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Как администратор я хочу отмечать прохождение маршрута в CMS.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Сценарий и критерий приёмки</w:t>
            </w:r>
          </w:p>
        </w:tc>
        <w:tc>
          <w:tcPr>
            <w:tcW w:type="dxa" w:w="76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Сценарий: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Открытие маршрута 2. Участник: Клиент.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1. Новый пользователь видит доступным для выбора/бронирования маршрут 1.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2. После заезда администратор ставит отметку «пройден» по маршруту 1.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3. В личном кабинете открывается возможность бронирования маршрута 2.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/>
                <w:sz w:val="16"/>
              </w:rPr>
              <w:t>Исключения: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без регистрации гость может оставить обычную заявку без прогресса маршрутов.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/>
                <w:sz w:val="16"/>
              </w:rPr>
              <w:t>Критерий приёмки: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на тестовом аккаунте маршрут 2 недоступен до отметки; после отметки админом становится доступен.</w:t>
            </w:r>
          </w:p>
        </w:tc>
      </w:tr>
    </w:tbl>
    <w:p>
      <w:pPr>
        <w:spacing w:after="80" w:before="0"/>
      </w:pPr>
    </w:p>
    <w:p>
      <w:pPr>
        <w:spacing w:after="60" w:before="0"/>
      </w:pPr>
      <w:r>
        <w:rPr>
          <w:rFonts w:ascii="Times New Roman" w:hAnsi="Times New Roman" w:eastAsia="Times New Roman"/>
          <w:b/>
          <w:sz w:val="22"/>
        </w:rPr>
        <w:t>2.5. Не входит в объём настоящего Приложения</w:t>
      </w:r>
    </w:p>
    <w:p>
      <w:pPr>
        <w:spacing w:after="20" w:before="0"/>
      </w:pPr>
      <w:r>
        <w:rPr>
          <w:rFonts w:ascii="Times New Roman" w:hAnsi="Times New Roman" w:eastAsia="Times New Roman"/>
          <w:b w:val="0"/>
          <w:sz w:val="20"/>
        </w:rPr>
        <w:t>- онлайн-оплата и эквайринг (YooKassa и аналоги);</w:t>
      </w:r>
    </w:p>
    <w:p>
      <w:pPr>
        <w:spacing w:after="20" w:before="0"/>
      </w:pPr>
      <w:r>
        <w:rPr>
          <w:rFonts w:ascii="Times New Roman" w:hAnsi="Times New Roman" w:eastAsia="Times New Roman"/>
          <w:b w:val="0"/>
          <w:sz w:val="20"/>
        </w:rPr>
        <w:t>- SEO-продвижение и реклама;</w:t>
      </w:r>
    </w:p>
    <w:p>
      <w:pPr>
        <w:spacing w:after="20" w:before="0"/>
      </w:pPr>
      <w:r>
        <w:rPr>
          <w:rFonts w:ascii="Times New Roman" w:hAnsi="Times New Roman" w:eastAsia="Times New Roman"/>
          <w:b w:val="0"/>
          <w:sz w:val="20"/>
        </w:rPr>
        <w:t>- копирайт, фотосъёмка и подбор стоков (контент готовит Заказчик);</w:t>
      </w:r>
    </w:p>
    <w:p>
      <w:pPr>
        <w:spacing w:after="20" w:before="0"/>
      </w:pPr>
      <w:r>
        <w:rPr>
          <w:rFonts w:ascii="Times New Roman" w:hAnsi="Times New Roman" w:eastAsia="Times New Roman"/>
          <w:b w:val="0"/>
          <w:sz w:val="20"/>
        </w:rPr>
        <w:t>- страницы и функции вне согласованных прототипов и таблицы US;</w:t>
      </w:r>
    </w:p>
    <w:p>
      <w:pPr>
        <w:spacing w:after="20" w:before="0"/>
      </w:pPr>
      <w:r>
        <w:rPr>
          <w:rFonts w:ascii="Times New Roman" w:hAnsi="Times New Roman" w:eastAsia="Times New Roman"/>
          <w:b w:val="0"/>
          <w:sz w:val="20"/>
        </w:rPr>
        <w:t>- правки сверх лимита 10 пунктов из US-05;</w:t>
      </w:r>
    </w:p>
    <w:p>
      <w:pPr>
        <w:spacing w:after="20" w:before="0"/>
      </w:pPr>
      <w:r>
        <w:rPr>
          <w:rFonts w:ascii="Times New Roman" w:hAnsi="Times New Roman" w:eastAsia="Times New Roman"/>
          <w:b w:val="0"/>
          <w:sz w:val="20"/>
        </w:rPr>
        <w:t>- поддержка и развитие после подписания Акта (раздел 8 Договора).</w:t>
      </w:r>
    </w:p>
    <w:p>
      <w:pPr>
        <w:spacing w:after="60" w:before="120"/>
      </w:pPr>
      <w:r>
        <w:rPr>
          <w:rFonts w:ascii="Times New Roman" w:hAnsi="Times New Roman" w:eastAsia="Times New Roman"/>
          <w:b/>
          <w:sz w:val="22"/>
        </w:rPr>
        <w:t>2.6. Deliverables (передаётся по итогам этапа)</w:t>
      </w:r>
    </w:p>
    <w:p>
      <w:pPr>
        <w:spacing w:after="20" w:before="0"/>
      </w:pPr>
      <w:r>
        <w:rPr>
          <w:rFonts w:ascii="Times New Roman" w:hAnsi="Times New Roman" w:eastAsia="Times New Roman"/>
          <w:b w:val="0"/>
          <w:sz w:val="20"/>
        </w:rPr>
        <w:t>- рабочий сайт на согласованном хостинге;</w:t>
      </w:r>
    </w:p>
    <w:p>
      <w:pPr>
        <w:spacing w:after="20" w:before="0"/>
      </w:pPr>
      <w:r>
        <w:rPr>
          <w:rFonts w:ascii="Times New Roman" w:hAnsi="Times New Roman" w:eastAsia="Times New Roman"/>
          <w:b w:val="0"/>
          <w:sz w:val="20"/>
        </w:rPr>
        <w:t>- демо/staging для проверки до финальной публикации (при необходимости);</w:t>
      </w:r>
    </w:p>
    <w:p>
      <w:pPr>
        <w:spacing w:after="20" w:before="0"/>
      </w:pPr>
      <w:r>
        <w:rPr>
          <w:rFonts w:ascii="Times New Roman" w:hAnsi="Times New Roman" w:eastAsia="Times New Roman"/>
          <w:b w:val="0"/>
          <w:sz w:val="20"/>
        </w:rPr>
        <w:t>- доступы в Payload CMS;</w:t>
      </w:r>
    </w:p>
    <w:p>
      <w:pPr>
        <w:spacing w:after="20" w:before="0"/>
      </w:pPr>
      <w:r>
        <w:rPr>
          <w:rFonts w:ascii="Times New Roman" w:hAnsi="Times New Roman" w:eastAsia="Times New Roman"/>
          <w:b w:val="0"/>
          <w:sz w:val="20"/>
        </w:rPr>
        <w:t>- краткая инструкция по CMS (смена техники и сезона, заявки, отметка прохождения маршрута);</w:t>
      </w:r>
    </w:p>
    <w:p>
      <w:pPr>
        <w:spacing w:after="20" w:before="0"/>
      </w:pPr>
      <w:r>
        <w:rPr>
          <w:rFonts w:ascii="Times New Roman" w:hAnsi="Times New Roman" w:eastAsia="Times New Roman"/>
          <w:b w:val="0"/>
          <w:sz w:val="20"/>
        </w:rPr>
        <w:t>- репозиторий и исходники после полной оплаты этапа;</w:t>
      </w:r>
    </w:p>
    <w:p>
      <w:pPr>
        <w:spacing w:after="20" w:before="0"/>
      </w:pPr>
      <w:r>
        <w:rPr>
          <w:rFonts w:ascii="Times New Roman" w:hAnsi="Times New Roman" w:eastAsia="Times New Roman"/>
          <w:b w:val="0"/>
          <w:sz w:val="20"/>
        </w:rPr>
        <w:t>- файл .env.example;</w:t>
      </w:r>
    </w:p>
    <w:p>
      <w:pPr>
        <w:spacing w:after="20" w:before="0"/>
      </w:pPr>
      <w:r>
        <w:rPr>
          <w:rFonts w:ascii="Times New Roman" w:hAnsi="Times New Roman" w:eastAsia="Times New Roman"/>
          <w:b w:val="0"/>
          <w:sz w:val="20"/>
        </w:rPr>
        <w:t>- домен в зоне .ru, привязанный к сайту.</w:t>
      </w:r>
    </w:p>
    <w:p>
      <w:pPr>
        <w:spacing w:after="80" w:before="200"/>
      </w:pPr>
      <w:r>
        <w:rPr>
          <w:rFonts w:ascii="Times New Roman" w:hAnsi="Times New Roman" w:eastAsia="Times New Roman"/>
          <w:b/>
          <w:sz w:val="24"/>
        </w:rPr>
        <w:t>3. СРОКИ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sz w:val="20"/>
        </w:rPr>
        <w:t>Старт: в течение 3 (трёх) рабочих дней после поступления предоплаты 50%.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sz w:val="20"/>
        </w:rPr>
        <w:t>Плановый финиш: 15 (пятнадцать) рабочих дней с даты старта (ориентир около 3 календарных недель при своевременных Материалах Заказчика).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sz w:val="20"/>
        </w:rPr>
        <w:t>Максимальный финиш с буфером на согласования Заказчика: 20 (двадцать) рабочих дней с даты старта.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sz w:val="20"/>
        </w:rPr>
        <w:t>Срок автоматически продлевается на период просрочки Материалов, доступов и согласований со стороны Заказчика (п. 3 и п. 9.1 Договора).</w:t>
      </w:r>
    </w:p>
    <w:p>
      <w:pPr>
        <w:spacing w:after="80" w:before="200"/>
      </w:pPr>
      <w:r>
        <w:rPr>
          <w:rFonts w:ascii="Times New Roman" w:hAnsi="Times New Roman" w:eastAsia="Times New Roman"/>
          <w:b/>
          <w:sz w:val="24"/>
        </w:rPr>
        <w:t>4. ОПЛАТА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sz w:val="20"/>
        </w:rPr>
        <w:t>Стоимость этапа: 70 000 (семьдесят тысяч) рублей. НДС не облагается.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sz w:val="20"/>
        </w:rPr>
        <w:t>Модель оплаты: 50/50 по Договору.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sz w:val="20"/>
        </w:rPr>
        <w:t>Предоплата 50%: 35 000 (тридцать пять тысяч) рублей до начала работ.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sz w:val="20"/>
        </w:rPr>
        <w:t>Оплата после Акта 50%: 35 000 (тридцать пять тысяч) рублей в течение 3 (трёх) банковских дней с даты Акта (в т.ч. одностороннего в случаях Договора).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sz w:val="20"/>
        </w:rPr>
        <w:t>Срок оплаты счёта: 3 (три) банковских дня, если иное не указано в счёте.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sz w:val="20"/>
        </w:rPr>
        <w:t>Модель «Спринты» к настоящему Приложению не применяется.</w:t>
      </w:r>
    </w:p>
    <w:p>
      <w:pPr>
        <w:spacing w:after="80" w:before="200"/>
      </w:pPr>
      <w:r>
        <w:rPr>
          <w:rFonts w:ascii="Times New Roman" w:hAnsi="Times New Roman" w:eastAsia="Times New Roman"/>
          <w:b/>
          <w:sz w:val="24"/>
        </w:rPr>
        <w:t>5. ОСОБЫЕ УСЛОВИЯ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0"/>
        </w:rPr>
        <w:t>- Круг приёмки: ответственный представитель Заказчика Шишикин А.В. Иные лица допускаются к проверке только по письменному указанию ответственного.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0"/>
        </w:rPr>
        <w:t>- Раздача демо и результата третьим лицам до Акта не разрешена (правила Договора).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0"/>
        </w:rPr>
        <w:t>- Разбор документов и прогон данных Заказчика «за Заказчика» в объём не входят.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0"/>
        </w:rPr>
        <w:t>- Гарантия на дефекты класса «А» по таблице US: 30 (тридцать) календарных дней с даты Акта.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0"/>
        </w:rPr>
        <w:t>- До 10 правок в рамках scope до Акта (US-05).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0"/>
        </w:rPr>
        <w:t>- Материалы Заказчика (тексты, фото, цены тарифов, контакты для уведомлений, выбор канала уведомлений) предоставляются в срок п. 3.2 Договора.</w:t>
      </w:r>
    </w:p>
    <w:p>
      <w:pPr>
        <w:spacing w:after="120" w:before="200"/>
      </w:pPr>
      <w:r>
        <w:rPr>
          <w:rFonts w:ascii="Times New Roman" w:hAnsi="Times New Roman" w:eastAsia="Times New Roman"/>
          <w:b/>
          <w:sz w:val="24"/>
        </w:rPr>
        <w:t>6. ПОДПИСИ СТОРОН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ЗАКАЗЧИК</w:t>
            </w:r>
          </w:p>
        </w:tc>
        <w:tc>
          <w:tcPr>
            <w:tcW w:type="dxa" w:w="49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ИСПОЛНИТЕЛЬ</w:t>
            </w:r>
          </w:p>
        </w:tc>
      </w:tr>
      <w:tr>
        <w:tc>
          <w:tcPr>
            <w:tcW w:type="dxa" w:w="49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ООО «Цементоптторг-Риэлт»</w:t>
              <w:br/>
              <w:t>Директор Шишикин А.В.</w:t>
            </w:r>
          </w:p>
        </w:tc>
        <w:tc>
          <w:tcPr>
            <w:tcW w:type="dxa" w:w="49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ИП Мухаметзянов Булат Ирекович</w:t>
            </w:r>
          </w:p>
        </w:tc>
      </w:tr>
      <w:tr>
        <w:tc>
          <w:tcPr>
            <w:tcW w:type="dxa" w:w="49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Подпись: ____________________</w:t>
            </w:r>
          </w:p>
        </w:tc>
        <w:tc>
          <w:tcPr>
            <w:tcW w:type="dxa" w:w="49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Подпись: ____________________</w:t>
            </w:r>
          </w:p>
        </w:tc>
      </w:tr>
      <w:tr>
        <w:tc>
          <w:tcPr>
            <w:tcW w:type="dxa" w:w="49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Дата: «___» __________ 2026 г.</w:t>
              <w:br/>
              <w:t>М.П.</w:t>
            </w:r>
          </w:p>
        </w:tc>
        <w:tc>
          <w:tcPr>
            <w:tcW w:type="dxa" w:w="49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Дата: «03» сентября 2026 г.</w:t>
            </w:r>
          </w:p>
        </w:tc>
      </w:tr>
    </w:tbl>
    <w:sectPr w:rsidR="00FC693F" w:rsidRPr="0006063C" w:rsidSect="00034616"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