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numPr>
          <w:ilvl w:val="0"/>
          <w:numId w:val="0"/>
        </w:numPr>
        <w:autoSpaceDE w:val="false"/>
        <w:spacing w:lineRule="auto" w:line="240" w:before="0" w:after="0"/>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Pr>
      </w:r>
    </w:p>
    <w:p>
      <w:pPr>
        <w:sectPr>
          <w:headerReference w:type="default" r:id="rId2"/>
          <w:footerReference w:type="default" r:id="rId3"/>
          <w:type w:val="nextPage"/>
          <w:pgSz w:w="12240" w:h="15840"/>
          <w:pgMar w:left="1440" w:right="1440" w:gutter="0" w:header="720" w:top="2520" w:footer="720" w:bottom="1800"/>
          <w:pgNumType w:start="1" w:fmt="decimal"/>
          <w:formProt w:val="false"/>
          <w:textDirection w:val="lrTb"/>
          <w:docGrid w:type="default" w:linePitch="360" w:charSpace="0"/>
        </w:sectPr>
      </w:pP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bookmarkStart w:id="0" w:name="Document0zzSDUNumber1"/>
      <w:bookmarkEnd w:id="0"/>
      <w:r>
        <w:rPr>
          <w:rFonts w:cs="Times New Roman;Times New Roman" w:ascii="Times New Roman;Times New Roman" w:hAnsi="Times New Roman;Times New Roman"/>
          <w:color w:val="000000"/>
          <w:sz w:val="20"/>
          <w:szCs w:val="20"/>
        </w:rPr>
        <w:drawing>
          <wp:inline distT="0" distB="0" distL="0" distR="0">
            <wp:extent cx="127000" cy="1270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258" t="-258" r="-258" b="-258"/>
                    <a:stretch>
                      <a:fillRect/>
                    </a:stretch>
                  </pic:blipFill>
                  <pic:spPr bwMode="auto">
                    <a:xfrm>
                      <a:off x="0" y="0"/>
                      <a:ext cx="127000" cy="127000"/>
                    </a:xfrm>
                    <a:prstGeom prst="rect">
                      <a:avLst/>
                    </a:prstGeom>
                    <a:noFill/>
                  </pic:spPr>
                </pic:pic>
              </a:graphicData>
            </a:graphic>
          </wp:inline>
        </w:drawing>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Only the Westlaw citation is currently available.</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United States District Court,</w:t>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N.D. Illinois, Eastern Division.</w:t>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Robert Steven ROBB, Plaintiff,</w:t>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v.</w:t>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CAPITAL ACQUISITIONS &amp; MANAGEMENT COMPANY and Capital One, F.S.B., Defendants.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No. 02 C 4829.</w:t>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Nov. 21, 2002.</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Consumer brought action against financial institutions, who purchased accounts receivable, alleging unlawful credit and collection practices in violation of Truth in Lending Act (TILA), Fair Debt Collection Practices Act (FDCPA), and Illinois Consumer Fraud Act (ICFA). Defendants moved to dismiss. The District Court, </w:t>
      </w:r>
      <w:hyperlink r:id="rId5">
        <w:r>
          <w:rPr>
            <w:rStyle w:val="Hyperlink"/>
            <w:rFonts w:cs="Times New Roman;Times New Roman" w:ascii="Times New Roman;Times New Roman" w:hAnsi="Times New Roman;Times New Roman"/>
            <w:color w:val="0000FF"/>
            <w:sz w:val="20"/>
            <w:szCs w:val="20"/>
          </w:rPr>
          <w:t>Holderman</w:t>
        </w:r>
      </w:hyperlink>
      <w:r>
        <w:rPr>
          <w:rFonts w:cs="Times New Roman;Times New Roman" w:ascii="Times New Roman;Times New Roman" w:hAnsi="Times New Roman;Times New Roman"/>
          <w:color w:val="000000"/>
          <w:sz w:val="20"/>
          <w:szCs w:val="20"/>
        </w:rPr>
        <w:t>, J., held that: (1) financial institutions were not “creditors” under TILA; (2) financial institutions were not agents under TILA with respect to credit card from which debt arose; (3) financial institutions did not have obligation under TILA to send out periodic statements to consumer; and (4) financial institutions did not have affirmative obligation under FDCPA to send monthly statements to debtor.</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Motion granted.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West Headnotes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12002742841">
        <w:r>
          <w:rPr>
            <w:rStyle w:val="Hyperlink"/>
            <w:rFonts w:cs="Times New Roman;Times New Roman" w:ascii="Times New Roman;Times New Roman" w:hAnsi="Times New Roman;Times New Roman"/>
            <w:b/>
            <w:bCs/>
            <w:color w:val="0000FF"/>
            <w:sz w:val="20"/>
            <w:szCs w:val="20"/>
          </w:rPr>
          <w:t>[1]</w:t>
        </w:r>
      </w:hyperlink>
      <w:bookmarkStart w:id="1" w:name="Document1zzF12002742841"/>
      <w:bookmarkEnd w:id="1"/>
      <w:r>
        <w:rPr>
          <w:rFonts w:cs="Times New Roman;Times New Roman" w:ascii="Times New Roman;Times New Roman" w:hAnsi="Times New Roman;Times New Roman"/>
          <w:b/>
          <w:bCs/>
          <w:color w:val="000000"/>
          <w:sz w:val="20"/>
          <w:szCs w:val="20"/>
        </w:rPr>
        <w:t xml:space="preserve"> Consumer Credit 92B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33.1</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7">
        <w:r>
          <w:rPr>
            <w:rStyle w:val="Hyperlink"/>
            <w:rFonts w:cs="Times New Roman;Times New Roman" w:ascii="Times New Roman;Times New Roman" w:hAnsi="Times New Roman;Times New Roman"/>
            <w:color w:val="0000FF"/>
            <w:sz w:val="20"/>
            <w:szCs w:val="20"/>
          </w:rPr>
          <w:t>92B</w:t>
        </w:r>
      </w:hyperlink>
      <w:r>
        <w:rPr>
          <w:rFonts w:cs="Times New Roman;Times New Roman" w:ascii="Times New Roman;Times New Roman" w:hAnsi="Times New Roman;Times New Roman"/>
          <w:color w:val="000000"/>
          <w:sz w:val="20"/>
          <w:szCs w:val="20"/>
        </w:rPr>
        <w:t xml:space="preserve"> Consumer Credit</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8">
        <w:r>
          <w:rPr>
            <w:rStyle w:val="Hyperlink"/>
            <w:rFonts w:cs="Times New Roman;Times New Roman" w:ascii="Times New Roman;Times New Roman" w:hAnsi="Times New Roman;Times New Roman"/>
            <w:color w:val="0000FF"/>
            <w:sz w:val="20"/>
            <w:szCs w:val="20"/>
          </w:rPr>
          <w:t>92BII</w:t>
        </w:r>
      </w:hyperlink>
      <w:r>
        <w:rPr>
          <w:rFonts w:cs="Times New Roman;Times New Roman" w:ascii="Times New Roman;Times New Roman" w:hAnsi="Times New Roman;Times New Roman"/>
          <w:color w:val="000000"/>
          <w:sz w:val="20"/>
          <w:szCs w:val="20"/>
        </w:rPr>
        <w:t xml:space="preserve"> Federal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9">
        <w:r>
          <w:rPr>
            <w:rStyle w:val="Hyperlink"/>
            <w:rFonts w:cs="Times New Roman;Times New Roman" w:ascii="Times New Roman;Times New Roman" w:hAnsi="Times New Roman;Times New Roman"/>
            <w:color w:val="0000FF"/>
            <w:sz w:val="20"/>
            <w:szCs w:val="20"/>
          </w:rPr>
          <w:t>92BII(A)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0">
        <w:r>
          <w:rPr>
            <w:rStyle w:val="Hyperlink"/>
            <w:rFonts w:cs="Times New Roman;Times New Roman" w:ascii="Times New Roman;Times New Roman" w:hAnsi="Times New Roman;Times New Roman"/>
            <w:color w:val="0000FF"/>
            <w:sz w:val="20"/>
            <w:szCs w:val="20"/>
          </w:rPr>
          <w:t>92Bk33</w:t>
        </w:r>
      </w:hyperlink>
      <w:r>
        <w:rPr>
          <w:rFonts w:cs="Times New Roman;Times New Roman" w:ascii="Times New Roman;Times New Roman" w:hAnsi="Times New Roman;Times New Roman"/>
          <w:color w:val="000000"/>
          <w:sz w:val="20"/>
          <w:szCs w:val="20"/>
        </w:rPr>
        <w:t xml:space="preserve"> Persons, Businesses, and Transactions Subject to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1">
        <w:r>
          <w:rPr>
            <w:rStyle w:val="Hyperlink"/>
            <w:rFonts w:cs="Times New Roman;Times New Roman" w:ascii="Times New Roman;Times New Roman" w:hAnsi="Times New Roman;Times New Roman"/>
            <w:color w:val="0000FF"/>
            <w:sz w:val="20"/>
            <w:szCs w:val="20"/>
          </w:rPr>
          <w:t>92Bk33.1</w:t>
        </w:r>
      </w:hyperlink>
      <w:r>
        <w:rPr>
          <w:rFonts w:cs="Times New Roman;Times New Roman" w:ascii="Times New Roman;Times New Roman" w:hAnsi="Times New Roman;Times New Roman"/>
          <w:color w:val="000000"/>
          <w:sz w:val="20"/>
          <w:szCs w:val="20"/>
        </w:rPr>
        <w:t xml:space="preserve"> k. In General. </w:t>
      </w:r>
      <w:hyperlink r:id="rId12">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2" w:name="Document1zzI34e0407f85cb11de9b8c85033233"/>
      <w:bookmarkStart w:id="3" w:name="Document1zzI34e0407f85cb11de9b8c85033233"/>
      <w:bookmarkEnd w:id="3"/>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Financial institutions, who purchased accounts receivable, were not “creditors” under Truth in Lending Act (TILA), since debt was not initially payable to them. Truth in Lending Act, § 103(f), as amended </w:t>
      </w:r>
      <w:hyperlink r:id="rId13">
        <w:r>
          <w:rPr>
            <w:rStyle w:val="Hyperlink"/>
            <w:rFonts w:cs="Times New Roman;Times New Roman" w:ascii="Times New Roman;Times New Roman" w:hAnsi="Times New Roman;Times New Roman"/>
            <w:color w:val="0000FF"/>
            <w:sz w:val="20"/>
            <w:szCs w:val="20"/>
          </w:rPr>
          <w:t>15 U.S.C.A. § 1602(f)</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22002742841">
        <w:r>
          <w:rPr>
            <w:rStyle w:val="Hyperlink"/>
            <w:rFonts w:cs="Times New Roman;Times New Roman" w:ascii="Times New Roman;Times New Roman" w:hAnsi="Times New Roman;Times New Roman"/>
            <w:b/>
            <w:bCs/>
            <w:color w:val="0000FF"/>
            <w:sz w:val="20"/>
            <w:szCs w:val="20"/>
          </w:rPr>
          <w:t>[2]</w:t>
        </w:r>
      </w:hyperlink>
      <w:bookmarkStart w:id="4" w:name="Document1zzF22002742841"/>
      <w:bookmarkEnd w:id="4"/>
      <w:r>
        <w:rPr>
          <w:rFonts w:cs="Times New Roman;Times New Roman" w:ascii="Times New Roman;Times New Roman" w:hAnsi="Times New Roman;Times New Roman"/>
          <w:b/>
          <w:bCs/>
          <w:color w:val="000000"/>
          <w:sz w:val="20"/>
          <w:szCs w:val="20"/>
        </w:rPr>
        <w:t xml:space="preserve"> Consumer Credit 92B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4"/>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34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15">
        <w:r>
          <w:rPr>
            <w:rStyle w:val="Hyperlink"/>
            <w:rFonts w:cs="Times New Roman;Times New Roman" w:ascii="Times New Roman;Times New Roman" w:hAnsi="Times New Roman;Times New Roman"/>
            <w:color w:val="0000FF"/>
            <w:sz w:val="20"/>
            <w:szCs w:val="20"/>
          </w:rPr>
          <w:t>92B</w:t>
        </w:r>
      </w:hyperlink>
      <w:r>
        <w:rPr>
          <w:rFonts w:cs="Times New Roman;Times New Roman" w:ascii="Times New Roman;Times New Roman" w:hAnsi="Times New Roman;Times New Roman"/>
          <w:color w:val="000000"/>
          <w:sz w:val="20"/>
          <w:szCs w:val="20"/>
        </w:rPr>
        <w:t xml:space="preserve"> Consumer Credit</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6">
        <w:r>
          <w:rPr>
            <w:rStyle w:val="Hyperlink"/>
            <w:rFonts w:cs="Times New Roman;Times New Roman" w:ascii="Times New Roman;Times New Roman" w:hAnsi="Times New Roman;Times New Roman"/>
            <w:color w:val="0000FF"/>
            <w:sz w:val="20"/>
            <w:szCs w:val="20"/>
          </w:rPr>
          <w:t>92BII</w:t>
        </w:r>
      </w:hyperlink>
      <w:r>
        <w:rPr>
          <w:rFonts w:cs="Times New Roman;Times New Roman" w:ascii="Times New Roman;Times New Roman" w:hAnsi="Times New Roman;Times New Roman"/>
          <w:color w:val="000000"/>
          <w:sz w:val="20"/>
          <w:szCs w:val="20"/>
        </w:rPr>
        <w:t xml:space="preserve"> Federal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7">
        <w:r>
          <w:rPr>
            <w:rStyle w:val="Hyperlink"/>
            <w:rFonts w:cs="Times New Roman;Times New Roman" w:ascii="Times New Roman;Times New Roman" w:hAnsi="Times New Roman;Times New Roman"/>
            <w:color w:val="0000FF"/>
            <w:sz w:val="20"/>
            <w:szCs w:val="20"/>
          </w:rPr>
          <w:t>92BII(A)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8">
        <w:r>
          <w:rPr>
            <w:rStyle w:val="Hyperlink"/>
            <w:rFonts w:cs="Times New Roman;Times New Roman" w:ascii="Times New Roman;Times New Roman" w:hAnsi="Times New Roman;Times New Roman"/>
            <w:color w:val="0000FF"/>
            <w:sz w:val="20"/>
            <w:szCs w:val="20"/>
          </w:rPr>
          <w:t>92Bk33</w:t>
        </w:r>
      </w:hyperlink>
      <w:r>
        <w:rPr>
          <w:rFonts w:cs="Times New Roman;Times New Roman" w:ascii="Times New Roman;Times New Roman" w:hAnsi="Times New Roman;Times New Roman"/>
          <w:color w:val="000000"/>
          <w:sz w:val="20"/>
          <w:szCs w:val="20"/>
        </w:rPr>
        <w:t xml:space="preserve"> Persons, Businesses, and Transactions Subject to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19">
        <w:r>
          <w:rPr>
            <w:rStyle w:val="Hyperlink"/>
            <w:rFonts w:cs="Times New Roman;Times New Roman" w:ascii="Times New Roman;Times New Roman" w:hAnsi="Times New Roman;Times New Roman"/>
            <w:color w:val="0000FF"/>
            <w:sz w:val="20"/>
            <w:szCs w:val="20"/>
          </w:rPr>
          <w:t>92Bk34</w:t>
        </w:r>
      </w:hyperlink>
      <w:r>
        <w:rPr>
          <w:rFonts w:cs="Times New Roman;Times New Roman" w:ascii="Times New Roman;Times New Roman" w:hAnsi="Times New Roman;Times New Roman"/>
          <w:color w:val="000000"/>
          <w:sz w:val="20"/>
          <w:szCs w:val="20"/>
        </w:rPr>
        <w:t xml:space="preserve"> k. Open-End Credit, Revolving Charges, and Credit Cards. </w:t>
      </w:r>
      <w:hyperlink r:id="rId20">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5" w:name="Document1zzI34e0408185cb11de9b8c85033233"/>
      <w:bookmarkStart w:id="6" w:name="Document1zzI34e0408185cb11de9b8c85033233"/>
      <w:bookmarkEnd w:id="6"/>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A financial institution that issues credit cards to certain persons does not become a “creditor” under the Truth in Lending Act (TILA), when it, in unrelated transactions, purchases accounts receivable on accounts of other persons to whom it has never issued a credit card. Truth in Lending Act, § 103(f), as amended </w:t>
      </w:r>
      <w:hyperlink r:id="rId21">
        <w:r>
          <w:rPr>
            <w:rStyle w:val="Hyperlink"/>
            <w:rFonts w:cs="Times New Roman;Times New Roman" w:ascii="Times New Roman;Times New Roman" w:hAnsi="Times New Roman;Times New Roman"/>
            <w:color w:val="0000FF"/>
            <w:sz w:val="20"/>
            <w:szCs w:val="20"/>
          </w:rPr>
          <w:t>15 U.S.C.A. § 1602(f)</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32002742841">
        <w:r>
          <w:rPr>
            <w:rStyle w:val="Hyperlink"/>
            <w:rFonts w:cs="Times New Roman;Times New Roman" w:ascii="Times New Roman;Times New Roman" w:hAnsi="Times New Roman;Times New Roman"/>
            <w:b/>
            <w:bCs/>
            <w:color w:val="0000FF"/>
            <w:sz w:val="20"/>
            <w:szCs w:val="20"/>
          </w:rPr>
          <w:t>[3]</w:t>
        </w:r>
      </w:hyperlink>
      <w:bookmarkStart w:id="7" w:name="Document1zzF32002742841"/>
      <w:bookmarkEnd w:id="7"/>
      <w:r>
        <w:rPr>
          <w:rFonts w:cs="Times New Roman;Times New Roman" w:ascii="Times New Roman;Times New Roman" w:hAnsi="Times New Roman;Times New Roman"/>
          <w:b/>
          <w:bCs/>
          <w:color w:val="000000"/>
          <w:sz w:val="20"/>
          <w:szCs w:val="20"/>
        </w:rPr>
        <w:t xml:space="preserve"> Consumer Credit 92B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22"/>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34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23">
        <w:r>
          <w:rPr>
            <w:rStyle w:val="Hyperlink"/>
            <w:rFonts w:cs="Times New Roman;Times New Roman" w:ascii="Times New Roman;Times New Roman" w:hAnsi="Times New Roman;Times New Roman"/>
            <w:color w:val="0000FF"/>
            <w:sz w:val="20"/>
            <w:szCs w:val="20"/>
          </w:rPr>
          <w:t>92B</w:t>
        </w:r>
      </w:hyperlink>
      <w:r>
        <w:rPr>
          <w:rFonts w:cs="Times New Roman;Times New Roman" w:ascii="Times New Roman;Times New Roman" w:hAnsi="Times New Roman;Times New Roman"/>
          <w:color w:val="000000"/>
          <w:sz w:val="20"/>
          <w:szCs w:val="20"/>
        </w:rPr>
        <w:t xml:space="preserve"> Consumer Credit</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24">
        <w:r>
          <w:rPr>
            <w:rStyle w:val="Hyperlink"/>
            <w:rFonts w:cs="Times New Roman;Times New Roman" w:ascii="Times New Roman;Times New Roman" w:hAnsi="Times New Roman;Times New Roman"/>
            <w:color w:val="0000FF"/>
            <w:sz w:val="20"/>
            <w:szCs w:val="20"/>
          </w:rPr>
          <w:t>92BII</w:t>
        </w:r>
      </w:hyperlink>
      <w:r>
        <w:rPr>
          <w:rFonts w:cs="Times New Roman;Times New Roman" w:ascii="Times New Roman;Times New Roman" w:hAnsi="Times New Roman;Times New Roman"/>
          <w:color w:val="000000"/>
          <w:sz w:val="20"/>
          <w:szCs w:val="20"/>
        </w:rPr>
        <w:t xml:space="preserve"> Federal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25">
        <w:r>
          <w:rPr>
            <w:rStyle w:val="Hyperlink"/>
            <w:rFonts w:cs="Times New Roman;Times New Roman" w:ascii="Times New Roman;Times New Roman" w:hAnsi="Times New Roman;Times New Roman"/>
            <w:color w:val="0000FF"/>
            <w:sz w:val="20"/>
            <w:szCs w:val="20"/>
          </w:rPr>
          <w:t>92BII(A)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26">
        <w:r>
          <w:rPr>
            <w:rStyle w:val="Hyperlink"/>
            <w:rFonts w:cs="Times New Roman;Times New Roman" w:ascii="Times New Roman;Times New Roman" w:hAnsi="Times New Roman;Times New Roman"/>
            <w:color w:val="0000FF"/>
            <w:sz w:val="20"/>
            <w:szCs w:val="20"/>
          </w:rPr>
          <w:t>92Bk33</w:t>
        </w:r>
      </w:hyperlink>
      <w:r>
        <w:rPr>
          <w:rFonts w:cs="Times New Roman;Times New Roman" w:ascii="Times New Roman;Times New Roman" w:hAnsi="Times New Roman;Times New Roman"/>
          <w:color w:val="000000"/>
          <w:sz w:val="20"/>
          <w:szCs w:val="20"/>
        </w:rPr>
        <w:t xml:space="preserve"> Persons, Businesses, and Transactions Subject to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27">
        <w:r>
          <w:rPr>
            <w:rStyle w:val="Hyperlink"/>
            <w:rFonts w:cs="Times New Roman;Times New Roman" w:ascii="Times New Roman;Times New Roman" w:hAnsi="Times New Roman;Times New Roman"/>
            <w:color w:val="0000FF"/>
            <w:sz w:val="20"/>
            <w:szCs w:val="20"/>
          </w:rPr>
          <w:t>92Bk34</w:t>
        </w:r>
      </w:hyperlink>
      <w:r>
        <w:rPr>
          <w:rFonts w:cs="Times New Roman;Times New Roman" w:ascii="Times New Roman;Times New Roman" w:hAnsi="Times New Roman;Times New Roman"/>
          <w:color w:val="000000"/>
          <w:sz w:val="20"/>
          <w:szCs w:val="20"/>
        </w:rPr>
        <w:t xml:space="preserve"> k. Open-End Credit, Revolving Charges, and Credit Cards. </w:t>
      </w:r>
      <w:hyperlink r:id="rId28">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8" w:name="Document1zzI34e0408385cb11de9b8c85033233"/>
      <w:bookmarkStart w:id="9" w:name="Document1zzI34e0408385cb11de9b8c85033233"/>
      <w:bookmarkEnd w:id="9"/>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Financial institutions who purchased account receivables from credit card company were not agents with respect to credit card from which debt arose, in context of Truth in Lending Act (TILA), since financial institutions were not trying to collect debt on behalf of credit card company and neither institution offered debtor a line of credit to pay obligation that arose from use of credit card. Truth in Lending Act, § 102 et seq., </w:t>
      </w:r>
      <w:hyperlink r:id="rId29">
        <w:r>
          <w:rPr>
            <w:rStyle w:val="Hyperlink"/>
            <w:rFonts w:cs="Times New Roman;Times New Roman" w:ascii="Times New Roman;Times New Roman" w:hAnsi="Times New Roman;Times New Roman"/>
            <w:color w:val="0000FF"/>
            <w:sz w:val="20"/>
            <w:szCs w:val="20"/>
          </w:rPr>
          <w:t>15 U.S.C.A. § 1601</w:t>
        </w:r>
      </w:hyperlink>
      <w:r>
        <w:rPr>
          <w:rFonts w:cs="Times New Roman;Times New Roman" w:ascii="Times New Roman;Times New Roman" w:hAnsi="Times New Roman;Times New Roman"/>
          <w:color w:val="000000"/>
          <w:sz w:val="20"/>
          <w:szCs w:val="20"/>
        </w:rPr>
        <w:t xml:space="preserve"> et seq.; </w:t>
      </w:r>
      <w:hyperlink r:id="rId30">
        <w:r>
          <w:rPr>
            <w:rStyle w:val="Hyperlink"/>
            <w:rFonts w:cs="Times New Roman;Times New Roman" w:ascii="Times New Roman;Times New Roman" w:hAnsi="Times New Roman;Times New Roman"/>
            <w:color w:val="0000FF"/>
            <w:sz w:val="20"/>
            <w:szCs w:val="20"/>
          </w:rPr>
          <w:t>12 C.F.R. pt. 226.2, Supp. I</w:t>
        </w:r>
      </w:hyperlink>
      <w:r>
        <w:rPr>
          <w:rFonts w:cs="Times New Roman;Times New Roman" w:ascii="Times New Roman;Times New Roman" w:hAnsi="Times New Roman;Times New Roman"/>
          <w:color w:val="000000"/>
          <w:sz w:val="20"/>
          <w:szCs w:val="20"/>
        </w:rPr>
        <w:t>, Commentary 2(a)(7).</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42002742841">
        <w:r>
          <w:rPr>
            <w:rStyle w:val="Hyperlink"/>
            <w:rFonts w:cs="Times New Roman;Times New Roman" w:ascii="Times New Roman;Times New Roman" w:hAnsi="Times New Roman;Times New Roman"/>
            <w:b/>
            <w:bCs/>
            <w:color w:val="0000FF"/>
            <w:sz w:val="20"/>
            <w:szCs w:val="20"/>
          </w:rPr>
          <w:t>[4]</w:t>
        </w:r>
      </w:hyperlink>
      <w:bookmarkStart w:id="10" w:name="Document1zzF42002742841"/>
      <w:bookmarkEnd w:id="10"/>
      <w:r>
        <w:rPr>
          <w:rFonts w:cs="Times New Roman;Times New Roman" w:ascii="Times New Roman;Times New Roman" w:hAnsi="Times New Roman;Times New Roman"/>
          <w:b/>
          <w:bCs/>
          <w:color w:val="000000"/>
          <w:sz w:val="20"/>
          <w:szCs w:val="20"/>
        </w:rPr>
        <w:t xml:space="preserve"> Federal Civil Procedure 170A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31"/>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1832</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32">
        <w:r>
          <w:rPr>
            <w:rStyle w:val="Hyperlink"/>
            <w:rFonts w:cs="Times New Roman;Times New Roman" w:ascii="Times New Roman;Times New Roman" w:hAnsi="Times New Roman;Times New Roman"/>
            <w:color w:val="0000FF"/>
            <w:sz w:val="20"/>
            <w:szCs w:val="20"/>
          </w:rPr>
          <w:t>170A</w:t>
        </w:r>
      </w:hyperlink>
      <w:r>
        <w:rPr>
          <w:rFonts w:cs="Times New Roman;Times New Roman" w:ascii="Times New Roman;Times New Roman" w:hAnsi="Times New Roman;Times New Roman"/>
          <w:color w:val="000000"/>
          <w:sz w:val="20"/>
          <w:szCs w:val="20"/>
        </w:rPr>
        <w:t xml:space="preserve"> Federal Civil Procedure</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33">
        <w:r>
          <w:rPr>
            <w:rStyle w:val="Hyperlink"/>
            <w:rFonts w:cs="Times New Roman;Times New Roman" w:ascii="Times New Roman;Times New Roman" w:hAnsi="Times New Roman;Times New Roman"/>
            <w:color w:val="0000FF"/>
            <w:sz w:val="20"/>
            <w:szCs w:val="20"/>
          </w:rPr>
          <w:t>170AXI</w:t>
        </w:r>
      </w:hyperlink>
      <w:r>
        <w:rPr>
          <w:rFonts w:cs="Times New Roman;Times New Roman" w:ascii="Times New Roman;Times New Roman" w:hAnsi="Times New Roman;Times New Roman"/>
          <w:color w:val="000000"/>
          <w:sz w:val="20"/>
          <w:szCs w:val="20"/>
        </w:rPr>
        <w:t xml:space="preserve"> Dismissal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34">
        <w:r>
          <w:rPr>
            <w:rStyle w:val="Hyperlink"/>
            <w:rFonts w:cs="Times New Roman;Times New Roman" w:ascii="Times New Roman;Times New Roman" w:hAnsi="Times New Roman;Times New Roman"/>
            <w:color w:val="0000FF"/>
            <w:sz w:val="20"/>
            <w:szCs w:val="20"/>
          </w:rPr>
          <w:t>170AXI(B)</w:t>
        </w:r>
      </w:hyperlink>
      <w:r>
        <w:rPr>
          <w:rFonts w:cs="Times New Roman;Times New Roman" w:ascii="Times New Roman;Times New Roman" w:hAnsi="Times New Roman;Times New Roman"/>
          <w:color w:val="000000"/>
          <w:sz w:val="20"/>
          <w:szCs w:val="20"/>
        </w:rPr>
        <w:t xml:space="preserve"> Involuntary Dismissal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35">
        <w:r>
          <w:rPr>
            <w:rStyle w:val="Hyperlink"/>
            <w:rFonts w:cs="Times New Roman;Times New Roman" w:ascii="Times New Roman;Times New Roman" w:hAnsi="Times New Roman;Times New Roman"/>
            <w:color w:val="0000FF"/>
            <w:sz w:val="20"/>
            <w:szCs w:val="20"/>
          </w:rPr>
          <w:t>170AXI(B)5</w:t>
        </w:r>
      </w:hyperlink>
      <w:r>
        <w:rPr>
          <w:rFonts w:cs="Times New Roman;Times New Roman" w:ascii="Times New Roman;Times New Roman" w:hAnsi="Times New Roman;Times New Roman"/>
          <w:color w:val="000000"/>
          <w:sz w:val="20"/>
          <w:szCs w:val="20"/>
        </w:rPr>
        <w:t xml:space="preserve"> Proceedings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36">
        <w:r>
          <w:rPr>
            <w:rStyle w:val="Hyperlink"/>
            <w:rFonts w:cs="Times New Roman;Times New Roman" w:ascii="Times New Roman;Times New Roman" w:hAnsi="Times New Roman;Times New Roman"/>
            <w:color w:val="0000FF"/>
            <w:sz w:val="20"/>
            <w:szCs w:val="20"/>
          </w:rPr>
          <w:t>170Ak1827</w:t>
        </w:r>
      </w:hyperlink>
      <w:r>
        <w:rPr>
          <w:rFonts w:cs="Times New Roman;Times New Roman" w:ascii="Times New Roman;Times New Roman" w:hAnsi="Times New Roman;Times New Roman"/>
          <w:color w:val="000000"/>
          <w:sz w:val="20"/>
          <w:szCs w:val="20"/>
        </w:rPr>
        <w:t xml:space="preserve"> Determination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37">
        <w:r>
          <w:rPr>
            <w:rStyle w:val="Hyperlink"/>
            <w:rFonts w:cs="Times New Roman;Times New Roman" w:ascii="Times New Roman;Times New Roman" w:hAnsi="Times New Roman;Times New Roman"/>
            <w:color w:val="0000FF"/>
            <w:sz w:val="20"/>
            <w:szCs w:val="20"/>
          </w:rPr>
          <w:t>170Ak1832</w:t>
        </w:r>
      </w:hyperlink>
      <w:r>
        <w:rPr>
          <w:rFonts w:cs="Times New Roman;Times New Roman" w:ascii="Times New Roman;Times New Roman" w:hAnsi="Times New Roman;Times New Roman"/>
          <w:color w:val="000000"/>
          <w:sz w:val="20"/>
          <w:szCs w:val="20"/>
        </w:rPr>
        <w:t xml:space="preserve"> k. Matters Considered in General. </w:t>
      </w:r>
      <w:hyperlink r:id="rId38">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11" w:name="Document1zzI34e0408585cb11de9b8c85033233"/>
      <w:bookmarkStart w:id="12" w:name="Document1zzI34e0408585cb11de9b8c85033233"/>
      <w:bookmarkEnd w:id="12"/>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Letter attached as exhibit to complaint was deemed to be part of pleadings and could be considered in deciding motion to dismiss. </w:t>
      </w:r>
      <w:hyperlink r:id="rId39">
        <w:r>
          <w:rPr>
            <w:rStyle w:val="Hyperlink"/>
            <w:rFonts w:cs="Times New Roman;Times New Roman" w:ascii="Times New Roman;Times New Roman" w:hAnsi="Times New Roman;Times New Roman"/>
            <w:color w:val="0000FF"/>
            <w:sz w:val="20"/>
            <w:szCs w:val="20"/>
          </w:rPr>
          <w:t>Fed.Rules Civ.Proc.Rule 12, 28 U.S.C.A</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52002742841">
        <w:r>
          <w:rPr>
            <w:rStyle w:val="Hyperlink"/>
            <w:rFonts w:cs="Times New Roman;Times New Roman" w:ascii="Times New Roman;Times New Roman" w:hAnsi="Times New Roman;Times New Roman"/>
            <w:b/>
            <w:bCs/>
            <w:color w:val="0000FF"/>
            <w:sz w:val="20"/>
            <w:szCs w:val="20"/>
          </w:rPr>
          <w:t>[5]</w:t>
        </w:r>
      </w:hyperlink>
      <w:bookmarkStart w:id="13" w:name="Document1zzF52002742841"/>
      <w:bookmarkEnd w:id="13"/>
      <w:r>
        <w:rPr>
          <w:rFonts w:cs="Times New Roman;Times New Roman" w:ascii="Times New Roman;Times New Roman" w:hAnsi="Times New Roman;Times New Roman"/>
          <w:b/>
          <w:bCs/>
          <w:color w:val="000000"/>
          <w:sz w:val="20"/>
          <w:szCs w:val="20"/>
        </w:rPr>
        <w:t xml:space="preserve"> Antitrust and Trade Regulation 29T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40"/>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212</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41">
        <w:r>
          <w:rPr>
            <w:rStyle w:val="Hyperlink"/>
            <w:rFonts w:cs="Times New Roman;Times New Roman" w:ascii="Times New Roman;Times New Roman" w:hAnsi="Times New Roman;Times New Roman"/>
            <w:color w:val="0000FF"/>
            <w:sz w:val="20"/>
            <w:szCs w:val="20"/>
          </w:rPr>
          <w:t>29T</w:t>
        </w:r>
      </w:hyperlink>
      <w:r>
        <w:rPr>
          <w:rFonts w:cs="Times New Roman;Times New Roman" w:ascii="Times New Roman;Times New Roman" w:hAnsi="Times New Roman;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42">
        <w:r>
          <w:rPr>
            <w:rStyle w:val="Hyperlink"/>
            <w:rFonts w:cs="Times New Roman;Times New Roman" w:ascii="Times New Roman;Times New Roman" w:hAnsi="Times New Roman;Times New Roman"/>
            <w:color w:val="0000FF"/>
            <w:sz w:val="20"/>
            <w:szCs w:val="20"/>
          </w:rPr>
          <w:t>29TIII</w:t>
        </w:r>
      </w:hyperlink>
      <w:r>
        <w:rPr>
          <w:rFonts w:cs="Times New Roman;Times New Roman" w:ascii="Times New Roman;Times New Roman" w:hAnsi="Times New Roman;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43">
        <w:r>
          <w:rPr>
            <w:rStyle w:val="Hyperlink"/>
            <w:rFonts w:cs="Times New Roman;Times New Roman" w:ascii="Times New Roman;Times New Roman" w:hAnsi="Times New Roman;Times New Roman"/>
            <w:color w:val="0000FF"/>
            <w:sz w:val="20"/>
            <w:szCs w:val="20"/>
          </w:rPr>
          <w:t>29TIII(C)</w:t>
        </w:r>
      </w:hyperlink>
      <w:r>
        <w:rPr>
          <w:rFonts w:cs="Times New Roman;Times New Roman" w:ascii="Times New Roman;Times New Roman" w:hAnsi="Times New Roman;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44">
        <w:r>
          <w:rPr>
            <w:rStyle w:val="Hyperlink"/>
            <w:rFonts w:cs="Times New Roman;Times New Roman" w:ascii="Times New Roman;Times New Roman" w:hAnsi="Times New Roman;Times New Roman"/>
            <w:color w:val="0000FF"/>
            <w:sz w:val="20"/>
            <w:szCs w:val="20"/>
          </w:rPr>
          <w:t>29Tk210</w:t>
        </w:r>
      </w:hyperlink>
      <w:r>
        <w:rPr>
          <w:rFonts w:cs="Times New Roman;Times New Roman" w:ascii="Times New Roman;Times New Roman" w:hAnsi="Times New Roman;Times New Roman"/>
          <w:color w:val="000000"/>
          <w:sz w:val="20"/>
          <w:szCs w:val="20"/>
        </w:rPr>
        <w:t xml:space="preserve"> Debt Collection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45">
        <w:r>
          <w:rPr>
            <w:rStyle w:val="Hyperlink"/>
            <w:rFonts w:cs="Times New Roman;Times New Roman" w:ascii="Times New Roman;Times New Roman" w:hAnsi="Times New Roman;Times New Roman"/>
            <w:color w:val="0000FF"/>
            <w:sz w:val="20"/>
            <w:szCs w:val="20"/>
          </w:rPr>
          <w:t>29Tk212</w:t>
        </w:r>
      </w:hyperlink>
      <w:r>
        <w:rPr>
          <w:rFonts w:cs="Times New Roman;Times New Roman" w:ascii="Times New Roman;Times New Roman" w:hAnsi="Times New Roman;Times New Roman"/>
          <w:color w:val="000000"/>
          <w:sz w:val="20"/>
          <w:szCs w:val="20"/>
        </w:rPr>
        <w:t xml:space="preserve"> k. Persons and Transactions Covered. </w:t>
      </w:r>
      <w:hyperlink r:id="rId46">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w:t>
      </w:r>
      <w:r>
        <w:rPr>
          <w:rFonts w:cs="Times New Roman;Times New Roman" w:ascii="Times New Roman;Times New Roman" w:hAnsi="Times New Roman;Times New Roman"/>
          <w:color w:val="000000"/>
          <w:sz w:val="20"/>
          <w:szCs w:val="20"/>
        </w:rPr>
        <w:t>(Formerly 92Hk10 Consumer Protection)</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 xml:space="preserve"> </w:t>
      </w:r>
      <w:r>
        <w:rPr>
          <w:rFonts w:cs="Times New Roman;Times New Roman" w:ascii="Times New Roman;Times New Roman" w:hAnsi="Times New Roman;Times New Roman"/>
          <w:b/>
          <w:bCs/>
          <w:color w:val="000000"/>
          <w:sz w:val="20"/>
          <w:szCs w:val="20"/>
        </w:rPr>
        <w:t xml:space="preserve">Consumer Credit 92B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47"/>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33.1</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48">
        <w:r>
          <w:rPr>
            <w:rStyle w:val="Hyperlink"/>
            <w:rFonts w:cs="Times New Roman;Times New Roman" w:ascii="Times New Roman;Times New Roman" w:hAnsi="Times New Roman;Times New Roman"/>
            <w:color w:val="0000FF"/>
            <w:sz w:val="20"/>
            <w:szCs w:val="20"/>
          </w:rPr>
          <w:t>92B</w:t>
        </w:r>
      </w:hyperlink>
      <w:r>
        <w:rPr>
          <w:rFonts w:cs="Times New Roman;Times New Roman" w:ascii="Times New Roman;Times New Roman" w:hAnsi="Times New Roman;Times New Roman"/>
          <w:color w:val="000000"/>
          <w:sz w:val="20"/>
          <w:szCs w:val="20"/>
        </w:rPr>
        <w:t xml:space="preserve"> Consumer Credit</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49">
        <w:r>
          <w:rPr>
            <w:rStyle w:val="Hyperlink"/>
            <w:rFonts w:cs="Times New Roman;Times New Roman" w:ascii="Times New Roman;Times New Roman" w:hAnsi="Times New Roman;Times New Roman"/>
            <w:color w:val="0000FF"/>
            <w:sz w:val="20"/>
            <w:szCs w:val="20"/>
          </w:rPr>
          <w:t>92BII</w:t>
        </w:r>
      </w:hyperlink>
      <w:r>
        <w:rPr>
          <w:rFonts w:cs="Times New Roman;Times New Roman" w:ascii="Times New Roman;Times New Roman" w:hAnsi="Times New Roman;Times New Roman"/>
          <w:color w:val="000000"/>
          <w:sz w:val="20"/>
          <w:szCs w:val="20"/>
        </w:rPr>
        <w:t xml:space="preserve"> Federal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50">
        <w:r>
          <w:rPr>
            <w:rStyle w:val="Hyperlink"/>
            <w:rFonts w:cs="Times New Roman;Times New Roman" w:ascii="Times New Roman;Times New Roman" w:hAnsi="Times New Roman;Times New Roman"/>
            <w:color w:val="0000FF"/>
            <w:sz w:val="20"/>
            <w:szCs w:val="20"/>
          </w:rPr>
          <w:t>92BII(A)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51">
        <w:r>
          <w:rPr>
            <w:rStyle w:val="Hyperlink"/>
            <w:rFonts w:cs="Times New Roman;Times New Roman" w:ascii="Times New Roman;Times New Roman" w:hAnsi="Times New Roman;Times New Roman"/>
            <w:color w:val="0000FF"/>
            <w:sz w:val="20"/>
            <w:szCs w:val="20"/>
          </w:rPr>
          <w:t>92Bk33</w:t>
        </w:r>
      </w:hyperlink>
      <w:r>
        <w:rPr>
          <w:rFonts w:cs="Times New Roman;Times New Roman" w:ascii="Times New Roman;Times New Roman" w:hAnsi="Times New Roman;Times New Roman"/>
          <w:color w:val="000000"/>
          <w:sz w:val="20"/>
          <w:szCs w:val="20"/>
        </w:rPr>
        <w:t xml:space="preserve"> Persons, Businesses, and Transactions Subject to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52">
        <w:r>
          <w:rPr>
            <w:rStyle w:val="Hyperlink"/>
            <w:rFonts w:cs="Times New Roman;Times New Roman" w:ascii="Times New Roman;Times New Roman" w:hAnsi="Times New Roman;Times New Roman"/>
            <w:color w:val="0000FF"/>
            <w:sz w:val="20"/>
            <w:szCs w:val="20"/>
          </w:rPr>
          <w:t>92Bk33.1</w:t>
        </w:r>
      </w:hyperlink>
      <w:r>
        <w:rPr>
          <w:rFonts w:cs="Times New Roman;Times New Roman" w:ascii="Times New Roman;Times New Roman" w:hAnsi="Times New Roman;Times New Roman"/>
          <w:color w:val="000000"/>
          <w:sz w:val="20"/>
          <w:szCs w:val="20"/>
        </w:rPr>
        <w:t xml:space="preserve"> k. In General. </w:t>
      </w:r>
      <w:hyperlink r:id="rId53">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14" w:name="Document1zzI34e0408785cb11de9b8c85033233"/>
      <w:bookmarkStart w:id="15" w:name="Document1zzI34e0408785cb11de9b8c85033233"/>
      <w:bookmarkEnd w:id="15"/>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Financial institutions that purchased delinquent accounts, i.e., debt on which institutions charged interest, and extended no credit privileges of their own, were “debt collectors” subject to the Fair Debt Collection Practices Act (FDCPA), not “creditors” subject to Truth in Lending Act (TILA). Truth in Lending Act, § 102 et seq., </w:t>
      </w:r>
      <w:hyperlink r:id="rId54">
        <w:r>
          <w:rPr>
            <w:rStyle w:val="Hyperlink"/>
            <w:rFonts w:cs="Times New Roman;Times New Roman" w:ascii="Times New Roman;Times New Roman" w:hAnsi="Times New Roman;Times New Roman"/>
            <w:color w:val="0000FF"/>
            <w:sz w:val="20"/>
            <w:szCs w:val="20"/>
          </w:rPr>
          <w:t>15 U.S.C.A. § 1601</w:t>
        </w:r>
      </w:hyperlink>
      <w:r>
        <w:rPr>
          <w:rFonts w:cs="Times New Roman;Times New Roman" w:ascii="Times New Roman;Times New Roman" w:hAnsi="Times New Roman;Times New Roman"/>
          <w:color w:val="000000"/>
          <w:sz w:val="20"/>
          <w:szCs w:val="20"/>
        </w:rPr>
        <w:t xml:space="preserve"> et seq.; Consumer Credit Protection Act, § 802 et seq., as amended, </w:t>
      </w:r>
      <w:hyperlink r:id="rId55">
        <w:r>
          <w:rPr>
            <w:rStyle w:val="Hyperlink"/>
            <w:rFonts w:cs="Times New Roman;Times New Roman" w:ascii="Times New Roman;Times New Roman" w:hAnsi="Times New Roman;Times New Roman"/>
            <w:color w:val="0000FF"/>
            <w:sz w:val="20"/>
            <w:szCs w:val="20"/>
          </w:rPr>
          <w:t>15 U.S.C.A. § 1692</w:t>
        </w:r>
      </w:hyperlink>
      <w:r>
        <w:rPr>
          <w:rFonts w:cs="Times New Roman;Times New Roman" w:ascii="Times New Roman;Times New Roman" w:hAnsi="Times New Roman;Times New Roman"/>
          <w:color w:val="000000"/>
          <w:sz w:val="20"/>
          <w:szCs w:val="20"/>
        </w:rPr>
        <w:t xml:space="preserve"> et seq.</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62002742841">
        <w:r>
          <w:rPr>
            <w:rStyle w:val="Hyperlink"/>
            <w:rFonts w:cs="Times New Roman;Times New Roman" w:ascii="Times New Roman;Times New Roman" w:hAnsi="Times New Roman;Times New Roman"/>
            <w:b/>
            <w:bCs/>
            <w:color w:val="0000FF"/>
            <w:sz w:val="20"/>
            <w:szCs w:val="20"/>
          </w:rPr>
          <w:t>[6]</w:t>
        </w:r>
      </w:hyperlink>
      <w:bookmarkStart w:id="16" w:name="Document1zzF62002742841"/>
      <w:bookmarkEnd w:id="16"/>
      <w:r>
        <w:rPr>
          <w:rFonts w:cs="Times New Roman;Times New Roman" w:ascii="Times New Roman;Times New Roman" w:hAnsi="Times New Roman;Times New Roman"/>
          <w:b/>
          <w:bCs/>
          <w:color w:val="000000"/>
          <w:sz w:val="20"/>
          <w:szCs w:val="20"/>
        </w:rPr>
        <w:t xml:space="preserve"> Consumer Credit 92B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56"/>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34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57">
        <w:r>
          <w:rPr>
            <w:rStyle w:val="Hyperlink"/>
            <w:rFonts w:cs="Times New Roman;Times New Roman" w:ascii="Times New Roman;Times New Roman" w:hAnsi="Times New Roman;Times New Roman"/>
            <w:color w:val="0000FF"/>
            <w:sz w:val="20"/>
            <w:szCs w:val="20"/>
          </w:rPr>
          <w:t>92B</w:t>
        </w:r>
      </w:hyperlink>
      <w:r>
        <w:rPr>
          <w:rFonts w:cs="Times New Roman;Times New Roman" w:ascii="Times New Roman;Times New Roman" w:hAnsi="Times New Roman;Times New Roman"/>
          <w:color w:val="000000"/>
          <w:sz w:val="20"/>
          <w:szCs w:val="20"/>
        </w:rPr>
        <w:t xml:space="preserve"> Consumer Credit</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58">
        <w:r>
          <w:rPr>
            <w:rStyle w:val="Hyperlink"/>
            <w:rFonts w:cs="Times New Roman;Times New Roman" w:ascii="Times New Roman;Times New Roman" w:hAnsi="Times New Roman;Times New Roman"/>
            <w:color w:val="0000FF"/>
            <w:sz w:val="20"/>
            <w:szCs w:val="20"/>
          </w:rPr>
          <w:t>92BII</w:t>
        </w:r>
      </w:hyperlink>
      <w:r>
        <w:rPr>
          <w:rFonts w:cs="Times New Roman;Times New Roman" w:ascii="Times New Roman;Times New Roman" w:hAnsi="Times New Roman;Times New Roman"/>
          <w:color w:val="000000"/>
          <w:sz w:val="20"/>
          <w:szCs w:val="20"/>
        </w:rPr>
        <w:t xml:space="preserve"> Federal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59">
        <w:r>
          <w:rPr>
            <w:rStyle w:val="Hyperlink"/>
            <w:rFonts w:cs="Times New Roman;Times New Roman" w:ascii="Times New Roman;Times New Roman" w:hAnsi="Times New Roman;Times New Roman"/>
            <w:color w:val="0000FF"/>
            <w:sz w:val="20"/>
            <w:szCs w:val="20"/>
          </w:rPr>
          <w:t>92BII(A)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0">
        <w:r>
          <w:rPr>
            <w:rStyle w:val="Hyperlink"/>
            <w:rFonts w:cs="Times New Roman;Times New Roman" w:ascii="Times New Roman;Times New Roman" w:hAnsi="Times New Roman;Times New Roman"/>
            <w:color w:val="0000FF"/>
            <w:sz w:val="20"/>
            <w:szCs w:val="20"/>
          </w:rPr>
          <w:t>92Bk33</w:t>
        </w:r>
      </w:hyperlink>
      <w:r>
        <w:rPr>
          <w:rFonts w:cs="Times New Roman;Times New Roman" w:ascii="Times New Roman;Times New Roman" w:hAnsi="Times New Roman;Times New Roman"/>
          <w:color w:val="000000"/>
          <w:sz w:val="20"/>
          <w:szCs w:val="20"/>
        </w:rPr>
        <w:t xml:space="preserve"> Persons, Businesses, and Transactions Subject to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1">
        <w:r>
          <w:rPr>
            <w:rStyle w:val="Hyperlink"/>
            <w:rFonts w:cs="Times New Roman;Times New Roman" w:ascii="Times New Roman;Times New Roman" w:hAnsi="Times New Roman;Times New Roman"/>
            <w:color w:val="0000FF"/>
            <w:sz w:val="20"/>
            <w:szCs w:val="20"/>
          </w:rPr>
          <w:t>92Bk34</w:t>
        </w:r>
      </w:hyperlink>
      <w:r>
        <w:rPr>
          <w:rFonts w:cs="Times New Roman;Times New Roman" w:ascii="Times New Roman;Times New Roman" w:hAnsi="Times New Roman;Times New Roman"/>
          <w:color w:val="000000"/>
          <w:sz w:val="20"/>
          <w:szCs w:val="20"/>
        </w:rPr>
        <w:t xml:space="preserve"> k. Open-End Credit, Revolving Charges, and Credit Cards. </w:t>
      </w:r>
      <w:hyperlink r:id="rId62">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17" w:name="Document1zzI34e0408985cb11de9b8c85033233"/>
      <w:bookmarkStart w:id="18" w:name="Document1zzI34e0408985cb11de9b8c85033233"/>
      <w:bookmarkEnd w:id="18"/>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Financial institutions, who purchased accounts receivable from credit card company, did not have obligation under Truth in Lending Act (TILA) to send out periodic statements to consumer, as debtor, since debt was not initially payable to financial institutions and they were not agents of credit card company. Truth in Lending Act, § 102 et seq., </w:t>
      </w:r>
      <w:hyperlink r:id="rId63">
        <w:r>
          <w:rPr>
            <w:rStyle w:val="Hyperlink"/>
            <w:rFonts w:cs="Times New Roman;Times New Roman" w:ascii="Times New Roman;Times New Roman" w:hAnsi="Times New Roman;Times New Roman"/>
            <w:color w:val="0000FF"/>
            <w:sz w:val="20"/>
            <w:szCs w:val="20"/>
          </w:rPr>
          <w:t>15 U.S.C.A. § 1601</w:t>
        </w:r>
      </w:hyperlink>
      <w:r>
        <w:rPr>
          <w:rFonts w:cs="Times New Roman;Times New Roman" w:ascii="Times New Roman;Times New Roman" w:hAnsi="Times New Roman;Times New Roman"/>
          <w:color w:val="000000"/>
          <w:sz w:val="20"/>
          <w:szCs w:val="20"/>
        </w:rPr>
        <w:t xml:space="preserve"> et seq.</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72002742841">
        <w:r>
          <w:rPr>
            <w:rStyle w:val="Hyperlink"/>
            <w:rFonts w:cs="Times New Roman;Times New Roman" w:ascii="Times New Roman;Times New Roman" w:hAnsi="Times New Roman;Times New Roman"/>
            <w:b/>
            <w:bCs/>
            <w:color w:val="0000FF"/>
            <w:sz w:val="20"/>
            <w:szCs w:val="20"/>
          </w:rPr>
          <w:t>[7]</w:t>
        </w:r>
      </w:hyperlink>
      <w:bookmarkStart w:id="19" w:name="Document1zzF72002742841"/>
      <w:bookmarkEnd w:id="19"/>
      <w:r>
        <w:rPr>
          <w:rFonts w:cs="Times New Roman;Times New Roman" w:ascii="Times New Roman;Times New Roman" w:hAnsi="Times New Roman;Times New Roman"/>
          <w:b/>
          <w:bCs/>
          <w:color w:val="000000"/>
          <w:sz w:val="20"/>
          <w:szCs w:val="20"/>
        </w:rPr>
        <w:t xml:space="preserve"> Antitrust and Trade Regulation 29T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64"/>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214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65">
        <w:r>
          <w:rPr>
            <w:rStyle w:val="Hyperlink"/>
            <w:rFonts w:cs="Times New Roman;Times New Roman" w:ascii="Times New Roman;Times New Roman" w:hAnsi="Times New Roman;Times New Roman"/>
            <w:color w:val="0000FF"/>
            <w:sz w:val="20"/>
            <w:szCs w:val="20"/>
          </w:rPr>
          <w:t>29T</w:t>
        </w:r>
      </w:hyperlink>
      <w:r>
        <w:rPr>
          <w:rFonts w:cs="Times New Roman;Times New Roman" w:ascii="Times New Roman;Times New Roman" w:hAnsi="Times New Roman;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6">
        <w:r>
          <w:rPr>
            <w:rStyle w:val="Hyperlink"/>
            <w:rFonts w:cs="Times New Roman;Times New Roman" w:ascii="Times New Roman;Times New Roman" w:hAnsi="Times New Roman;Times New Roman"/>
            <w:color w:val="0000FF"/>
            <w:sz w:val="20"/>
            <w:szCs w:val="20"/>
          </w:rPr>
          <w:t>29TIII</w:t>
        </w:r>
      </w:hyperlink>
      <w:r>
        <w:rPr>
          <w:rFonts w:cs="Times New Roman;Times New Roman" w:ascii="Times New Roman;Times New Roman" w:hAnsi="Times New Roman;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7">
        <w:r>
          <w:rPr>
            <w:rStyle w:val="Hyperlink"/>
            <w:rFonts w:cs="Times New Roman;Times New Roman" w:ascii="Times New Roman;Times New Roman" w:hAnsi="Times New Roman;Times New Roman"/>
            <w:color w:val="0000FF"/>
            <w:sz w:val="20"/>
            <w:szCs w:val="20"/>
          </w:rPr>
          <w:t>29TIII(C)</w:t>
        </w:r>
      </w:hyperlink>
      <w:r>
        <w:rPr>
          <w:rFonts w:cs="Times New Roman;Times New Roman" w:ascii="Times New Roman;Times New Roman" w:hAnsi="Times New Roman;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8">
        <w:r>
          <w:rPr>
            <w:rStyle w:val="Hyperlink"/>
            <w:rFonts w:cs="Times New Roman;Times New Roman" w:ascii="Times New Roman;Times New Roman" w:hAnsi="Times New Roman;Times New Roman"/>
            <w:color w:val="0000FF"/>
            <w:sz w:val="20"/>
            <w:szCs w:val="20"/>
          </w:rPr>
          <w:t>29Tk210</w:t>
        </w:r>
      </w:hyperlink>
      <w:r>
        <w:rPr>
          <w:rFonts w:cs="Times New Roman;Times New Roman" w:ascii="Times New Roman;Times New Roman" w:hAnsi="Times New Roman;Times New Roman"/>
          <w:color w:val="000000"/>
          <w:sz w:val="20"/>
          <w:szCs w:val="20"/>
        </w:rPr>
        <w:t xml:space="preserve"> Debt Collection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69">
        <w:r>
          <w:rPr>
            <w:rStyle w:val="Hyperlink"/>
            <w:rFonts w:cs="Times New Roman;Times New Roman" w:ascii="Times New Roman;Times New Roman" w:hAnsi="Times New Roman;Times New Roman"/>
            <w:color w:val="0000FF"/>
            <w:sz w:val="20"/>
            <w:szCs w:val="20"/>
          </w:rPr>
          <w:t>29Tk214</w:t>
        </w:r>
      </w:hyperlink>
      <w:r>
        <w:rPr>
          <w:rFonts w:cs="Times New Roman;Times New Roman" w:ascii="Times New Roman;Times New Roman" w:hAnsi="Times New Roman;Times New Roman"/>
          <w:color w:val="000000"/>
          <w:sz w:val="20"/>
          <w:szCs w:val="20"/>
        </w:rPr>
        <w:t xml:space="preserve"> k. Communications, Representations, and Notices; Debtor's Response. </w:t>
      </w:r>
      <w:hyperlink r:id="rId70">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w:t>
      </w:r>
      <w:r>
        <w:rPr>
          <w:rFonts w:cs="Times New Roman;Times New Roman" w:ascii="Times New Roman;Times New Roman" w:hAnsi="Times New Roman;Times New Roman"/>
          <w:color w:val="000000"/>
          <w:sz w:val="20"/>
          <w:szCs w:val="20"/>
        </w:rPr>
        <w:t>(Formerly 92Hk10 Consumer Protection)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20" w:name="Document1zzI34e0408b85cb11de9b8c85033233"/>
      <w:bookmarkStart w:id="21" w:name="Document1zzI34e0408b85cb11de9b8c85033233"/>
      <w:bookmarkEnd w:id="21"/>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Financial institutions, who purchased accounts receivable from credit card company, did not have affirmative obligation under Fair Debt Collection Practices Act (FDCPA) to send monthly statements to debtor as to extent of his debt. Consumer Credit Protection Act, §§ 807,808, as amended, </w:t>
      </w:r>
      <w:hyperlink r:id="rId71">
        <w:r>
          <w:rPr>
            <w:rStyle w:val="Hyperlink"/>
            <w:rFonts w:cs="Times New Roman;Times New Roman" w:ascii="Times New Roman;Times New Roman" w:hAnsi="Times New Roman;Times New Roman"/>
            <w:color w:val="0000FF"/>
            <w:sz w:val="20"/>
            <w:szCs w:val="20"/>
          </w:rPr>
          <w:t>15 U.S.C.A. §§ 1692e</w:t>
        </w:r>
      </w:hyperlink>
      <w:r>
        <w:rPr>
          <w:rFonts w:cs="Times New Roman;Times New Roman" w:ascii="Times New Roman;Times New Roman" w:hAnsi="Times New Roman;Times New Roman"/>
          <w:color w:val="000000"/>
          <w:sz w:val="20"/>
          <w:szCs w:val="20"/>
        </w:rPr>
        <w:t xml:space="preserve">, </w:t>
      </w:r>
      <w:hyperlink r:id="rId72">
        <w:r>
          <w:rPr>
            <w:rStyle w:val="Hyperlink"/>
            <w:rFonts w:cs="Times New Roman;Times New Roman" w:ascii="Times New Roman;Times New Roman" w:hAnsi="Times New Roman;Times New Roman"/>
            <w:color w:val="0000FF"/>
            <w:sz w:val="20"/>
            <w:szCs w:val="20"/>
          </w:rPr>
          <w:t>1692f</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w:anchor="Document1zzB82002742841">
        <w:r>
          <w:rPr>
            <w:rStyle w:val="Hyperlink"/>
            <w:rFonts w:cs="Times New Roman;Times New Roman" w:ascii="Times New Roman;Times New Roman" w:hAnsi="Times New Roman;Times New Roman"/>
            <w:b/>
            <w:bCs/>
            <w:color w:val="0000FF"/>
            <w:sz w:val="20"/>
            <w:szCs w:val="20"/>
          </w:rPr>
          <w:t>[8]</w:t>
        </w:r>
      </w:hyperlink>
      <w:bookmarkStart w:id="22" w:name="Document1zzF82002742841"/>
      <w:bookmarkEnd w:id="22"/>
      <w:r>
        <w:rPr>
          <w:rFonts w:cs="Times New Roman;Times New Roman" w:ascii="Times New Roman;Times New Roman" w:hAnsi="Times New Roman;Times New Roman"/>
          <w:b/>
          <w:bCs/>
          <w:color w:val="000000"/>
          <w:sz w:val="20"/>
          <w:szCs w:val="20"/>
        </w:rPr>
        <w:t xml:space="preserve"> Antitrust and Trade Regulation 29T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73"/>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134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74">
        <w:r>
          <w:rPr>
            <w:rStyle w:val="Hyperlink"/>
            <w:rFonts w:cs="Times New Roman;Times New Roman" w:ascii="Times New Roman;Times New Roman" w:hAnsi="Times New Roman;Times New Roman"/>
            <w:color w:val="0000FF"/>
            <w:sz w:val="20"/>
            <w:szCs w:val="20"/>
          </w:rPr>
          <w:t>29T</w:t>
        </w:r>
      </w:hyperlink>
      <w:r>
        <w:rPr>
          <w:rFonts w:cs="Times New Roman;Times New Roman" w:ascii="Times New Roman;Times New Roman" w:hAnsi="Times New Roman;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75">
        <w:r>
          <w:rPr>
            <w:rStyle w:val="Hyperlink"/>
            <w:rFonts w:cs="Times New Roman;Times New Roman" w:ascii="Times New Roman;Times New Roman" w:hAnsi="Times New Roman;Times New Roman"/>
            <w:color w:val="0000FF"/>
            <w:sz w:val="20"/>
            <w:szCs w:val="20"/>
          </w:rPr>
          <w:t>29TIII</w:t>
        </w:r>
      </w:hyperlink>
      <w:r>
        <w:rPr>
          <w:rFonts w:cs="Times New Roman;Times New Roman" w:ascii="Times New Roman;Times New Roman" w:hAnsi="Times New Roman;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76">
        <w:r>
          <w:rPr>
            <w:rStyle w:val="Hyperlink"/>
            <w:rFonts w:cs="Times New Roman;Times New Roman" w:ascii="Times New Roman;Times New Roman" w:hAnsi="Times New Roman;Times New Roman"/>
            <w:color w:val="0000FF"/>
            <w:sz w:val="20"/>
            <w:szCs w:val="20"/>
          </w:rPr>
          <w:t>29TIII(A)</w:t>
        </w:r>
      </w:hyperlink>
      <w:r>
        <w:rPr>
          <w:rFonts w:cs="Times New Roman;Times New Roman" w:ascii="Times New Roman;Times New Roman" w:hAnsi="Times New Roman;Times New Roman"/>
          <w:color w:val="000000"/>
          <w:sz w:val="20"/>
          <w:szCs w:val="20"/>
        </w:rPr>
        <w:t xml:space="preserve">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77">
        <w:r>
          <w:rPr>
            <w:rStyle w:val="Hyperlink"/>
            <w:rFonts w:cs="Times New Roman;Times New Roman" w:ascii="Times New Roman;Times New Roman" w:hAnsi="Times New Roman;Times New Roman"/>
            <w:color w:val="0000FF"/>
            <w:sz w:val="20"/>
            <w:szCs w:val="20"/>
          </w:rPr>
          <w:t>29Tk133</w:t>
        </w:r>
      </w:hyperlink>
      <w:r>
        <w:rPr>
          <w:rFonts w:cs="Times New Roman;Times New Roman" w:ascii="Times New Roman;Times New Roman" w:hAnsi="Times New Roman;Times New Roman"/>
          <w:color w:val="000000"/>
          <w:sz w:val="20"/>
          <w:szCs w:val="20"/>
        </w:rPr>
        <w:t xml:space="preserve"> Nature and Elements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78">
        <w:r>
          <w:rPr>
            <w:rStyle w:val="Hyperlink"/>
            <w:rFonts w:cs="Times New Roman;Times New Roman" w:ascii="Times New Roman;Times New Roman" w:hAnsi="Times New Roman;Times New Roman"/>
            <w:color w:val="0000FF"/>
            <w:sz w:val="20"/>
            <w:szCs w:val="20"/>
          </w:rPr>
          <w:t>29Tk134</w:t>
        </w:r>
      </w:hyperlink>
      <w:r>
        <w:rPr>
          <w:rFonts w:cs="Times New Roman;Times New Roman" w:ascii="Times New Roman;Times New Roman" w:hAnsi="Times New Roman;Times New Roman"/>
          <w:color w:val="000000"/>
          <w:sz w:val="20"/>
          <w:szCs w:val="20"/>
        </w:rPr>
        <w:t xml:space="preserve"> k. In General. </w:t>
      </w:r>
      <w:hyperlink r:id="rId79">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w:t>
      </w:r>
      <w:r>
        <w:rPr>
          <w:rFonts w:cs="Times New Roman;Times New Roman" w:ascii="Times New Roman;Times New Roman" w:hAnsi="Times New Roman;Times New Roman"/>
          <w:color w:val="000000"/>
          <w:sz w:val="20"/>
          <w:szCs w:val="20"/>
        </w:rPr>
        <w:t>(Formerly 92Hk34, 92Hk4 Consumer Protection)</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 xml:space="preserve"> </w:t>
      </w:r>
      <w:r>
        <w:rPr>
          <w:rFonts w:cs="Times New Roman;Times New Roman" w:ascii="Times New Roman;Times New Roman" w:hAnsi="Times New Roman;Times New Roman"/>
          <w:b/>
          <w:bCs/>
          <w:color w:val="000000"/>
          <w:sz w:val="20"/>
          <w:szCs w:val="20"/>
        </w:rPr>
        <w:t xml:space="preserve">Pleading 302 </w:t>
      </w:r>
      <w:r>
        <w:rPr>
          <w:rFonts w:cs="Times New Roman;Times New Roman" w:ascii="Times New Roman;Times New Roman" w:hAnsi="Times New Roman;Times New Roman"/>
          <w:b/>
          <w:bCs/>
          <w:color w:val="000000"/>
          <w:sz w:val="20"/>
          <w:szCs w:val="20"/>
        </w:rPr>
        <w:drawing>
          <wp:inline distT="0" distB="0" distL="0" distR="0">
            <wp:extent cx="254000" cy="1270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80"/>
                    <a:srcRect l="-57" t="-113" r="-57" b="-113"/>
                    <a:stretch>
                      <a:fillRect/>
                    </a:stretch>
                  </pic:blipFill>
                  <pic:spPr bwMode="auto">
                    <a:xfrm>
                      <a:off x="0" y="0"/>
                      <a:ext cx="254000" cy="127000"/>
                    </a:xfrm>
                    <a:prstGeom prst="rect">
                      <a:avLst/>
                    </a:prstGeom>
                    <a:noFill/>
                  </pic:spPr>
                </pic:pic>
              </a:graphicData>
            </a:graphic>
          </wp:inline>
        </w:drawing>
      </w:r>
      <w:r>
        <w:rPr>
          <w:rFonts w:cs="Times New Roman;Times New Roman" w:ascii="Times New Roman;Times New Roman" w:hAnsi="Times New Roman;Times New Roman"/>
          <w:b/>
          <w:bCs/>
          <w:color w:val="000000"/>
          <w:sz w:val="20"/>
          <w:szCs w:val="20"/>
        </w:rPr>
        <w:t>18</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81">
        <w:r>
          <w:rPr>
            <w:rStyle w:val="Hyperlink"/>
            <w:rFonts w:cs="Times New Roman;Times New Roman" w:ascii="Times New Roman;Times New Roman" w:hAnsi="Times New Roman;Times New Roman"/>
            <w:color w:val="0000FF"/>
            <w:sz w:val="20"/>
            <w:szCs w:val="20"/>
          </w:rPr>
          <w:t>302</w:t>
        </w:r>
      </w:hyperlink>
      <w:r>
        <w:rPr>
          <w:rFonts w:cs="Times New Roman;Times New Roman" w:ascii="Times New Roman;Times New Roman" w:hAnsi="Times New Roman;Times New Roman"/>
          <w:color w:val="000000"/>
          <w:sz w:val="20"/>
          <w:szCs w:val="20"/>
        </w:rPr>
        <w:t xml:space="preserve"> Pleading</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82">
        <w:r>
          <w:rPr>
            <w:rStyle w:val="Hyperlink"/>
            <w:rFonts w:cs="Times New Roman;Times New Roman" w:ascii="Times New Roman;Times New Roman" w:hAnsi="Times New Roman;Times New Roman"/>
            <w:color w:val="0000FF"/>
            <w:sz w:val="20"/>
            <w:szCs w:val="20"/>
          </w:rPr>
          <w:t>302I</w:t>
        </w:r>
      </w:hyperlink>
      <w:r>
        <w:rPr>
          <w:rFonts w:cs="Times New Roman;Times New Roman" w:ascii="Times New Roman;Times New Roman" w:hAnsi="Times New Roman;Times New Roman"/>
          <w:color w:val="000000"/>
          <w:sz w:val="20"/>
          <w:szCs w:val="20"/>
        </w:rPr>
        <w:t xml:space="preserve"> Form and Allegations in General</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            </w:t>
      </w:r>
      <w:hyperlink r:id="rId83">
        <w:r>
          <w:rPr>
            <w:rStyle w:val="Hyperlink"/>
            <w:rFonts w:cs="Times New Roman;Times New Roman" w:ascii="Times New Roman;Times New Roman" w:hAnsi="Times New Roman;Times New Roman"/>
            <w:color w:val="0000FF"/>
            <w:sz w:val="20"/>
            <w:szCs w:val="20"/>
          </w:rPr>
          <w:t>302k18</w:t>
        </w:r>
      </w:hyperlink>
      <w:r>
        <w:rPr>
          <w:rFonts w:cs="Times New Roman;Times New Roman" w:ascii="Times New Roman;Times New Roman" w:hAnsi="Times New Roman;Times New Roman"/>
          <w:color w:val="000000"/>
          <w:sz w:val="20"/>
          <w:szCs w:val="20"/>
        </w:rPr>
        <w:t xml:space="preserve"> k. Certainty, Definiteness, and Particularity. </w:t>
      </w:r>
      <w:hyperlink r:id="rId84">
        <w:r>
          <w:rPr>
            <w:rStyle w:val="Hyperlink"/>
            <w:rFonts w:cs="Times New Roman;Times New Roman" w:ascii="Times New Roman;Times New Roman" w:hAnsi="Times New Roman;Times New Roman"/>
            <w:color w:val="0000FF"/>
            <w:sz w:val="20"/>
            <w:szCs w:val="20"/>
          </w:rPr>
          <w:t>Most Cited Cases</w:t>
        </w:r>
      </w:hyperlink>
      <w:r>
        <w:rPr>
          <w:rFonts w:cs="Times New Roman;Times New Roman" w:ascii="Times New Roman;Times New Roman" w:hAnsi="Times New Roman;Times New Roman"/>
          <w:color w:val="000000"/>
          <w:sz w:val="20"/>
          <w:szCs w:val="20"/>
        </w:rPr>
        <w:t xml:space="preserve"> </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23" w:name="Document1zzI34e0408d85cb11de9b8c85033233"/>
      <w:bookmarkStart w:id="24" w:name="Document1zzI34e0408d85cb11de9b8c85033233"/>
      <w:bookmarkEnd w:id="24"/>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In order to state a claim under Illinois Consumer Fraud Act (ICFA), a plaintiff must allege that a defendant engaged in a deceptive act or practice with the intent that the plaintiff rely on the deception in the course of trade or commerce and the deception was the proximate cause of the plaintiff's alleged injury; in addition, a complaint alleging a violation of consumer fraud must be pled with the same particularity and specificity as that required under common law fraud. S.H.A. </w:t>
      </w:r>
      <w:hyperlink r:id="rId85">
        <w:r>
          <w:rPr>
            <w:rStyle w:val="Hyperlink"/>
            <w:rFonts w:cs="Times New Roman;Times New Roman" w:ascii="Times New Roman;Times New Roman" w:hAnsi="Times New Roman;Times New Roman"/>
            <w:color w:val="0000FF"/>
            <w:sz w:val="20"/>
            <w:szCs w:val="20"/>
          </w:rPr>
          <w:t>815 ILCS § 505/2</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MEMORANDUM OPINION AND ORDER</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hyperlink r:id="rId86">
        <w:r>
          <w:rPr>
            <w:rStyle w:val="Hyperlink"/>
            <w:rFonts w:cs="Times New Roman;Times New Roman" w:ascii="Times New Roman;Times New Roman" w:hAnsi="Times New Roman;Times New Roman"/>
            <w:color w:val="0000FF"/>
            <w:sz w:val="20"/>
            <w:szCs w:val="20"/>
          </w:rPr>
          <w:t>HOLDERMAN</w:t>
        </w:r>
      </w:hyperlink>
      <w:r>
        <w:rPr>
          <w:rFonts w:cs="Times New Roman;Times New Roman" w:ascii="Times New Roman;Times New Roman" w:hAnsi="Times New Roman;Times New Roman"/>
          <w:color w:val="000000"/>
          <w:sz w:val="20"/>
          <w:szCs w:val="20"/>
        </w:rPr>
        <w:t>, J.</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*1</w:t>
      </w:r>
      <w:r>
        <w:rPr>
          <w:rFonts w:cs="Times New Roman;Times New Roman" w:ascii="Times New Roman;Times New Roman" w:hAnsi="Times New Roman;Times New Roman"/>
          <w:color w:val="000000"/>
          <w:sz w:val="20"/>
          <w:szCs w:val="20"/>
        </w:rPr>
        <w:t xml:space="preserve"> On August 30, 2002, plaintiff Robert Steven Robb (“Robb”) filed an amended class action complaint against defendants Capital Acquisitions &amp; Management Company (“CAMCO”) and Capital One, F.S.B. (“Capital One”) alleging unlawful credit and collection practices in violation of the Truth in Lending Act (“TILA”), </w:t>
      </w:r>
      <w:hyperlink r:id="rId87">
        <w:r>
          <w:rPr>
            <w:rStyle w:val="Hyperlink"/>
            <w:rFonts w:cs="Times New Roman;Times New Roman" w:ascii="Times New Roman;Times New Roman" w:hAnsi="Times New Roman;Times New Roman"/>
            <w:color w:val="0000FF"/>
            <w:sz w:val="20"/>
            <w:szCs w:val="20"/>
          </w:rPr>
          <w:t>15 U.S.C. §§ 1601</w:t>
        </w:r>
      </w:hyperlink>
      <w:r>
        <w:rPr>
          <w:rFonts w:cs="Times New Roman;Times New Roman" w:ascii="Times New Roman;Times New Roman" w:hAnsi="Times New Roman;Times New Roman"/>
          <w:color w:val="000000"/>
          <w:sz w:val="20"/>
          <w:szCs w:val="20"/>
        </w:rPr>
        <w:t>-</w:t>
      </w:r>
      <w:hyperlink r:id="rId88">
        <w:r>
          <w:rPr>
            <w:rStyle w:val="Hyperlink"/>
            <w:rFonts w:cs="Times New Roman;Times New Roman" w:ascii="Times New Roman;Times New Roman" w:hAnsi="Times New Roman;Times New Roman"/>
            <w:color w:val="0000FF"/>
            <w:sz w:val="20"/>
            <w:szCs w:val="20"/>
          </w:rPr>
          <w:t>1667f (2002)</w:t>
        </w:r>
      </w:hyperlink>
      <w:r>
        <w:rPr>
          <w:rFonts w:cs="Times New Roman;Times New Roman" w:ascii="Times New Roman;Times New Roman" w:hAnsi="Times New Roman;Times New Roman"/>
          <w:color w:val="000000"/>
          <w:sz w:val="20"/>
          <w:szCs w:val="20"/>
        </w:rPr>
        <w:t xml:space="preserve">, the Fair Debt Collection Practices Act (“FDCPA”), </w:t>
      </w:r>
      <w:hyperlink r:id="rId89">
        <w:r>
          <w:rPr>
            <w:rStyle w:val="Hyperlink"/>
            <w:rFonts w:cs="Times New Roman;Times New Roman" w:ascii="Times New Roman;Times New Roman" w:hAnsi="Times New Roman;Times New Roman"/>
            <w:color w:val="0000FF"/>
            <w:sz w:val="20"/>
            <w:szCs w:val="20"/>
          </w:rPr>
          <w:t>15 U.S.C. §§ 1692</w:t>
        </w:r>
      </w:hyperlink>
      <w:r>
        <w:rPr>
          <w:rFonts w:cs="Times New Roman;Times New Roman" w:ascii="Times New Roman;Times New Roman" w:hAnsi="Times New Roman;Times New Roman"/>
          <w:color w:val="000000"/>
          <w:sz w:val="20"/>
          <w:szCs w:val="20"/>
        </w:rPr>
        <w:t>-</w:t>
      </w:r>
      <w:hyperlink r:id="rId90">
        <w:r>
          <w:rPr>
            <w:rStyle w:val="Hyperlink"/>
            <w:rFonts w:cs="Times New Roman;Times New Roman" w:ascii="Times New Roman;Times New Roman" w:hAnsi="Times New Roman;Times New Roman"/>
            <w:color w:val="0000FF"/>
            <w:sz w:val="20"/>
            <w:szCs w:val="20"/>
          </w:rPr>
          <w:t>1692o (2002)</w:t>
        </w:r>
      </w:hyperlink>
      <w:r>
        <w:rPr>
          <w:rFonts w:cs="Times New Roman;Times New Roman" w:ascii="Times New Roman;Times New Roman" w:hAnsi="Times New Roman;Times New Roman"/>
          <w:color w:val="000000"/>
          <w:sz w:val="20"/>
          <w:szCs w:val="20"/>
        </w:rPr>
        <w:t xml:space="preserve">, and the Illinois Consumer Fraud Act, </w:t>
      </w:r>
      <w:hyperlink r:id="rId91">
        <w:r>
          <w:rPr>
            <w:rStyle w:val="Hyperlink"/>
            <w:rFonts w:cs="Times New Roman;Times New Roman" w:ascii="Times New Roman;Times New Roman" w:hAnsi="Times New Roman;Times New Roman"/>
            <w:color w:val="0000FF"/>
            <w:sz w:val="20"/>
            <w:szCs w:val="20"/>
          </w:rPr>
          <w:t>815 ILCS § 505/2 (2002)</w:t>
        </w:r>
      </w:hyperlink>
      <w:r>
        <w:rPr>
          <w:rFonts w:cs="Times New Roman;Times New Roman" w:ascii="Times New Roman;Times New Roman" w:hAnsi="Times New Roman;Times New Roman"/>
          <w:color w:val="000000"/>
          <w:sz w:val="20"/>
          <w:szCs w:val="20"/>
        </w:rPr>
        <w:t xml:space="preserve">. On September 17, 2002, CAMCO and Capital One (collectively referred to as “defendants”) moved, pursuant to </w:t>
      </w:r>
      <w:hyperlink r:id="rId92">
        <w:r>
          <w:rPr>
            <w:rStyle w:val="Hyperlink"/>
            <w:rFonts w:cs="Times New Roman;Times New Roman" w:ascii="Times New Roman;Times New Roman" w:hAnsi="Times New Roman;Times New Roman"/>
            <w:color w:val="0000FF"/>
            <w:sz w:val="20"/>
            <w:szCs w:val="20"/>
          </w:rPr>
          <w:t>Federal Rule of Civil Procedure 12(b)(6)</w:t>
        </w:r>
      </w:hyperlink>
      <w:r>
        <w:rPr>
          <w:rFonts w:cs="Times New Roman;Times New Roman" w:ascii="Times New Roman;Times New Roman" w:hAnsi="Times New Roman;Times New Roman"/>
          <w:color w:val="000000"/>
          <w:sz w:val="20"/>
          <w:szCs w:val="20"/>
        </w:rPr>
        <w:t>, to dismiss Robb's complaint for failure to state a claim upon which relief can be granted. Having considered this matter fully, for the reasons stated herein, defendants' motions to dismiss are granted.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STATEMENT OF FACTS</w:t>
      </w:r>
      <w:r>
        <w:rPr>
          <w:rFonts w:cs="Times New Roman;Times New Roman" w:ascii="Times New Roman;Times New Roman" w:hAnsi="Times New Roman;Times New Roman"/>
          <w:color w:val="000000"/>
          <w:sz w:val="20"/>
          <w:szCs w:val="20"/>
        </w:rPr>
        <w:t xml:space="preserve"> </w:t>
      </w:r>
      <w:hyperlink w:anchor="Document1zzB00112002742841">
        <w:r>
          <w:rPr>
            <w:rStyle w:val="Hyperlink"/>
            <w:rFonts w:cs="Times New Roman;Times New Roman" w:ascii="Times New Roman;Times New Roman" w:hAnsi="Times New Roman;Times New Roman"/>
            <w:color w:val="0000FF"/>
            <w:sz w:val="20"/>
            <w:szCs w:val="20"/>
            <w:vertAlign w:val="superscript"/>
          </w:rPr>
          <w:t>FN1</w:t>
        </w:r>
      </w:hyperlink>
      <w:bookmarkStart w:id="25" w:name="Document1zzF00112002742841"/>
      <w:bookmarkEnd w:id="25"/>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112002742841">
        <w:r>
          <w:rPr>
            <w:rStyle w:val="Hyperlink"/>
            <w:rFonts w:cs="Times New Roman;Times New Roman" w:ascii="Times New Roman;Times New Roman" w:hAnsi="Times New Roman;Times New Roman"/>
            <w:color w:val="0000FF"/>
            <w:sz w:val="20"/>
            <w:szCs w:val="20"/>
          </w:rPr>
          <w:t>FN1.</w:t>
        </w:r>
      </w:hyperlink>
      <w:bookmarkStart w:id="26" w:name="Document1zzB00112002742841"/>
      <w:bookmarkEnd w:id="26"/>
      <w:r>
        <w:rPr>
          <w:rFonts w:cs="Times New Roman;Times New Roman" w:ascii="Times New Roman;Times New Roman" w:hAnsi="Times New Roman;Times New Roman"/>
          <w:color w:val="000000"/>
          <w:sz w:val="20"/>
          <w:szCs w:val="20"/>
        </w:rPr>
        <w:t xml:space="preserve"> The following facts are taken from the well-pled allegations of Robb's complaint and must be accepted as true for purposes of this motion to dismiss. </w:t>
      </w:r>
      <w:hyperlink r:id="rId93">
        <w:r>
          <w:rPr>
            <w:rStyle w:val="Hyperlink"/>
            <w:rFonts w:cs="Times New Roman;Times New Roman" w:ascii="Times New Roman;Times New Roman" w:hAnsi="Times New Roman;Times New Roman"/>
            <w:i/>
            <w:iCs/>
            <w:color w:val="0000FF"/>
            <w:sz w:val="20"/>
            <w:szCs w:val="20"/>
          </w:rPr>
          <w:t>Thompson v. Illinois Dep't of Prof'l Regulation,</w:t>
        </w:r>
      </w:hyperlink>
      <w:hyperlink r:id="rId94">
        <w:r>
          <w:rPr>
            <w:rStyle w:val="Hyperlink"/>
            <w:rFonts w:cs="Times New Roman;Times New Roman" w:ascii="Times New Roman;Times New Roman" w:hAnsi="Times New Roman;Times New Roman"/>
            <w:color w:val="0000FF"/>
            <w:sz w:val="20"/>
            <w:szCs w:val="20"/>
          </w:rPr>
          <w:t xml:space="preserve"> 300 F.3d 750, 753 (7th Cir.2002)</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In about 1990, Robb obtained a credit card issued by First Card. (Compl.¶ 8.) Sometime thereafter, Robb fell behind on the account. (Compl.¶ 10.) After the debt was delinquent, First Card sold it to Capital One. (Compl.¶ 11.) Robb sought assistance with respect to his and other debts through Consumer Credit Counseling and believes that it was paid or compromised. (Compl.¶ 13.) On or about May 22, 2002, CAMCO sent Robb a letter stating that it had purchased Robb's credit card account from Capital One and that Robb owed $6,994.13 on it. (Compl.¶ 14.)</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TILA, </w:t>
      </w:r>
      <w:hyperlink r:id="rId95">
        <w:r>
          <w:rPr>
            <w:rStyle w:val="Hyperlink"/>
            <w:rFonts w:cs="Times New Roman;Times New Roman" w:ascii="Times New Roman;Times New Roman" w:hAnsi="Times New Roman;Times New Roman"/>
            <w:color w:val="0000FF"/>
            <w:sz w:val="20"/>
            <w:szCs w:val="20"/>
          </w:rPr>
          <w:t>15 U.S.C. § 1637(b)</w:t>
        </w:r>
      </w:hyperlink>
      <w:r>
        <w:rPr>
          <w:rFonts w:cs="Times New Roman;Times New Roman" w:ascii="Times New Roman;Times New Roman" w:hAnsi="Times New Roman;Times New Roman"/>
          <w:color w:val="000000"/>
          <w:sz w:val="20"/>
          <w:szCs w:val="20"/>
        </w:rPr>
        <w:t>, and Regulation Z, 12 C.F.R. § 226.7 (2002), require that the “creditor” on an open end credit account, such as a credit card, furnish a periodic statement during any month in which there is an outstanding balance or for which a finance charge is imposed. The purpose of the monthly billing statement is to apprise the consumer, among other things, that a balance is claimed to be owed, the amount of the balance, and the extent to which failure to pay the balance in full will result in an increase in the amount owed during the month as a result of the accrual of finance charges. (Compl.¶ 22.) It is the policy and practice of Capital One and CAMCO to assess finance charges on delinquent accounts at annual percentage rates as high as 25% even though no periodic statements are provided. (Compl.¶ 23.) At no time during the last five years had Capital One or CAMCO sent monthly statements to Robb. (Compl.¶ 18.) No monthly statement is sent on delinquent credit card accounts that Capital One and CAMCO purchase; however, Capital One and CAMCO continue to accrue interest on such accounts. (Compl.¶¶ 19, 20.)</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Robb asserts in count I, against Capital One, and count II, against CAMCO, that defendants violated TILA by failing to send monthly statements. Robb alleges in count III, against Capital One, and count IV, against CAMCO, that the collection of interest by a debt collector with respect to credit card accounts on which monthly statements have not been furnished is a deceptive and unfair practice in violation of the FDCPA. Robb also claims in count V that CAMCO violated the ICFA by engaging in the same conduct. With respect to the FDCPA and ICFA claims, Robb contends that the practice is deceptive because (1) the creditor or debt collector is failing to furnish material information required to be furnished by law, and (2) without periodic statements, consumers are unlikely to realize that the debt is increasing through the assessment and compounding of interest. (Compl.¶ 27.) Robb claims that the practice is unfair because (1) the failure to furnish periodic statements is contrary to public policy, as established by TILA, and (2) it causes substantial injury to consumers because without periodic statements, they are unlikely to realize that the debt is increasing through the assessment and compounding of interest and the extent of the increase. (Compl.¶ 28.) Defendants claim, </w:t>
      </w:r>
      <w:r>
        <w:rPr>
          <w:rFonts w:cs="Times New Roman;Times New Roman" w:ascii="Times New Roman;Times New Roman" w:hAnsi="Times New Roman;Times New Roman"/>
          <w:i/>
          <w:iCs/>
          <w:color w:val="000000"/>
          <w:sz w:val="20"/>
          <w:szCs w:val="20"/>
        </w:rPr>
        <w:t>inter</w:t>
      </w:r>
      <w:r>
        <w:rPr>
          <w:rFonts w:cs="Times New Roman;Times New Roman" w:ascii="Times New Roman;Times New Roman" w:hAnsi="Times New Roman;Times New Roman"/>
          <w:color w:val="000000"/>
          <w:sz w:val="20"/>
          <w:szCs w:val="20"/>
        </w:rPr>
        <w:t xml:space="preserve"> </w:t>
      </w:r>
      <w:r>
        <w:rPr>
          <w:rFonts w:cs="Times New Roman;Times New Roman" w:ascii="Times New Roman;Times New Roman" w:hAnsi="Times New Roman;Times New Roman"/>
          <w:i/>
          <w:iCs/>
          <w:color w:val="000000"/>
          <w:sz w:val="20"/>
          <w:szCs w:val="20"/>
        </w:rPr>
        <w:t>alia,</w:t>
      </w:r>
      <w:r>
        <w:rPr>
          <w:rFonts w:cs="Times New Roman;Times New Roman" w:ascii="Times New Roman;Times New Roman" w:hAnsi="Times New Roman;Times New Roman"/>
          <w:color w:val="000000"/>
          <w:sz w:val="20"/>
          <w:szCs w:val="20"/>
        </w:rPr>
        <w:t xml:space="preserve"> that because they are not “creditors” within the meaning of TILA, they had no obligation to provide the monthly statements to Robb.</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*2</w:t>
      </w:r>
      <w:r>
        <w:rPr>
          <w:rFonts w:cs="Times New Roman;Times New Roman" w:ascii="Times New Roman;Times New Roman" w:hAnsi="Times New Roman;Times New Roman"/>
          <w:color w:val="000000"/>
          <w:sz w:val="20"/>
          <w:szCs w:val="20"/>
        </w:rPr>
        <w:t xml:space="preserve"> In deciding these motions to dismiss, this court has considered the following: defendants' motions to dismiss and supporting memoranda, plaintiffs' response, defendants' replies, plaintiffs' motion for leave to respond and surreply, Capital One's response and motion for leave to respond, and plaintiffs' objection to Capital One's motion for leave to respond.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STANDARD OF REVIEW</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r:id="rId96">
        <w:r>
          <w:rPr>
            <w:rStyle w:val="Hyperlink"/>
            <w:rFonts w:cs="Times New Roman;Times New Roman" w:ascii="Times New Roman;Times New Roman" w:hAnsi="Times New Roman;Times New Roman"/>
            <w:color w:val="0000FF"/>
            <w:sz w:val="20"/>
            <w:szCs w:val="20"/>
          </w:rPr>
          <w:t>Federal Rule of Civil Procedure 12(b)(6)</w:t>
        </w:r>
      </w:hyperlink>
      <w:r>
        <w:rPr>
          <w:rFonts w:cs="Times New Roman;Times New Roman" w:ascii="Times New Roman;Times New Roman" w:hAnsi="Times New Roman;Times New Roman"/>
          <w:color w:val="000000"/>
          <w:sz w:val="20"/>
          <w:szCs w:val="20"/>
        </w:rPr>
        <w:t xml:space="preserve"> allows this court to dismiss a complaint that fails to state a claim upon which relief may be granted. In considering the merits of a motion made pursuant to </w:t>
      </w:r>
      <w:hyperlink r:id="rId97">
        <w:r>
          <w:rPr>
            <w:rStyle w:val="Hyperlink"/>
            <w:rFonts w:cs="Times New Roman;Times New Roman" w:ascii="Times New Roman;Times New Roman" w:hAnsi="Times New Roman;Times New Roman"/>
            <w:color w:val="0000FF"/>
            <w:sz w:val="20"/>
            <w:szCs w:val="20"/>
          </w:rPr>
          <w:t>Rule 12(b)(6)</w:t>
        </w:r>
      </w:hyperlink>
      <w:r>
        <w:rPr>
          <w:rFonts w:cs="Times New Roman;Times New Roman" w:ascii="Times New Roman;Times New Roman" w:hAnsi="Times New Roman;Times New Roman"/>
          <w:color w:val="000000"/>
          <w:sz w:val="20"/>
          <w:szCs w:val="20"/>
        </w:rPr>
        <w:t xml:space="preserve">, the well-pled allegations of the complaint must be accepted as true. </w:t>
      </w:r>
      <w:hyperlink r:id="rId98">
        <w:r>
          <w:rPr>
            <w:rStyle w:val="Hyperlink"/>
            <w:rFonts w:cs="Times New Roman;Times New Roman" w:ascii="Times New Roman;Times New Roman" w:hAnsi="Times New Roman;Times New Roman"/>
            <w:i/>
            <w:iCs/>
            <w:color w:val="0000FF"/>
            <w:sz w:val="20"/>
            <w:szCs w:val="20"/>
          </w:rPr>
          <w:t>Thompson v. Illinois Dep't of Prof'l Regulation,</w:t>
        </w:r>
      </w:hyperlink>
      <w:hyperlink r:id="rId99">
        <w:r>
          <w:rPr>
            <w:rStyle w:val="Hyperlink"/>
            <w:rFonts w:cs="Times New Roman;Times New Roman" w:ascii="Times New Roman;Times New Roman" w:hAnsi="Times New Roman;Times New Roman"/>
            <w:color w:val="0000FF"/>
            <w:sz w:val="20"/>
            <w:szCs w:val="20"/>
          </w:rPr>
          <w:t xml:space="preserve"> 300 F.3d 750, 753 (7th Cir.2002)</w:t>
        </w:r>
      </w:hyperlink>
      <w:r>
        <w:rPr>
          <w:rFonts w:cs="Times New Roman;Times New Roman" w:ascii="Times New Roman;Times New Roman" w:hAnsi="Times New Roman;Times New Roman"/>
          <w:color w:val="000000"/>
          <w:sz w:val="20"/>
          <w:szCs w:val="20"/>
        </w:rPr>
        <w:t xml:space="preserve">. In addition, all ambiguities will be construed in favor of the non-moving party. </w:t>
      </w:r>
      <w:r>
        <w:rPr>
          <w:rFonts w:cs="Times New Roman;Times New Roman" w:ascii="Times New Roman;Times New Roman" w:hAnsi="Times New Roman;Times New Roman"/>
          <w:i/>
          <w:iCs/>
          <w:color w:val="000000"/>
          <w:sz w:val="20"/>
          <w:szCs w:val="20"/>
        </w:rPr>
        <w:t>Id .</w:t>
      </w:r>
      <w:r>
        <w:rPr>
          <w:rFonts w:cs="Times New Roman;Times New Roman" w:ascii="Times New Roman;Times New Roman" w:hAnsi="Times New Roman;Times New Roman"/>
          <w:color w:val="000000"/>
          <w:sz w:val="20"/>
          <w:szCs w:val="20"/>
        </w:rPr>
        <w:t xml:space="preserve"> A court generally should only dismiss a complaint where it is clear that no relief could be granted consistent with the allegations. </w:t>
      </w:r>
      <w:hyperlink r:id="rId100">
        <w:r>
          <w:rPr>
            <w:rStyle w:val="Hyperlink"/>
            <w:rFonts w:cs="Times New Roman;Times New Roman" w:ascii="Times New Roman;Times New Roman" w:hAnsi="Times New Roman;Times New Roman"/>
            <w:i/>
            <w:iCs/>
            <w:color w:val="0000FF"/>
            <w:sz w:val="20"/>
            <w:szCs w:val="20"/>
          </w:rPr>
          <w:t>Hishon v. King &amp; Spaulding,</w:t>
        </w:r>
      </w:hyperlink>
      <w:hyperlink r:id="rId101">
        <w:r>
          <w:rPr>
            <w:rStyle w:val="Hyperlink"/>
            <w:rFonts w:cs="Times New Roman;Times New Roman" w:ascii="Times New Roman;Times New Roman" w:hAnsi="Times New Roman;Times New Roman"/>
            <w:color w:val="0000FF"/>
            <w:sz w:val="20"/>
            <w:szCs w:val="20"/>
          </w:rPr>
          <w:t xml:space="preserve"> 467 U.S. 69, 73, 104 S.Ct. 2229, 81 L.Ed.2d 59 (1984)</w:t>
        </w:r>
      </w:hyperlink>
      <w:r>
        <w:rPr>
          <w:rFonts w:cs="Times New Roman;Times New Roman" w:ascii="Times New Roman;Times New Roman" w:hAnsi="Times New Roman;Times New Roman"/>
          <w:color w:val="000000"/>
          <w:sz w:val="20"/>
          <w:szCs w:val="20"/>
        </w:rPr>
        <w:t xml:space="preserve">. </w:t>
      </w:r>
      <w:hyperlink r:id="rId102">
        <w:r>
          <w:rPr>
            <w:rStyle w:val="Hyperlink"/>
            <w:rFonts w:cs="Times New Roman;Times New Roman" w:ascii="Times New Roman;Times New Roman" w:hAnsi="Times New Roman;Times New Roman"/>
            <w:color w:val="0000FF"/>
            <w:sz w:val="20"/>
            <w:szCs w:val="20"/>
          </w:rPr>
          <w:t>Rule 8(a) of the Federal Rules of Civil Procedure</w:t>
        </w:r>
      </w:hyperlink>
      <w:r>
        <w:rPr>
          <w:rFonts w:cs="Times New Roman;Times New Roman" w:ascii="Times New Roman;Times New Roman" w:hAnsi="Times New Roman;Times New Roman"/>
          <w:color w:val="000000"/>
          <w:sz w:val="20"/>
          <w:szCs w:val="20"/>
        </w:rPr>
        <w:t xml:space="preserve"> states that a complaint must identify the basis of jurisdiction and contain “a short and plain statement of the claim showing that the pleader is entitled to relief.”   </w:t>
      </w:r>
      <w:hyperlink r:id="rId103">
        <w:r>
          <w:rPr>
            <w:rStyle w:val="Hyperlink"/>
            <w:rFonts w:cs="Times New Roman;Times New Roman" w:ascii="Times New Roman;Times New Roman" w:hAnsi="Times New Roman;Times New Roman"/>
            <w:i/>
            <w:iCs/>
            <w:color w:val="0000FF"/>
            <w:sz w:val="20"/>
            <w:szCs w:val="20"/>
          </w:rPr>
          <w:t>Bartholet v. Reishauer A.G. (Zurich),</w:t>
        </w:r>
      </w:hyperlink>
      <w:hyperlink r:id="rId104">
        <w:r>
          <w:rPr>
            <w:rStyle w:val="Hyperlink"/>
            <w:rFonts w:cs="Times New Roman;Times New Roman" w:ascii="Times New Roman;Times New Roman" w:hAnsi="Times New Roman;Times New Roman"/>
            <w:color w:val="0000FF"/>
            <w:sz w:val="20"/>
            <w:szCs w:val="20"/>
          </w:rPr>
          <w:t xml:space="preserve"> 953 F.2d 1073, 1077-78 (7th Cir.1992)</w:t>
        </w:r>
      </w:hyperlink>
      <w:r>
        <w:rPr>
          <w:rFonts w:cs="Times New Roman;Times New Roman" w:ascii="Times New Roman;Times New Roman" w:hAnsi="Times New Roman;Times New Roman"/>
          <w:color w:val="000000"/>
          <w:sz w:val="20"/>
          <w:szCs w:val="20"/>
        </w:rPr>
        <w:t xml:space="preserve">. Complaints can be “short and simple, giving the adversary notice while leaving the rest to further documents.” </w:t>
      </w:r>
      <w:r>
        <w:rPr>
          <w:rFonts w:cs="Times New Roman;Times New Roman" w:ascii="Times New Roman;Times New Roman" w:hAnsi="Times New Roman;Times New Roman"/>
          <w:i/>
          <w:iCs/>
          <w:color w:val="000000"/>
          <w:sz w:val="20"/>
          <w:szCs w:val="20"/>
        </w:rPr>
        <w:t>Id.</w:t>
      </w:r>
      <w:r>
        <w:rPr>
          <w:rFonts w:cs="Times New Roman;Times New Roman" w:ascii="Times New Roman;Times New Roman" w:hAnsi="Times New Roman;Times New Roman"/>
          <w:color w:val="000000"/>
          <w:sz w:val="20"/>
          <w:szCs w:val="20"/>
        </w:rPr>
        <w:t xml:space="preserve"> It follows that in deciding a </w:t>
      </w:r>
      <w:hyperlink r:id="rId105">
        <w:r>
          <w:rPr>
            <w:rStyle w:val="Hyperlink"/>
            <w:rFonts w:cs="Times New Roman;Times New Roman" w:ascii="Times New Roman;Times New Roman" w:hAnsi="Times New Roman;Times New Roman"/>
            <w:color w:val="0000FF"/>
            <w:sz w:val="20"/>
            <w:szCs w:val="20"/>
          </w:rPr>
          <w:t>Rule 12(b)(6)</w:t>
        </w:r>
      </w:hyperlink>
      <w:r>
        <w:rPr>
          <w:rFonts w:cs="Times New Roman;Times New Roman" w:ascii="Times New Roman;Times New Roman" w:hAnsi="Times New Roman;Times New Roman"/>
          <w:color w:val="000000"/>
          <w:sz w:val="20"/>
          <w:szCs w:val="20"/>
        </w:rPr>
        <w:t xml:space="preserve"> motion to dismiss, this court must ask whether relief is possible under any set of facts that could be established consistent with the allegations in the complaint. </w:t>
      </w:r>
      <w:r>
        <w:rPr>
          <w:rFonts w:cs="Times New Roman;Times New Roman" w:ascii="Times New Roman;Times New Roman" w:hAnsi="Times New Roman;Times New Roman"/>
          <w:i/>
          <w:iCs/>
          <w:color w:val="000000"/>
          <w:sz w:val="20"/>
          <w:szCs w:val="20"/>
        </w:rPr>
        <w:t>See</w:t>
      </w:r>
      <w:r>
        <w:rPr>
          <w:rFonts w:cs="Times New Roman;Times New Roman" w:ascii="Times New Roman;Times New Roman" w:hAnsi="Times New Roman;Times New Roman"/>
          <w:color w:val="000000"/>
          <w:sz w:val="20"/>
          <w:szCs w:val="20"/>
        </w:rPr>
        <w:t xml:space="preserve"> </w:t>
      </w:r>
      <w:r>
        <w:rPr>
          <w:rFonts w:cs="Times New Roman;Times New Roman" w:ascii="Times New Roman;Times New Roman" w:hAnsi="Times New Roman;Times New Roman"/>
          <w:i/>
          <w:iCs/>
          <w:color w:val="000000"/>
          <w:sz w:val="20"/>
          <w:szCs w:val="20"/>
        </w:rPr>
        <w:t>id.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ANALYSIS</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I. </w:t>
      </w:r>
      <w:r>
        <w:rPr>
          <w:rFonts w:cs="Times New Roman;Times New Roman" w:ascii="Times New Roman;Times New Roman" w:hAnsi="Times New Roman;Times New Roman"/>
          <w:i/>
          <w:iCs/>
          <w:color w:val="000000"/>
          <w:sz w:val="20"/>
          <w:szCs w:val="20"/>
        </w:rPr>
        <w:t>Truth in Lending Act Claim</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In TILA, the term “creditor” is statutorily defined in </w:t>
      </w:r>
      <w:hyperlink r:id="rId106">
        <w:r>
          <w:rPr>
            <w:rStyle w:val="Hyperlink"/>
            <w:rFonts w:cs="Times New Roman;Times New Roman" w:ascii="Times New Roman;Times New Roman" w:hAnsi="Times New Roman;Times New Roman"/>
            <w:color w:val="0000FF"/>
            <w:sz w:val="20"/>
            <w:szCs w:val="20"/>
          </w:rPr>
          <w:t>15 U.S.C. § 1602(f)</w:t>
        </w:r>
      </w:hyperlink>
      <w:r>
        <w:rPr>
          <w:rFonts w:cs="Times New Roman;Times New Roman" w:ascii="Times New Roman;Times New Roman" w:hAnsi="Times New Roman;Times New Roman"/>
          <w:color w:val="000000"/>
          <w:sz w:val="20"/>
          <w:szCs w:val="20"/>
        </w:rPr>
        <w:t xml:space="preserve"> as: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a person who both (1) regularly extends, whether in connection with loans, sales of property or services, or otherwise, consumer credit which is payable by agreement in more than four installments or for which the payment of a finance charge is or may be required, and (2) is </w:t>
      </w:r>
      <w:r>
        <w:rPr>
          <w:rFonts w:cs="Times New Roman;Times New Roman" w:ascii="Times New Roman;Times New Roman" w:hAnsi="Times New Roman;Times New Roman"/>
          <w:i/>
          <w:iCs/>
          <w:color w:val="000000"/>
          <w:sz w:val="20"/>
          <w:szCs w:val="20"/>
        </w:rPr>
        <w:t>the person to whom the debt</w:t>
      </w:r>
      <w:r>
        <w:rPr>
          <w:rFonts w:cs="Times New Roman;Times New Roman" w:ascii="Times New Roman;Times New Roman" w:hAnsi="Times New Roman;Times New Roman"/>
          <w:color w:val="000000"/>
          <w:sz w:val="20"/>
          <w:szCs w:val="20"/>
        </w:rPr>
        <w:t xml:space="preserve"> arising from the consumer credit transaction </w:t>
      </w:r>
      <w:r>
        <w:rPr>
          <w:rFonts w:cs="Times New Roman;Times New Roman" w:ascii="Times New Roman;Times New Roman" w:hAnsi="Times New Roman;Times New Roman"/>
          <w:i/>
          <w:iCs/>
          <w:color w:val="000000"/>
          <w:sz w:val="20"/>
          <w:szCs w:val="20"/>
        </w:rPr>
        <w:t>is initially payable</w:t>
      </w:r>
      <w:r>
        <w:rPr>
          <w:rFonts w:cs="Times New Roman;Times New Roman" w:ascii="Times New Roman;Times New Roman" w:hAnsi="Times New Roman;Times New Roman"/>
          <w:color w:val="000000"/>
          <w:sz w:val="20"/>
          <w:szCs w:val="20"/>
        </w:rPr>
        <w:t xml:space="preserve"> on the face of the evidence of indebtedness or, if there is no such evidence of indebtedness, by agreement. Notwithstanding the preceding sentence, in the case of an open-end credit plan involving a credit card, </w:t>
      </w:r>
      <w:r>
        <w:rPr>
          <w:rFonts w:cs="Times New Roman;Times New Roman" w:ascii="Times New Roman;Times New Roman" w:hAnsi="Times New Roman;Times New Roman"/>
          <w:i/>
          <w:iCs/>
          <w:color w:val="000000"/>
          <w:sz w:val="20"/>
          <w:szCs w:val="20"/>
        </w:rPr>
        <w:t>the card issuer</w:t>
      </w:r>
      <w:r>
        <w:rPr>
          <w:rFonts w:cs="Times New Roman;Times New Roman" w:ascii="Times New Roman;Times New Roman" w:hAnsi="Times New Roman;Times New Roman"/>
          <w:color w:val="000000"/>
          <w:sz w:val="20"/>
          <w:szCs w:val="20"/>
        </w:rPr>
        <w:t xml:space="preserve"> and any person who honors the credit card and offers a discount which is a finance charge are creditors. For the purpose of the requirements imposed under part D of this subchapter and </w:t>
      </w:r>
      <w:hyperlink r:id="rId107">
        <w:r>
          <w:rPr>
            <w:rStyle w:val="Hyperlink"/>
            <w:rFonts w:cs="Times New Roman;Times New Roman" w:ascii="Times New Roman;Times New Roman" w:hAnsi="Times New Roman;Times New Roman"/>
            <w:color w:val="0000FF"/>
            <w:sz w:val="20"/>
            <w:szCs w:val="20"/>
          </w:rPr>
          <w:t>sections 1637(a)(5)</w:t>
        </w:r>
      </w:hyperlink>
      <w:r>
        <w:rPr>
          <w:rFonts w:cs="Times New Roman;Times New Roman" w:ascii="Times New Roman;Times New Roman" w:hAnsi="Times New Roman;Times New Roman"/>
          <w:color w:val="000000"/>
          <w:sz w:val="20"/>
          <w:szCs w:val="20"/>
        </w:rPr>
        <w:t xml:space="preserve">, </w:t>
      </w:r>
      <w:hyperlink r:id="rId108">
        <w:r>
          <w:rPr>
            <w:rStyle w:val="Hyperlink"/>
            <w:rFonts w:cs="Times New Roman;Times New Roman" w:ascii="Times New Roman;Times New Roman" w:hAnsi="Times New Roman;Times New Roman"/>
            <w:color w:val="0000FF"/>
            <w:sz w:val="20"/>
            <w:szCs w:val="20"/>
          </w:rPr>
          <w:t>1637(a)(6)</w:t>
        </w:r>
      </w:hyperlink>
      <w:r>
        <w:rPr>
          <w:rFonts w:cs="Times New Roman;Times New Roman" w:ascii="Times New Roman;Times New Roman" w:hAnsi="Times New Roman;Times New Roman"/>
          <w:color w:val="000000"/>
          <w:sz w:val="20"/>
          <w:szCs w:val="20"/>
        </w:rPr>
        <w:t xml:space="preserve">, </w:t>
      </w:r>
      <w:hyperlink r:id="rId109">
        <w:r>
          <w:rPr>
            <w:rStyle w:val="Hyperlink"/>
            <w:rFonts w:cs="Times New Roman;Times New Roman" w:ascii="Times New Roman;Times New Roman" w:hAnsi="Times New Roman;Times New Roman"/>
            <w:color w:val="0000FF"/>
            <w:sz w:val="20"/>
            <w:szCs w:val="20"/>
          </w:rPr>
          <w:t>1637(a)(7)</w:t>
        </w:r>
      </w:hyperlink>
      <w:r>
        <w:rPr>
          <w:rFonts w:cs="Times New Roman;Times New Roman" w:ascii="Times New Roman;Times New Roman" w:hAnsi="Times New Roman;Times New Roman"/>
          <w:color w:val="000000"/>
          <w:sz w:val="20"/>
          <w:szCs w:val="20"/>
        </w:rPr>
        <w:t xml:space="preserve">, </w:t>
      </w:r>
      <w:hyperlink r:id="rId110">
        <w:r>
          <w:rPr>
            <w:rStyle w:val="Hyperlink"/>
            <w:rFonts w:cs="Times New Roman;Times New Roman" w:ascii="Times New Roman;Times New Roman" w:hAnsi="Times New Roman;Times New Roman"/>
            <w:color w:val="0000FF"/>
            <w:sz w:val="20"/>
            <w:szCs w:val="20"/>
          </w:rPr>
          <w:t>1637(b)(1)</w:t>
        </w:r>
      </w:hyperlink>
      <w:r>
        <w:rPr>
          <w:rFonts w:cs="Times New Roman;Times New Roman" w:ascii="Times New Roman;Times New Roman" w:hAnsi="Times New Roman;Times New Roman"/>
          <w:color w:val="000000"/>
          <w:sz w:val="20"/>
          <w:szCs w:val="20"/>
        </w:rPr>
        <w:t xml:space="preserve">, </w:t>
      </w:r>
      <w:hyperlink r:id="rId111">
        <w:r>
          <w:rPr>
            <w:rStyle w:val="Hyperlink"/>
            <w:rFonts w:cs="Times New Roman;Times New Roman" w:ascii="Times New Roman;Times New Roman" w:hAnsi="Times New Roman;Times New Roman"/>
            <w:color w:val="0000FF"/>
            <w:sz w:val="20"/>
            <w:szCs w:val="20"/>
          </w:rPr>
          <w:t>1637(b)(2)</w:t>
        </w:r>
      </w:hyperlink>
      <w:r>
        <w:rPr>
          <w:rFonts w:cs="Times New Roman;Times New Roman" w:ascii="Times New Roman;Times New Roman" w:hAnsi="Times New Roman;Times New Roman"/>
          <w:color w:val="000000"/>
          <w:sz w:val="20"/>
          <w:szCs w:val="20"/>
        </w:rPr>
        <w:t xml:space="preserve">, </w:t>
      </w:r>
      <w:hyperlink r:id="rId112">
        <w:r>
          <w:rPr>
            <w:rStyle w:val="Hyperlink"/>
            <w:rFonts w:cs="Times New Roman;Times New Roman" w:ascii="Times New Roman;Times New Roman" w:hAnsi="Times New Roman;Times New Roman"/>
            <w:color w:val="0000FF"/>
            <w:sz w:val="20"/>
            <w:szCs w:val="20"/>
          </w:rPr>
          <w:t>1637(b)(3)</w:t>
        </w:r>
      </w:hyperlink>
      <w:r>
        <w:rPr>
          <w:rFonts w:cs="Times New Roman;Times New Roman" w:ascii="Times New Roman;Times New Roman" w:hAnsi="Times New Roman;Times New Roman"/>
          <w:color w:val="000000"/>
          <w:sz w:val="20"/>
          <w:szCs w:val="20"/>
        </w:rPr>
        <w:t xml:space="preserve">, </w:t>
      </w:r>
      <w:hyperlink r:id="rId113">
        <w:r>
          <w:rPr>
            <w:rStyle w:val="Hyperlink"/>
            <w:rFonts w:cs="Times New Roman;Times New Roman" w:ascii="Times New Roman;Times New Roman" w:hAnsi="Times New Roman;Times New Roman"/>
            <w:color w:val="0000FF"/>
            <w:sz w:val="20"/>
            <w:szCs w:val="20"/>
          </w:rPr>
          <w:t>1637(b)(8)</w:t>
        </w:r>
      </w:hyperlink>
      <w:r>
        <w:rPr>
          <w:rFonts w:cs="Times New Roman;Times New Roman" w:ascii="Times New Roman;Times New Roman" w:hAnsi="Times New Roman;Times New Roman"/>
          <w:color w:val="000000"/>
          <w:sz w:val="20"/>
          <w:szCs w:val="20"/>
        </w:rPr>
        <w:t xml:space="preserve">, and </w:t>
      </w:r>
      <w:hyperlink r:id="rId114">
        <w:r>
          <w:rPr>
            <w:rStyle w:val="Hyperlink"/>
            <w:rFonts w:cs="Times New Roman;Times New Roman" w:ascii="Times New Roman;Times New Roman" w:hAnsi="Times New Roman;Times New Roman"/>
            <w:color w:val="0000FF"/>
            <w:sz w:val="20"/>
            <w:szCs w:val="20"/>
          </w:rPr>
          <w:t>1637(b)(10)</w:t>
        </w:r>
      </w:hyperlink>
      <w:r>
        <w:rPr>
          <w:rFonts w:cs="Times New Roman;Times New Roman" w:ascii="Times New Roman;Times New Roman" w:hAnsi="Times New Roman;Times New Roman"/>
          <w:color w:val="000000"/>
          <w:sz w:val="20"/>
          <w:szCs w:val="20"/>
        </w:rPr>
        <w:t xml:space="preserve"> of this title, </w:t>
      </w:r>
      <w:r>
        <w:rPr>
          <w:rFonts w:cs="Times New Roman;Times New Roman" w:ascii="Times New Roman;Times New Roman" w:hAnsi="Times New Roman;Times New Roman"/>
          <w:i/>
          <w:iCs/>
          <w:color w:val="000000"/>
          <w:sz w:val="20"/>
          <w:szCs w:val="20"/>
        </w:rPr>
        <w:t>the term “creditor” shall also include card issuers</w:t>
      </w:r>
      <w:r>
        <w:rPr>
          <w:rFonts w:cs="Times New Roman;Times New Roman" w:ascii="Times New Roman;Times New Roman" w:hAnsi="Times New Roman;Times New Roman"/>
          <w:color w:val="000000"/>
          <w:sz w:val="20"/>
          <w:szCs w:val="20"/>
        </w:rPr>
        <w:t xml:space="preserve"> whether or not the amount due is payable by agreement in more than four installments or the payment of a finance charge is or may be required, and the Board shall, by regulation, apply these requirements to such card issuers, to the extent appropriate, even though the requirements are by their terms applicable only to creditors offering open-end credit plans. Any person who originates 2 or more mortgages referred to in subsection (aa) of this section in any 12-month period or any person who originates 1 or more such mortgages through a mortgage broker shall be considered to be a creditor for purposes of this subchapter.</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*3</w:t>
      </w:r>
      <w:r>
        <w:rPr>
          <w:rFonts w:cs="Times New Roman;Times New Roman" w:ascii="Times New Roman;Times New Roman" w:hAnsi="Times New Roman;Times New Roman"/>
          <w:color w:val="000000"/>
          <w:sz w:val="20"/>
          <w:szCs w:val="20"/>
        </w:rPr>
        <w:t xml:space="preserve"> </w:t>
      </w:r>
      <w:hyperlink r:id="rId115">
        <w:r>
          <w:rPr>
            <w:rStyle w:val="Hyperlink"/>
            <w:rFonts w:cs="Times New Roman;Times New Roman" w:ascii="Times New Roman;Times New Roman" w:hAnsi="Times New Roman;Times New Roman"/>
            <w:color w:val="0000FF"/>
            <w:sz w:val="20"/>
            <w:szCs w:val="20"/>
          </w:rPr>
          <w:t>15 U.S.C. § 1602(f)</w:t>
        </w:r>
      </w:hyperlink>
      <w:r>
        <w:rPr>
          <w:rFonts w:cs="Times New Roman;Times New Roman" w:ascii="Times New Roman;Times New Roman" w:hAnsi="Times New Roman;Times New Roman"/>
          <w:color w:val="000000"/>
          <w:sz w:val="20"/>
          <w:szCs w:val="20"/>
        </w:rPr>
        <w:t xml:space="preserve"> (emphasis added).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r:id="rId116">
        <w:r>
          <w:rPr>
            <w:rStyle w:val="Hyperlink"/>
            <w:rFonts w:cs="Times New Roman;Times New Roman" w:ascii="Times New Roman;Times New Roman" w:hAnsi="Times New Roman;Times New Roman"/>
            <w:color w:val="0000FF"/>
            <w:sz w:val="20"/>
            <w:szCs w:val="20"/>
          </w:rPr>
          <w:t>Section 1637</w:t>
        </w:r>
      </w:hyperlink>
      <w:r>
        <w:rPr>
          <w:rFonts w:cs="Times New Roman;Times New Roman" w:ascii="Times New Roman;Times New Roman" w:hAnsi="Times New Roman;Times New Roman"/>
          <w:color w:val="000000"/>
          <w:sz w:val="20"/>
          <w:szCs w:val="20"/>
        </w:rPr>
        <w:t xml:space="preserve">, and Regulation Z, 12 C.F.R. § 226.7, provide that a “creditor” is required to send certain statements to a debtor as long as there is an outstanding balance or a finance charge is imposed. With regard to this requirement, </w:t>
      </w:r>
      <w:hyperlink r:id="rId117">
        <w:r>
          <w:rPr>
            <w:rStyle w:val="Hyperlink"/>
            <w:rFonts w:cs="Times New Roman;Times New Roman" w:ascii="Times New Roman;Times New Roman" w:hAnsi="Times New Roman;Times New Roman"/>
            <w:color w:val="0000FF"/>
            <w:sz w:val="20"/>
            <w:szCs w:val="20"/>
          </w:rPr>
          <w:t>section 1637(b)</w:t>
        </w:r>
      </w:hyperlink>
      <w:r>
        <w:rPr>
          <w:rFonts w:cs="Times New Roman;Times New Roman" w:ascii="Times New Roman;Times New Roman" w:hAnsi="Times New Roman;Times New Roman"/>
          <w:color w:val="000000"/>
          <w:sz w:val="20"/>
          <w:szCs w:val="20"/>
        </w:rPr>
        <w:t xml:space="preserve"> states: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The creditor</w:t>
      </w:r>
      <w:r>
        <w:rPr>
          <w:rFonts w:cs="Times New Roman;Times New Roman" w:ascii="Times New Roman;Times New Roman" w:hAnsi="Times New Roman;Times New Roman"/>
          <w:color w:val="000000"/>
          <w:sz w:val="20"/>
          <w:szCs w:val="20"/>
        </w:rPr>
        <w:t xml:space="preserve"> of any account under an open end consumer credit plan shall transmit to the obligor, for each billing cycle at the end of which there is an outstanding balance in that account or with respect to which a finance charge is imposed, a statement setting forth each of the following items to the extent applicable:</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(1) The outstanding balance in the account at the beginning of the statement period.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(2) The amount and date of each extension of credit during the period, and a brief identification, on or accompanying the statement of each extension of credit in a form prescribed by the Board sufficient to enable the obligor either to identify the transaction or to relate it to copies of sales vouchers or similar instruments previously furnished....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(3) The total amount credited to the account during the period.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(4) The amount of any finance charge added to the account during the period, itemized to show the amounts, if any, due to the application of percentage rates and the amount, if any, imposed as a minimum or fixed charge.</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(5) Where one or more periodic rates may be used to compute the finance charge, each such rate, the range of balances to which it is applicable, and, unless the annual percentage rate (determined under section 1606(a)(2) of this title) is required to be disclosed pursuant to paragraph (6), the corresponding nominal annual percentage rate determined by multiplying the periodic rate by the number of periods in a year.</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(6) Where the total finance charge exceeds 50 cents for a monthly or longer billing cycle, or the pro rata part of 50 cents for a billing cycle shorter than monthly, the total finance charge expressed as an annual percentage rate (determined under section 1606(a)(2) of this title), except that if the finance charge is the sum of two or more products of a rate times a portion of the balance, the creditor may, in lieu of disclosing a single rate for the total charge, disclose each such rate expressed as an annual percentage rate, and the part of the balance to which it is applicable.</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(7) The balance on which the finance charge was computed and a statement of how the balance was determined. If the balance is determined without first deducting all credits during the period, that fact and the amount of such payments shall also be disclosed.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(8) The outstanding balance in the account at the end of the period.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(9) The date by which or the period (if any) within which, payment must be made to avoid additional finance charges, except that the creditor may, at his election and without disclosure, impose no such additional finance charge if payment is received after such date or the termination of such period.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18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*4</w:t>
      </w:r>
      <w:r>
        <w:rPr>
          <w:rFonts w:cs="Times New Roman;Times New Roman" w:ascii="Times New Roman;Times New Roman" w:hAnsi="Times New Roman;Times New Roman"/>
          <w:color w:val="000000"/>
          <w:sz w:val="20"/>
          <w:szCs w:val="20"/>
        </w:rPr>
        <w:t xml:space="preserve"> (10) The address to be used by the creditor for the purpose of receiving billing inquiries from the obligor.</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r:id="rId118">
        <w:r>
          <w:rPr>
            <w:rStyle w:val="Hyperlink"/>
            <w:rFonts w:cs="Times New Roman;Times New Roman" w:ascii="Times New Roman;Times New Roman" w:hAnsi="Times New Roman;Times New Roman"/>
            <w:color w:val="0000FF"/>
            <w:sz w:val="20"/>
            <w:szCs w:val="20"/>
          </w:rPr>
          <w:t>15 U.S.C. § 1367(b)</w:t>
        </w:r>
      </w:hyperlink>
      <w:r>
        <w:rPr>
          <w:rFonts w:cs="Times New Roman;Times New Roman" w:ascii="Times New Roman;Times New Roman" w:hAnsi="Times New Roman;Times New Roman"/>
          <w:color w:val="000000"/>
          <w:sz w:val="20"/>
          <w:szCs w:val="20"/>
        </w:rPr>
        <w:t xml:space="preserve"> (emphasis added).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12002742841">
        <w:r>
          <w:rPr>
            <w:rStyle w:val="Hyperlink"/>
            <w:rFonts w:cs="Times New Roman;Times New Roman" w:ascii="Times New Roman;Times New Roman" w:hAnsi="Times New Roman;Times New Roman"/>
            <w:color w:val="0000FF"/>
            <w:sz w:val="20"/>
            <w:szCs w:val="20"/>
          </w:rPr>
          <w:t>[1]</w:t>
        </w:r>
      </w:hyperlink>
      <w:bookmarkStart w:id="27" w:name="Document1zzB12002742841"/>
      <w:bookmarkEnd w:id="27"/>
      <w:r>
        <w:rPr>
          <w:rFonts w:cs="Times New Roman;Times New Roman" w:ascii="Times New Roman;Times New Roman" w:hAnsi="Times New Roman;Times New Roman"/>
          <w:color w:val="000000"/>
          <w:sz w:val="20"/>
          <w:szCs w:val="20"/>
        </w:rPr>
        <w:t xml:space="preserve"> Defendants claim they are not statutorily obligated to transmit periodic billing cycle statements because they are not within the definition of “creditor” under TILA. The first sentence of </w:t>
      </w:r>
      <w:hyperlink r:id="rId119">
        <w:r>
          <w:rPr>
            <w:rStyle w:val="Hyperlink"/>
            <w:rFonts w:cs="Times New Roman;Times New Roman" w:ascii="Times New Roman;Times New Roman" w:hAnsi="Times New Roman;Times New Roman"/>
            <w:color w:val="0000FF"/>
            <w:sz w:val="20"/>
            <w:szCs w:val="20"/>
          </w:rPr>
          <w:t>§ 1602(f)</w:t>
        </w:r>
      </w:hyperlink>
      <w:r>
        <w:rPr>
          <w:rFonts w:cs="Times New Roman;Times New Roman" w:ascii="Times New Roman;Times New Roman" w:hAnsi="Times New Roman;Times New Roman"/>
          <w:color w:val="000000"/>
          <w:sz w:val="20"/>
          <w:szCs w:val="20"/>
        </w:rPr>
        <w:t xml:space="preserve"> provides a two-part test for determining who is a creditor. This sentence makes it clear that both parts of the test must be met for an individual or entity to be within the first sentence's statutory definition of creditor, and to be a creditor, one must be </w:t>
      </w:r>
      <w:r>
        <w:rPr>
          <w:rFonts w:cs="Times New Roman;Times New Roman" w:ascii="Times New Roman;Times New Roman" w:hAnsi="Times New Roman;Times New Roman"/>
          <w:i/>
          <w:iCs/>
          <w:color w:val="000000"/>
          <w:sz w:val="20"/>
          <w:szCs w:val="20"/>
        </w:rPr>
        <w:t>“the person to whom the debt</w:t>
      </w:r>
      <w:r>
        <w:rPr>
          <w:rFonts w:cs="Times New Roman;Times New Roman" w:ascii="Times New Roman;Times New Roman" w:hAnsi="Times New Roman;Times New Roman"/>
          <w:color w:val="000000"/>
          <w:sz w:val="20"/>
          <w:szCs w:val="20"/>
        </w:rPr>
        <w:t xml:space="preserve"> arising from the consumer credit transaction </w:t>
      </w:r>
      <w:r>
        <w:rPr>
          <w:rFonts w:cs="Times New Roman;Times New Roman" w:ascii="Times New Roman;Times New Roman" w:hAnsi="Times New Roman;Times New Roman"/>
          <w:i/>
          <w:iCs/>
          <w:color w:val="000000"/>
          <w:sz w:val="20"/>
          <w:szCs w:val="20"/>
        </w:rPr>
        <w:t>is initially payable</w:t>
      </w:r>
      <w:r>
        <w:rPr>
          <w:rFonts w:cs="Times New Roman;Times New Roman" w:ascii="Times New Roman;Times New Roman" w:hAnsi="Times New Roman;Times New Roman"/>
          <w:color w:val="000000"/>
          <w:sz w:val="20"/>
          <w:szCs w:val="20"/>
        </w:rPr>
        <w:t xml:space="preserve"> ....” Neither Capital One nor CAMCO is alleged to be the person to whom the debt was initially payable; First Card was. (Compl.¶ 8.) </w:t>
      </w:r>
      <w:hyperlink w:anchor="Document1zzB00222002742841">
        <w:r>
          <w:rPr>
            <w:rStyle w:val="Hyperlink"/>
            <w:rFonts w:cs="Times New Roman;Times New Roman" w:ascii="Times New Roman;Times New Roman" w:hAnsi="Times New Roman;Times New Roman"/>
            <w:color w:val="0000FF"/>
            <w:sz w:val="20"/>
            <w:szCs w:val="20"/>
            <w:vertAlign w:val="superscript"/>
          </w:rPr>
          <w:t>FN2</w:t>
        </w:r>
      </w:hyperlink>
      <w:bookmarkStart w:id="28" w:name="Document1zzF00222002742841"/>
      <w:bookmarkEnd w:id="28"/>
      <w:r>
        <w:rPr>
          <w:rFonts w:cs="Times New Roman;Times New Roman" w:ascii="Times New Roman;Times New Roman" w:hAnsi="Times New Roman;Times New Roman"/>
          <w:color w:val="000000"/>
          <w:sz w:val="20"/>
          <w:szCs w:val="20"/>
        </w:rPr>
        <w:t xml:space="preserve"> Thus, defendants are not creditors under the first sentence of </w:t>
      </w:r>
      <w:hyperlink r:id="rId120">
        <w:r>
          <w:rPr>
            <w:rStyle w:val="Hyperlink"/>
            <w:rFonts w:cs="Times New Roman;Times New Roman" w:ascii="Times New Roman;Times New Roman" w:hAnsi="Times New Roman;Times New Roman"/>
            <w:color w:val="0000FF"/>
            <w:sz w:val="20"/>
            <w:szCs w:val="20"/>
          </w:rPr>
          <w:t>§ 1602(f)</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222002742841">
        <w:r>
          <w:rPr>
            <w:rStyle w:val="Hyperlink"/>
            <w:rFonts w:cs="Times New Roman;Times New Roman" w:ascii="Times New Roman;Times New Roman" w:hAnsi="Times New Roman;Times New Roman"/>
            <w:color w:val="0000FF"/>
            <w:sz w:val="20"/>
            <w:szCs w:val="20"/>
          </w:rPr>
          <w:t>FN2.</w:t>
        </w:r>
      </w:hyperlink>
      <w:bookmarkStart w:id="29" w:name="Document1zzB00222002742841"/>
      <w:bookmarkEnd w:id="29"/>
      <w:r>
        <w:rPr>
          <w:rFonts w:cs="Times New Roman;Times New Roman" w:ascii="Times New Roman;Times New Roman" w:hAnsi="Times New Roman;Times New Roman"/>
          <w:color w:val="000000"/>
          <w:sz w:val="20"/>
          <w:szCs w:val="20"/>
        </w:rPr>
        <w:t xml:space="preserve"> In addition, Robb does not allege that Capital One or CAMCO regularly extend consumer credit to anyone. This court takes judicial notice, however, that Capital One has and continues to regularly extend credit to consumers.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Robb asserts, however, that defendants are creditors under the second and third sentences of </w:t>
      </w:r>
      <w:hyperlink r:id="rId121">
        <w:r>
          <w:rPr>
            <w:rStyle w:val="Hyperlink"/>
            <w:rFonts w:cs="Times New Roman;Times New Roman" w:ascii="Times New Roman;Times New Roman" w:hAnsi="Times New Roman;Times New Roman"/>
            <w:color w:val="0000FF"/>
            <w:sz w:val="20"/>
            <w:szCs w:val="20"/>
          </w:rPr>
          <w:t>§ 1602(f)</w:t>
        </w:r>
      </w:hyperlink>
      <w:r>
        <w:rPr>
          <w:rFonts w:cs="Times New Roman;Times New Roman" w:ascii="Times New Roman;Times New Roman" w:hAnsi="Times New Roman;Times New Roman"/>
          <w:color w:val="000000"/>
          <w:sz w:val="20"/>
          <w:szCs w:val="20"/>
        </w:rPr>
        <w:t xml:space="preserve"> because they are “card issuers.” The relevant portions of the second and third sentences define a creditor, in the case of an open-end credit plan, as a “card issuer.” </w:t>
      </w:r>
      <w:hyperlink w:anchor="Document1zzB00332002742841">
        <w:r>
          <w:rPr>
            <w:rStyle w:val="Hyperlink"/>
            <w:rFonts w:cs="Times New Roman;Times New Roman" w:ascii="Times New Roman;Times New Roman" w:hAnsi="Times New Roman;Times New Roman"/>
            <w:color w:val="0000FF"/>
            <w:sz w:val="20"/>
            <w:szCs w:val="20"/>
            <w:vertAlign w:val="superscript"/>
          </w:rPr>
          <w:t>FN3</w:t>
        </w:r>
      </w:hyperlink>
      <w:bookmarkStart w:id="30" w:name="Document1zzF00332002742841"/>
      <w:bookmarkEnd w:id="30"/>
      <w:r>
        <w:rPr>
          <w:rFonts w:cs="Times New Roman;Times New Roman" w:ascii="Times New Roman;Times New Roman" w:hAnsi="Times New Roman;Times New Roman"/>
          <w:color w:val="000000"/>
          <w:sz w:val="20"/>
          <w:szCs w:val="20"/>
        </w:rPr>
        <w:t xml:space="preserve"> A person can meet the statutory definition of “card issuer” in two alternative ways: (1) as “any person who issues a credit card,” or (2) as a person who is “the agent of such person [ (i.e., the credit card issuer) ] with respect to such card.” </w:t>
      </w:r>
      <w:hyperlink r:id="rId122">
        <w:r>
          <w:rPr>
            <w:rStyle w:val="Hyperlink"/>
            <w:rFonts w:cs="Times New Roman;Times New Roman" w:ascii="Times New Roman;Times New Roman" w:hAnsi="Times New Roman;Times New Roman"/>
            <w:color w:val="0000FF"/>
            <w:sz w:val="20"/>
            <w:szCs w:val="20"/>
          </w:rPr>
          <w:t>15 U.S.C. § 1602(n)</w:t>
        </w:r>
      </w:hyperlink>
      <w:r>
        <w:rPr>
          <w:rFonts w:cs="Times New Roman;Times New Roman" w:ascii="Times New Roman;Times New Roman" w:hAnsi="Times New Roman;Times New Roman"/>
          <w:color w:val="000000"/>
          <w:sz w:val="20"/>
          <w:szCs w:val="20"/>
        </w:rPr>
        <w:t xml:space="preserve">. A “credit card” is defined as “any card, plate, coupon book or other credit device existing for the purpose of obtaining money, property, labor, or services on credit.” </w:t>
      </w:r>
      <w:hyperlink r:id="rId123">
        <w:r>
          <w:rPr>
            <w:rStyle w:val="Hyperlink"/>
            <w:rFonts w:cs="Times New Roman;Times New Roman" w:ascii="Times New Roman;Times New Roman" w:hAnsi="Times New Roman;Times New Roman"/>
            <w:color w:val="0000FF"/>
            <w:sz w:val="20"/>
            <w:szCs w:val="20"/>
          </w:rPr>
          <w:t>15 U.S.C. § 1602(k)</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332002742841">
        <w:r>
          <w:rPr>
            <w:rStyle w:val="Hyperlink"/>
            <w:rFonts w:cs="Times New Roman;Times New Roman" w:ascii="Times New Roman;Times New Roman" w:hAnsi="Times New Roman;Times New Roman"/>
            <w:color w:val="0000FF"/>
            <w:sz w:val="20"/>
            <w:szCs w:val="20"/>
          </w:rPr>
          <w:t>FN3.</w:t>
        </w:r>
      </w:hyperlink>
      <w:bookmarkStart w:id="31" w:name="Document1zzB00332002742841"/>
      <w:bookmarkEnd w:id="31"/>
      <w:r>
        <w:rPr>
          <w:rFonts w:cs="Times New Roman;Times New Roman" w:ascii="Times New Roman;Times New Roman" w:hAnsi="Times New Roman;Times New Roman"/>
          <w:color w:val="000000"/>
          <w:sz w:val="20"/>
          <w:szCs w:val="20"/>
        </w:rPr>
        <w:t xml:space="preserve"> Robb does not allege that defendants are “person[s] who honor [ ] the credit card and offer[ ] a discount which is a finance charge.” </w:t>
      </w:r>
      <w:hyperlink r:id="rId124">
        <w:r>
          <w:rPr>
            <w:rStyle w:val="Hyperlink"/>
            <w:rFonts w:cs="Times New Roman;Times New Roman" w:ascii="Times New Roman;Times New Roman" w:hAnsi="Times New Roman;Times New Roman"/>
            <w:color w:val="0000FF"/>
            <w:sz w:val="20"/>
            <w:szCs w:val="20"/>
          </w:rPr>
          <w:t>15 U.S.C. § 1602(f)</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In this case, Robb does not allege that Capital One or CAMCO initially issued Robb's credit card. Robb, however, claims that Capital One and CAMCO became “card issuers” when the initial First Card credit card debt was sold to them. Robb's argument fails under both statutory definitions of “card issuer” in TILA.</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22002742841">
        <w:r>
          <w:rPr>
            <w:rStyle w:val="Hyperlink"/>
            <w:rFonts w:cs="Times New Roman;Times New Roman" w:ascii="Times New Roman;Times New Roman" w:hAnsi="Times New Roman;Times New Roman"/>
            <w:color w:val="0000FF"/>
            <w:sz w:val="20"/>
            <w:szCs w:val="20"/>
          </w:rPr>
          <w:t>[2]</w:t>
        </w:r>
      </w:hyperlink>
      <w:bookmarkStart w:id="32" w:name="Document1zzB22002742841"/>
      <w:bookmarkEnd w:id="32"/>
      <w:r>
        <w:rPr>
          <w:rFonts w:cs="Times New Roman;Times New Roman" w:ascii="Times New Roman;Times New Roman" w:hAnsi="Times New Roman;Times New Roman"/>
          <w:color w:val="000000"/>
          <w:sz w:val="20"/>
          <w:szCs w:val="20"/>
        </w:rPr>
        <w:t xml:space="preserve"> First, although Capital One issues credit cards to the public, this alone is not sufficient to make Capital One a “card issuer” under TILA as to Robb. It belies logic to believe Congress, in enacting TILA, intended that every time a company that purchases debt or delinquent credit card accounts, on which credit privileges have been terminated by the initial issuer of the card, itself becomes a “card issuer” under TILA and in turn a “creditor” subject to TILA's provisions simply because that company is also a card issuer to other consumers.</w:t>
      </w:r>
      <w:hyperlink w:anchor="Document1zzB00442002742841">
        <w:r>
          <w:rPr>
            <w:rStyle w:val="Hyperlink"/>
            <w:rFonts w:cs="Times New Roman;Times New Roman" w:ascii="Times New Roman;Times New Roman" w:hAnsi="Times New Roman;Times New Roman"/>
            <w:color w:val="0000FF"/>
            <w:sz w:val="20"/>
            <w:szCs w:val="20"/>
            <w:vertAlign w:val="superscript"/>
          </w:rPr>
          <w:t>FN4</w:t>
        </w:r>
      </w:hyperlink>
      <w:bookmarkStart w:id="33" w:name="Document1zzF00442002742841"/>
      <w:bookmarkEnd w:id="33"/>
      <w:r>
        <w:rPr>
          <w:rFonts w:cs="Times New Roman;Times New Roman" w:ascii="Times New Roman;Times New Roman" w:hAnsi="Times New Roman;Times New Roman"/>
          <w:color w:val="000000"/>
          <w:sz w:val="20"/>
          <w:szCs w:val="20"/>
        </w:rPr>
        <w:t xml:space="preserve"> This court cannot find that a financial institution, which issues credit cards to certain persons, becomes a “creditor” when it, in unrelated transactions, purchases accounts receivable, on accounts of other persons to whom it has never issued a credit card, simply because the company is also a card issuer to other consumers. In this case, Robb alleges that the “debt was delinquent” (Compl.¶¶ 11, 12, 16) and makes no allegation that Capital One or CAMCO, independently or on behalf of First Card, ever extended credit to Robb. Further, this court's interpretation of the statutory definition of “card issuer” does not render the second sentence of the “creditor” definition meaningless.</w:t>
      </w:r>
      <w:hyperlink w:anchor="Document1zzB00552002742841">
        <w:r>
          <w:rPr>
            <w:rStyle w:val="Hyperlink"/>
            <w:rFonts w:cs="Times New Roman;Times New Roman" w:ascii="Times New Roman;Times New Roman" w:hAnsi="Times New Roman;Times New Roman"/>
            <w:color w:val="0000FF"/>
            <w:sz w:val="20"/>
            <w:szCs w:val="20"/>
            <w:vertAlign w:val="superscript"/>
          </w:rPr>
          <w:t>FN5</w:t>
        </w:r>
      </w:hyperlink>
      <w:bookmarkStart w:id="34" w:name="Document1zzF00552002742841"/>
      <w:bookmarkEnd w:id="34"/>
      <w:r>
        <w:rPr>
          <w:rFonts w:cs="Times New Roman;Times New Roman" w:ascii="Times New Roman;Times New Roman" w:hAnsi="Times New Roman;Times New Roman"/>
          <w:color w:val="000000"/>
          <w:sz w:val="20"/>
          <w:szCs w:val="20"/>
        </w:rPr>
        <w:t xml:space="preserve"> This court can think of circumstances where one could be a creditor without the debt being initially payable to it. For example, suppose Company A issued a credit card on behalf of and payable to Bank B. Bank B, for efficiency and economic purposes, had contracted with Company A to manage, issue, and oversee the credit accounts. Bank B pays Company A for these services but all accounts receivable are assets of Bank B. Under TILA, because a debt would be initially payable to Bank B, it is a “creditor” under the first sentence, and because Company A is the “card issuer,” it is also a “creditor.” Finally, there is no allegation that Capital One or CAMCO issued a “credit card” to Robb. Robb's “accounts” with defendants were not for the purpose of “obtaining money, property, labor, or services on credit.” There is no allegation that Capital One or CAMCO extended any credit privileges to Robb. Moreover, there is no allegation that Robb was authorized to obtain property, labor, or services on the strength of Capital One's or CAMCO's credit.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442002742841">
        <w:r>
          <w:rPr>
            <w:rStyle w:val="Hyperlink"/>
            <w:rFonts w:cs="Times New Roman;Times New Roman" w:ascii="Times New Roman;Times New Roman" w:hAnsi="Times New Roman;Times New Roman"/>
            <w:color w:val="0000FF"/>
            <w:sz w:val="20"/>
            <w:szCs w:val="20"/>
          </w:rPr>
          <w:t>FN4.</w:t>
        </w:r>
      </w:hyperlink>
      <w:bookmarkStart w:id="35" w:name="Document1zzB00442002742841"/>
      <w:bookmarkEnd w:id="35"/>
      <w:r>
        <w:rPr>
          <w:rFonts w:cs="Times New Roman;Times New Roman" w:ascii="Times New Roman;Times New Roman" w:hAnsi="Times New Roman;Times New Roman"/>
          <w:color w:val="000000"/>
          <w:sz w:val="20"/>
          <w:szCs w:val="20"/>
        </w:rPr>
        <w:t xml:space="preserve"> Robb may be correct that a purchasing entity is a “creditor” when it buys current credit accounts and offers the consumer a line of credit to pay for additional purchases. However, Robb's allegations make clear that what defendants purchased was a “delinquent credit card account” (Compl.¶ 15), i.e., “debt.” (Compl.¶¶ 11, 12, 16).</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552002742841">
        <w:r>
          <w:rPr>
            <w:rStyle w:val="Hyperlink"/>
            <w:rFonts w:cs="Times New Roman;Times New Roman" w:ascii="Times New Roman;Times New Roman" w:hAnsi="Times New Roman;Times New Roman"/>
            <w:color w:val="0000FF"/>
            <w:sz w:val="20"/>
            <w:szCs w:val="20"/>
          </w:rPr>
          <w:t>FN5.</w:t>
        </w:r>
      </w:hyperlink>
      <w:bookmarkStart w:id="36" w:name="Document1zzB00552002742841"/>
      <w:bookmarkEnd w:id="36"/>
      <w:r>
        <w:rPr>
          <w:rFonts w:cs="Times New Roman;Times New Roman" w:ascii="Times New Roman;Times New Roman" w:hAnsi="Times New Roman;Times New Roman"/>
          <w:color w:val="000000"/>
          <w:sz w:val="20"/>
          <w:szCs w:val="20"/>
        </w:rPr>
        <w:t xml:space="preserve"> A court should not construe a statute so that parts become superfluous. </w:t>
      </w:r>
      <w:r>
        <w:rPr>
          <w:rFonts w:cs="Times New Roman;Times New Roman" w:ascii="Times New Roman;Times New Roman" w:hAnsi="Times New Roman;Times New Roman"/>
          <w:i/>
          <w:iCs/>
          <w:color w:val="000000"/>
          <w:sz w:val="20"/>
          <w:szCs w:val="20"/>
        </w:rPr>
        <w:t>See</w:t>
      </w:r>
      <w:r>
        <w:rPr>
          <w:rFonts w:cs="Times New Roman;Times New Roman" w:ascii="Times New Roman;Times New Roman" w:hAnsi="Times New Roman;Times New Roman"/>
          <w:color w:val="000000"/>
          <w:sz w:val="20"/>
          <w:szCs w:val="20"/>
        </w:rPr>
        <w:t xml:space="preserve"> </w:t>
      </w:r>
      <w:hyperlink r:id="rId125">
        <w:r>
          <w:rPr>
            <w:rStyle w:val="Hyperlink"/>
            <w:rFonts w:cs="Times New Roman;Times New Roman" w:ascii="Times New Roman;Times New Roman" w:hAnsi="Times New Roman;Times New Roman"/>
            <w:i/>
            <w:iCs/>
            <w:color w:val="0000FF"/>
            <w:sz w:val="20"/>
            <w:szCs w:val="20"/>
          </w:rPr>
          <w:t>United States v. Ray,</w:t>
        </w:r>
      </w:hyperlink>
      <w:hyperlink r:id="rId126">
        <w:r>
          <w:rPr>
            <w:rStyle w:val="Hyperlink"/>
            <w:rFonts w:cs="Times New Roman;Times New Roman" w:ascii="Times New Roman;Times New Roman" w:hAnsi="Times New Roman;Times New Roman"/>
            <w:color w:val="0000FF"/>
            <w:sz w:val="20"/>
            <w:szCs w:val="20"/>
          </w:rPr>
          <w:t xml:space="preserve"> 238 F.3d 828, 833 (7th Cir.2001)</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*5</w:t>
      </w:r>
      <w:r>
        <w:rPr>
          <w:rFonts w:cs="Times New Roman;Times New Roman" w:ascii="Times New Roman;Times New Roman" w:hAnsi="Times New Roman;Times New Roman"/>
          <w:color w:val="000000"/>
          <w:sz w:val="20"/>
          <w:szCs w:val="20"/>
        </w:rPr>
        <w:t xml:space="preserve"> </w:t>
      </w:r>
      <w:hyperlink w:anchor="Document1zzF32002742841">
        <w:r>
          <w:rPr>
            <w:rStyle w:val="Hyperlink"/>
            <w:rFonts w:cs="Times New Roman;Times New Roman" w:ascii="Times New Roman;Times New Roman" w:hAnsi="Times New Roman;Times New Roman"/>
            <w:color w:val="0000FF"/>
            <w:sz w:val="20"/>
            <w:szCs w:val="20"/>
          </w:rPr>
          <w:t>[3]</w:t>
        </w:r>
      </w:hyperlink>
      <w:bookmarkStart w:id="37" w:name="Document1zzB32002742841"/>
      <w:bookmarkEnd w:id="37"/>
      <w:r>
        <w:rPr>
          <w:rFonts w:cs="Times New Roman;Times New Roman" w:ascii="Times New Roman;Times New Roman" w:hAnsi="Times New Roman;Times New Roman"/>
          <w:color w:val="000000"/>
          <w:sz w:val="20"/>
          <w:szCs w:val="20"/>
        </w:rPr>
        <w:t xml:space="preserve"> Second, Robb cannot maintain a viable claim that either Capital One or CAMCO was First Card's, the card issuer, “agent with respect to the card.” Robb alleges that defendants purchased his delinquent accounts. He does not allege that Capital One, on behalf of First Card, or CAMCO, on behalf of Capital One, were attempting to collect the debt on behalf of their principals. Further, the pertinent commentary in the Code of Federal Regulations states that “a financial institution may become the agent of the card issuer if an agreement between the institution and the card issuer provides that the cardholder may use a line of credit with the financial institution to pay obligations incurred by use of the credit card.” Truth in Lending; Official Staff Commentary, </w:t>
      </w:r>
      <w:hyperlink r:id="rId127">
        <w:r>
          <w:rPr>
            <w:rStyle w:val="Hyperlink"/>
            <w:rFonts w:cs="Times New Roman;Times New Roman" w:ascii="Times New Roman;Times New Roman" w:hAnsi="Times New Roman;Times New Roman"/>
            <w:color w:val="0000FF"/>
            <w:sz w:val="20"/>
            <w:szCs w:val="20"/>
          </w:rPr>
          <w:t>12 C.F.R. pt. 226.2, Supp. I</w:t>
        </w:r>
      </w:hyperlink>
      <w:r>
        <w:rPr>
          <w:rFonts w:cs="Times New Roman;Times New Roman" w:ascii="Times New Roman;Times New Roman" w:hAnsi="Times New Roman;Times New Roman"/>
          <w:color w:val="000000"/>
          <w:sz w:val="20"/>
          <w:szCs w:val="20"/>
        </w:rPr>
        <w:t>, Commentary 2(a)(7), p. 329 (2002).</w:t>
      </w:r>
      <w:hyperlink w:anchor="Document1zzB00662002742841">
        <w:r>
          <w:rPr>
            <w:rStyle w:val="Hyperlink"/>
            <w:rFonts w:cs="Times New Roman;Times New Roman" w:ascii="Times New Roman;Times New Roman" w:hAnsi="Times New Roman;Times New Roman"/>
            <w:color w:val="0000FF"/>
            <w:sz w:val="20"/>
            <w:szCs w:val="20"/>
            <w:vertAlign w:val="superscript"/>
          </w:rPr>
          <w:t>FN6</w:t>
        </w:r>
      </w:hyperlink>
      <w:bookmarkStart w:id="38" w:name="Document1zzF00662002742841"/>
      <w:bookmarkEnd w:id="38"/>
      <w:r>
        <w:rPr>
          <w:rFonts w:cs="Times New Roman;Times New Roman" w:ascii="Times New Roman;Times New Roman" w:hAnsi="Times New Roman;Times New Roman"/>
          <w:color w:val="000000"/>
          <w:sz w:val="20"/>
          <w:szCs w:val="20"/>
        </w:rPr>
        <w:t xml:space="preserve"> Robb's complaint does not allege that Capital One or CAMCO offered Robb “a line of credit with” either financial institution.</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662002742841">
        <w:r>
          <w:rPr>
            <w:rStyle w:val="Hyperlink"/>
            <w:rFonts w:cs="Times New Roman;Times New Roman" w:ascii="Times New Roman;Times New Roman" w:hAnsi="Times New Roman;Times New Roman"/>
            <w:color w:val="0000FF"/>
            <w:sz w:val="20"/>
            <w:szCs w:val="20"/>
          </w:rPr>
          <w:t>FN6.</w:t>
        </w:r>
      </w:hyperlink>
      <w:bookmarkStart w:id="39" w:name="Document1zzB00662002742841"/>
      <w:bookmarkEnd w:id="39"/>
      <w:r>
        <w:rPr>
          <w:rFonts w:cs="Times New Roman;Times New Roman" w:ascii="Times New Roman;Times New Roman" w:hAnsi="Times New Roman;Times New Roman"/>
          <w:color w:val="000000"/>
          <w:sz w:val="20"/>
          <w:szCs w:val="20"/>
        </w:rPr>
        <w:t xml:space="preserve"> The Staff Interpretations construing TILA and its implementing regulations are held to be dispositive unless demonstrably irrational.   </w:t>
      </w:r>
      <w:hyperlink r:id="rId128">
        <w:r>
          <w:rPr>
            <w:rStyle w:val="Hyperlink"/>
            <w:rFonts w:cs="Times New Roman;Times New Roman" w:ascii="Times New Roman;Times New Roman" w:hAnsi="Times New Roman;Times New Roman"/>
            <w:i/>
            <w:iCs/>
            <w:color w:val="0000FF"/>
            <w:sz w:val="20"/>
            <w:szCs w:val="20"/>
          </w:rPr>
          <w:t>Hardison v. General Fin. Corp.,</w:t>
        </w:r>
      </w:hyperlink>
      <w:hyperlink r:id="rId129">
        <w:r>
          <w:rPr>
            <w:rStyle w:val="Hyperlink"/>
            <w:rFonts w:cs="Times New Roman;Times New Roman" w:ascii="Times New Roman;Times New Roman" w:hAnsi="Times New Roman;Times New Roman"/>
            <w:color w:val="0000FF"/>
            <w:sz w:val="20"/>
            <w:szCs w:val="20"/>
          </w:rPr>
          <w:t xml:space="preserve"> 738 F.2d 893, 895 (7th Cir.1984)</w:t>
        </w:r>
      </w:hyperlink>
      <w:r>
        <w:rPr>
          <w:rFonts w:cs="Times New Roman;Times New Roman" w:ascii="Times New Roman;Times New Roman" w:hAnsi="Times New Roman;Times New Roman"/>
          <w:color w:val="000000"/>
          <w:sz w:val="20"/>
          <w:szCs w:val="20"/>
        </w:rPr>
        <w:t xml:space="preserve"> (quoting </w:t>
      </w:r>
      <w:hyperlink r:id="rId130">
        <w:r>
          <w:rPr>
            <w:rStyle w:val="Hyperlink"/>
            <w:rFonts w:cs="Times New Roman;Times New Roman" w:ascii="Times New Roman;Times New Roman" w:hAnsi="Times New Roman;Times New Roman"/>
            <w:i/>
            <w:iCs/>
            <w:color w:val="0000FF"/>
            <w:sz w:val="20"/>
            <w:szCs w:val="20"/>
          </w:rPr>
          <w:t>Ford Motor Credit Co. v. Milhollin,</w:t>
        </w:r>
      </w:hyperlink>
      <w:hyperlink r:id="rId131">
        <w:r>
          <w:rPr>
            <w:rStyle w:val="Hyperlink"/>
            <w:rFonts w:cs="Times New Roman;Times New Roman" w:ascii="Times New Roman;Times New Roman" w:hAnsi="Times New Roman;Times New Roman"/>
            <w:color w:val="0000FF"/>
            <w:sz w:val="20"/>
            <w:szCs w:val="20"/>
          </w:rPr>
          <w:t xml:space="preserve"> 444 U.S. 555, 565, 100 S.Ct. 790, 63 L.Ed.2d 22 (1980)</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42002742841">
        <w:r>
          <w:rPr>
            <w:rStyle w:val="Hyperlink"/>
            <w:rFonts w:cs="Times New Roman;Times New Roman" w:ascii="Times New Roman;Times New Roman" w:hAnsi="Times New Roman;Times New Roman"/>
            <w:color w:val="0000FF"/>
            <w:sz w:val="20"/>
            <w:szCs w:val="20"/>
          </w:rPr>
          <w:t>[4]</w:t>
        </w:r>
      </w:hyperlink>
      <w:hyperlink w:anchor="Document1zzF52002742841">
        <w:bookmarkStart w:id="40" w:name="Document1zzB42002742841"/>
        <w:bookmarkEnd w:id="40"/>
        <w:r>
          <w:rPr>
            <w:rStyle w:val="Hyperlink"/>
            <w:rFonts w:cs="Times New Roman;Times New Roman" w:ascii="Times New Roman;Times New Roman" w:hAnsi="Times New Roman;Times New Roman"/>
            <w:color w:val="0000FF"/>
            <w:sz w:val="20"/>
            <w:szCs w:val="20"/>
          </w:rPr>
          <w:t>[5]</w:t>
        </w:r>
      </w:hyperlink>
      <w:bookmarkStart w:id="41" w:name="Document1zzB52002742841"/>
      <w:bookmarkEnd w:id="41"/>
      <w:r>
        <w:rPr>
          <w:rFonts w:cs="Times New Roman;Times New Roman" w:ascii="Times New Roman;Times New Roman" w:hAnsi="Times New Roman;Times New Roman"/>
          <w:color w:val="000000"/>
          <w:sz w:val="20"/>
          <w:szCs w:val="20"/>
        </w:rPr>
        <w:t xml:space="preserve"> Robb is right that “[t]he nature of a credit card or charge card is that future transactions and dealings are expected.” (Pls.' Resp. at 8.) However, there are no allegations that defendants extended credit to Robb or sought future dealings with him. In fact, a letter from CAMCO that is attached as Appendix A </w:t>
      </w:r>
      <w:hyperlink w:anchor="Document1zzB00772002742841">
        <w:r>
          <w:rPr>
            <w:rStyle w:val="Hyperlink"/>
            <w:rFonts w:cs="Times New Roman;Times New Roman" w:ascii="Times New Roman;Times New Roman" w:hAnsi="Times New Roman;Times New Roman"/>
            <w:color w:val="0000FF"/>
            <w:sz w:val="20"/>
            <w:szCs w:val="20"/>
            <w:vertAlign w:val="superscript"/>
          </w:rPr>
          <w:t>FN7</w:t>
        </w:r>
      </w:hyperlink>
      <w:bookmarkStart w:id="42" w:name="Document1zzF00772002742841"/>
      <w:bookmarkEnd w:id="42"/>
      <w:r>
        <w:rPr>
          <w:rFonts w:cs="Times New Roman;Times New Roman" w:ascii="Times New Roman;Times New Roman" w:hAnsi="Times New Roman;Times New Roman"/>
          <w:color w:val="000000"/>
          <w:sz w:val="20"/>
          <w:szCs w:val="20"/>
        </w:rPr>
        <w:t xml:space="preserve"> evidences that CAMCO was merely trying to collect the debt due on the delinquent accounts, not attempting to cultivate future business. Under either alternative statutory definition of “card issuer,” defendants are not “card issuers” under TILA. As discussed further below, because defendants purchased delinquent accounts, i.e., debt on which defendants charged interest, and extended no credit privileges of their own, defendants are “debt collectors” subject to the FDCPA, not “creditors” subject to TILA.</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772002742841">
        <w:r>
          <w:rPr>
            <w:rStyle w:val="Hyperlink"/>
            <w:rFonts w:cs="Times New Roman;Times New Roman" w:ascii="Times New Roman;Times New Roman" w:hAnsi="Times New Roman;Times New Roman"/>
            <w:color w:val="0000FF"/>
            <w:sz w:val="20"/>
            <w:szCs w:val="20"/>
          </w:rPr>
          <w:t>FN7.</w:t>
        </w:r>
      </w:hyperlink>
      <w:bookmarkStart w:id="43" w:name="Document1zzB00772002742841"/>
      <w:bookmarkEnd w:id="43"/>
      <w:r>
        <w:rPr>
          <w:rFonts w:cs="Times New Roman;Times New Roman" w:ascii="Times New Roman;Times New Roman" w:hAnsi="Times New Roman;Times New Roman"/>
          <w:color w:val="000000"/>
          <w:sz w:val="20"/>
          <w:szCs w:val="20"/>
        </w:rPr>
        <w:t xml:space="preserve"> Because this letter was attached as an exhibit to Robb's complaint, it is deemed to be a part of the pleadings and may be considered in deciding this motion to dismiss. </w:t>
      </w:r>
      <w:hyperlink r:id="rId132">
        <w:r>
          <w:rPr>
            <w:rStyle w:val="Hyperlink"/>
            <w:rFonts w:cs="Times New Roman;Times New Roman" w:ascii="Times New Roman;Times New Roman" w:hAnsi="Times New Roman;Times New Roman"/>
            <w:i/>
            <w:iCs/>
            <w:color w:val="0000FF"/>
            <w:sz w:val="20"/>
            <w:szCs w:val="20"/>
          </w:rPr>
          <w:t>Thompson v. Illinois Dep't of Prof'l Regulation,</w:t>
        </w:r>
      </w:hyperlink>
      <w:hyperlink r:id="rId133">
        <w:r>
          <w:rPr>
            <w:rStyle w:val="Hyperlink"/>
            <w:rFonts w:cs="Times New Roman;Times New Roman" w:ascii="Times New Roman;Times New Roman" w:hAnsi="Times New Roman;Times New Roman"/>
            <w:color w:val="0000FF"/>
            <w:sz w:val="20"/>
            <w:szCs w:val="20"/>
          </w:rPr>
          <w:t xml:space="preserve"> 300 F.3d 750, 753 (7th Cir.2002)</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62002742841">
        <w:r>
          <w:rPr>
            <w:rStyle w:val="Hyperlink"/>
            <w:rFonts w:cs="Times New Roman;Times New Roman" w:ascii="Times New Roman;Times New Roman" w:hAnsi="Times New Roman;Times New Roman"/>
            <w:color w:val="0000FF"/>
            <w:sz w:val="20"/>
            <w:szCs w:val="20"/>
          </w:rPr>
          <w:t>[6]</w:t>
        </w:r>
      </w:hyperlink>
      <w:bookmarkStart w:id="44" w:name="Document1zzB62002742841"/>
      <w:bookmarkEnd w:id="44"/>
      <w:r>
        <w:rPr>
          <w:rFonts w:cs="Times New Roman;Times New Roman" w:ascii="Times New Roman;Times New Roman" w:hAnsi="Times New Roman;Times New Roman"/>
          <w:color w:val="000000"/>
          <w:sz w:val="20"/>
          <w:szCs w:val="20"/>
        </w:rPr>
        <w:t xml:space="preserve"> Finally, Robb argues that defendants are obligees or assignees and thus assumed their predecessor's obligation to send out periodic statements. However, the first sentence of </w:t>
      </w:r>
      <w:hyperlink r:id="rId134">
        <w:r>
          <w:rPr>
            <w:rStyle w:val="Hyperlink"/>
            <w:rFonts w:cs="Times New Roman;Times New Roman" w:ascii="Times New Roman;Times New Roman" w:hAnsi="Times New Roman;Times New Roman"/>
            <w:color w:val="0000FF"/>
            <w:sz w:val="20"/>
            <w:szCs w:val="20"/>
          </w:rPr>
          <w:t>§ 1602(f)</w:t>
        </w:r>
      </w:hyperlink>
      <w:r>
        <w:rPr>
          <w:rFonts w:cs="Times New Roman;Times New Roman" w:ascii="Times New Roman;Times New Roman" w:hAnsi="Times New Roman;Times New Roman"/>
          <w:color w:val="000000"/>
          <w:sz w:val="20"/>
          <w:szCs w:val="20"/>
        </w:rPr>
        <w:t xml:space="preserve"> makes clear that the “only” obligee that qualifies as a TILA “creditor” is “the person to whom the debt ... is initially payable.” Unless one is the “agent” of a “card issuer,” Congress has specifically excluded subsequent obligees from TILA's creditor definition. This court cannot alter Congress's carefully crafted definition of “creditor;” only Congress itself can do that. Thus, Robb's TILA counts, counts I and II, must be dismissed.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II. </w:t>
      </w:r>
      <w:r>
        <w:rPr>
          <w:rFonts w:cs="Times New Roman;Times New Roman" w:ascii="Times New Roman;Times New Roman" w:hAnsi="Times New Roman;Times New Roman"/>
          <w:i/>
          <w:iCs/>
          <w:color w:val="000000"/>
          <w:sz w:val="20"/>
          <w:szCs w:val="20"/>
        </w:rPr>
        <w:t>Fair Debt Collection Practices Act Claim</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highlight w:val="yellow"/>
        </w:rPr>
        <w:t xml:space="preserve">Robb alleges that defendants violated </w:t>
      </w:r>
      <w:hyperlink r:id="rId135">
        <w:r>
          <w:rPr>
            <w:rStyle w:val="Hyperlink"/>
            <w:rFonts w:cs="Times New Roman;Times New Roman" w:ascii="Times New Roman;Times New Roman" w:hAnsi="Times New Roman;Times New Roman"/>
            <w:color w:val="0000FF"/>
            <w:sz w:val="20"/>
            <w:szCs w:val="20"/>
            <w:highlight w:val="yellow"/>
          </w:rPr>
          <w:t>15 U.S.C. §§ 1692e</w:t>
        </w:r>
      </w:hyperlink>
      <w:r>
        <w:rPr>
          <w:rFonts w:cs="Times New Roman;Times New Roman" w:ascii="Times New Roman;Times New Roman" w:hAnsi="Times New Roman;Times New Roman"/>
          <w:color w:val="000000"/>
          <w:sz w:val="20"/>
          <w:szCs w:val="20"/>
          <w:highlight w:val="yellow"/>
        </w:rPr>
        <w:t xml:space="preserve"> and </w:t>
      </w:r>
      <w:hyperlink r:id="rId136">
        <w:r>
          <w:rPr>
            <w:rStyle w:val="Hyperlink"/>
            <w:rFonts w:cs="Times New Roman;Times New Roman" w:ascii="Times New Roman;Times New Roman" w:hAnsi="Times New Roman;Times New Roman"/>
            <w:color w:val="0000FF"/>
            <w:sz w:val="20"/>
            <w:szCs w:val="20"/>
            <w:highlight w:val="yellow"/>
          </w:rPr>
          <w:t>1692f</w:t>
        </w:r>
      </w:hyperlink>
      <w:r>
        <w:rPr>
          <w:rFonts w:cs="Times New Roman;Times New Roman" w:ascii="Times New Roman;Times New Roman" w:hAnsi="Times New Roman;Times New Roman"/>
          <w:color w:val="000000"/>
          <w:sz w:val="20"/>
          <w:szCs w:val="20"/>
          <w:highlight w:val="yellow"/>
        </w:rPr>
        <w:t xml:space="preserve"> by collecting and attempting to collect interest when no periodic statements had been furnished. As discussed in detail above, Robb cannot state a claim under TILA. Because his FDCPA claim is entirely predicated on a nonexistent TILA violation,</w:t>
      </w:r>
      <w:hyperlink w:anchor="Document1zzB00882002742841">
        <w:r>
          <w:rPr>
            <w:rStyle w:val="Hyperlink"/>
            <w:rFonts w:cs="Times New Roman;Times New Roman" w:ascii="Times New Roman;Times New Roman" w:hAnsi="Times New Roman;Times New Roman"/>
            <w:color w:val="0000FF"/>
            <w:sz w:val="20"/>
            <w:szCs w:val="20"/>
            <w:highlight w:val="yellow"/>
            <w:vertAlign w:val="superscript"/>
          </w:rPr>
          <w:t>FN8</w:t>
        </w:r>
      </w:hyperlink>
      <w:bookmarkStart w:id="45" w:name="Document1zzF00882002742841"/>
      <w:bookmarkEnd w:id="45"/>
      <w:r>
        <w:rPr>
          <w:rFonts w:cs="Times New Roman;Times New Roman" w:ascii="Times New Roman;Times New Roman" w:hAnsi="Times New Roman;Times New Roman"/>
          <w:color w:val="000000"/>
          <w:sz w:val="20"/>
          <w:szCs w:val="20"/>
          <w:highlight w:val="yellow"/>
        </w:rPr>
        <w:t xml:space="preserve"> Robb's FDCPA claim must be dismissed.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882002742841">
        <w:r>
          <w:rPr>
            <w:rStyle w:val="Hyperlink"/>
            <w:rFonts w:cs="Times New Roman;Times New Roman" w:ascii="Times New Roman;Times New Roman" w:hAnsi="Times New Roman;Times New Roman"/>
            <w:color w:val="0000FF"/>
            <w:sz w:val="20"/>
            <w:szCs w:val="20"/>
          </w:rPr>
          <w:t>FN8.</w:t>
        </w:r>
      </w:hyperlink>
      <w:bookmarkStart w:id="46" w:name="Document1zzB00882002742841"/>
      <w:bookmarkEnd w:id="46"/>
      <w:r>
        <w:rPr>
          <w:rFonts w:cs="Times New Roman;Times New Roman" w:ascii="Times New Roman;Times New Roman" w:hAnsi="Times New Roman;Times New Roman"/>
          <w:color w:val="000000"/>
          <w:sz w:val="20"/>
          <w:szCs w:val="20"/>
        </w:rPr>
        <w:t xml:space="preserve"> Robb states that attempting “to collect interest on a credit card account on which periodic statements have not been furnished” (Compl.¶ 26) is deceptive because “the creditor or debt collector is failing to furnish material information </w:t>
      </w:r>
      <w:r>
        <w:rPr>
          <w:rFonts w:cs="Times New Roman;Times New Roman" w:ascii="Times New Roman;Times New Roman" w:hAnsi="Times New Roman;Times New Roman"/>
          <w:i/>
          <w:iCs/>
          <w:color w:val="000000"/>
          <w:sz w:val="20"/>
          <w:szCs w:val="20"/>
        </w:rPr>
        <w:t>required to be furnished by law”</w:t>
      </w:r>
      <w:r>
        <w:rPr>
          <w:rFonts w:cs="Times New Roman;Times New Roman" w:ascii="Times New Roman;Times New Roman" w:hAnsi="Times New Roman;Times New Roman"/>
          <w:color w:val="000000"/>
          <w:sz w:val="20"/>
          <w:szCs w:val="20"/>
        </w:rPr>
        <w:t xml:space="preserve"> (Compl.¶ 27) (emphasis added), and such practice is unfair because “the failure to furnish periodic statements is contrary to public policy, </w:t>
      </w:r>
      <w:r>
        <w:rPr>
          <w:rFonts w:cs="Times New Roman;Times New Roman" w:ascii="Times New Roman;Times New Roman" w:hAnsi="Times New Roman;Times New Roman"/>
          <w:i/>
          <w:iCs/>
          <w:color w:val="000000"/>
          <w:sz w:val="20"/>
          <w:szCs w:val="20"/>
        </w:rPr>
        <w:t>as established by TILA</w:t>
      </w:r>
      <w:r>
        <w:rPr>
          <w:rFonts w:cs="Times New Roman;Times New Roman" w:ascii="Times New Roman;Times New Roman" w:hAnsi="Times New Roman;Times New Roman"/>
          <w:color w:val="000000"/>
          <w:sz w:val="20"/>
          <w:szCs w:val="20"/>
        </w:rPr>
        <w:t xml:space="preserve"> ....” (Compl.¶ 28) (emphasis added).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72002742841">
        <w:r>
          <w:rPr>
            <w:rStyle w:val="Hyperlink"/>
            <w:rFonts w:cs="Times New Roman;Times New Roman" w:ascii="Times New Roman;Times New Roman" w:hAnsi="Times New Roman;Times New Roman"/>
            <w:color w:val="0000FF"/>
            <w:sz w:val="20"/>
            <w:szCs w:val="20"/>
          </w:rPr>
          <w:t>[7]</w:t>
        </w:r>
      </w:hyperlink>
      <w:bookmarkStart w:id="47" w:name="Document1zzB72002742841"/>
      <w:bookmarkEnd w:id="47"/>
      <w:r>
        <w:rPr>
          <w:rFonts w:cs="Times New Roman;Times New Roman" w:ascii="Times New Roman;Times New Roman" w:hAnsi="Times New Roman;Times New Roman"/>
          <w:color w:val="000000"/>
          <w:sz w:val="20"/>
          <w:szCs w:val="20"/>
        </w:rPr>
        <w:t xml:space="preserve"> </w:t>
      </w:r>
      <w:r>
        <w:rPr>
          <w:rFonts w:cs="Times New Roman;Times New Roman" w:ascii="Times New Roman;Times New Roman" w:hAnsi="Times New Roman;Times New Roman"/>
          <w:color w:val="000000"/>
          <w:sz w:val="20"/>
          <w:szCs w:val="20"/>
          <w:highlight w:val="yellow"/>
        </w:rPr>
        <w:t xml:space="preserve">Although Robb's FDCPA claim is based on a nonexistent TILA violation, this court notes that </w:t>
      </w:r>
      <w:hyperlink r:id="rId137">
        <w:r>
          <w:rPr>
            <w:rStyle w:val="Hyperlink"/>
            <w:rFonts w:cs="Times New Roman;Times New Roman" w:ascii="Times New Roman;Times New Roman" w:hAnsi="Times New Roman;Times New Roman"/>
            <w:color w:val="0000FF"/>
            <w:sz w:val="20"/>
            <w:szCs w:val="20"/>
            <w:highlight w:val="yellow"/>
          </w:rPr>
          <w:t>§ 1692e</w:t>
        </w:r>
      </w:hyperlink>
      <w:r>
        <w:rPr>
          <w:rFonts w:cs="Times New Roman;Times New Roman" w:ascii="Times New Roman;Times New Roman" w:hAnsi="Times New Roman;Times New Roman"/>
          <w:color w:val="000000"/>
          <w:sz w:val="20"/>
          <w:szCs w:val="20"/>
          <w:highlight w:val="yellow"/>
        </w:rPr>
        <w:t xml:space="preserve"> (“A debt collector may not use any false, deceptive, or misleading representation or means in connection with the collection of any debt.”) and </w:t>
      </w:r>
      <w:hyperlink r:id="rId138">
        <w:r>
          <w:rPr>
            <w:rStyle w:val="Hyperlink"/>
            <w:rFonts w:cs="Times New Roman;Times New Roman" w:ascii="Times New Roman;Times New Roman" w:hAnsi="Times New Roman;Times New Roman"/>
            <w:color w:val="0000FF"/>
            <w:sz w:val="20"/>
            <w:szCs w:val="20"/>
            <w:highlight w:val="yellow"/>
          </w:rPr>
          <w:t>§ 1692f</w:t>
        </w:r>
      </w:hyperlink>
      <w:r>
        <w:rPr>
          <w:rFonts w:cs="Times New Roman;Times New Roman" w:ascii="Times New Roman;Times New Roman" w:hAnsi="Times New Roman;Times New Roman"/>
          <w:color w:val="000000"/>
          <w:sz w:val="20"/>
          <w:szCs w:val="20"/>
          <w:highlight w:val="yellow"/>
        </w:rPr>
        <w:t xml:space="preserve"> (“A debt collector may not use unfair or unconscionable means to collect or attempt to collect any debt.”) are not dependent on the existence of any TILA violations. In other words, the use of any false, deceptive, or misleading representation or any unfair or unconscionable means of collection constitute violations of the FDCPA. As quoted above, </w:t>
      </w:r>
      <w:hyperlink r:id="rId139">
        <w:r>
          <w:rPr>
            <w:rStyle w:val="Hyperlink"/>
            <w:rFonts w:cs="Times New Roman;Times New Roman" w:ascii="Times New Roman;Times New Roman" w:hAnsi="Times New Roman;Times New Roman"/>
            <w:color w:val="0000FF"/>
            <w:sz w:val="20"/>
            <w:szCs w:val="20"/>
            <w:highlight w:val="yellow"/>
          </w:rPr>
          <w:t>sections 1692e</w:t>
        </w:r>
      </w:hyperlink>
      <w:r>
        <w:rPr>
          <w:rFonts w:cs="Times New Roman;Times New Roman" w:ascii="Times New Roman;Times New Roman" w:hAnsi="Times New Roman;Times New Roman"/>
          <w:color w:val="000000"/>
          <w:sz w:val="20"/>
          <w:szCs w:val="20"/>
          <w:highlight w:val="yellow"/>
        </w:rPr>
        <w:t xml:space="preserve"> and </w:t>
      </w:r>
      <w:hyperlink r:id="rId140">
        <w:r>
          <w:rPr>
            <w:rStyle w:val="Hyperlink"/>
            <w:rFonts w:cs="Times New Roman;Times New Roman" w:ascii="Times New Roman;Times New Roman" w:hAnsi="Times New Roman;Times New Roman"/>
            <w:color w:val="0000FF"/>
            <w:sz w:val="20"/>
            <w:szCs w:val="20"/>
            <w:highlight w:val="yellow"/>
          </w:rPr>
          <w:t>1692f</w:t>
        </w:r>
      </w:hyperlink>
      <w:r>
        <w:rPr>
          <w:rFonts w:cs="Times New Roman;Times New Roman" w:ascii="Times New Roman;Times New Roman" w:hAnsi="Times New Roman;Times New Roman"/>
          <w:color w:val="000000"/>
          <w:sz w:val="20"/>
          <w:szCs w:val="20"/>
          <w:highlight w:val="yellow"/>
        </w:rPr>
        <w:t xml:space="preserve"> state that a debt collector </w:t>
      </w:r>
      <w:hyperlink w:anchor="Document1zzB00992002742841">
        <w:r>
          <w:rPr>
            <w:rStyle w:val="Hyperlink"/>
            <w:rFonts w:cs="Times New Roman;Times New Roman" w:ascii="Times New Roman;Times New Roman" w:hAnsi="Times New Roman;Times New Roman"/>
            <w:color w:val="0000FF"/>
            <w:sz w:val="20"/>
            <w:szCs w:val="20"/>
            <w:highlight w:val="yellow"/>
            <w:vertAlign w:val="superscript"/>
          </w:rPr>
          <w:t>FN9</w:t>
        </w:r>
      </w:hyperlink>
      <w:bookmarkStart w:id="48" w:name="Document1zzF00992002742841"/>
      <w:bookmarkEnd w:id="48"/>
      <w:r>
        <w:rPr>
          <w:rFonts w:cs="Times New Roman;Times New Roman" w:ascii="Times New Roman;Times New Roman" w:hAnsi="Times New Roman;Times New Roman"/>
          <w:color w:val="000000"/>
          <w:sz w:val="20"/>
          <w:szCs w:val="20"/>
          <w:highlight w:val="yellow"/>
        </w:rPr>
        <w:t xml:space="preserve"> “may not use” various means to collect a debt. However, the FDCPA does not place an affirmative obligation on a debt collector to, for example, send monthly statements. Because there is no affirmative obligation under the FDCPA to send monthly statements, and Robb does not allege deceptive or unfair practices independent of defendants' alleged TILA obligations, counts III and IV fail to state a claim upon which relief</w:t>
      </w:r>
      <w:r>
        <w:rPr>
          <w:rFonts w:cs="Times New Roman;Times New Roman" w:ascii="Times New Roman;Times New Roman" w:hAnsi="Times New Roman;Times New Roman"/>
          <w:color w:val="000000"/>
          <w:sz w:val="20"/>
          <w:szCs w:val="20"/>
        </w:rPr>
        <w:t xml:space="preserve"> can be granted and therefore are dismissed.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0992002742841">
        <w:r>
          <w:rPr>
            <w:rStyle w:val="Hyperlink"/>
            <w:rFonts w:cs="Times New Roman;Times New Roman" w:ascii="Times New Roman;Times New Roman" w:hAnsi="Times New Roman;Times New Roman"/>
            <w:color w:val="0000FF"/>
            <w:sz w:val="20"/>
            <w:szCs w:val="20"/>
          </w:rPr>
          <w:t>FN9.</w:t>
        </w:r>
      </w:hyperlink>
      <w:bookmarkStart w:id="49" w:name="Document1zzB00992002742841"/>
      <w:bookmarkEnd w:id="49"/>
      <w:r>
        <w:rPr>
          <w:rFonts w:cs="Times New Roman;Times New Roman" w:ascii="Times New Roman;Times New Roman" w:hAnsi="Times New Roman;Times New Roman"/>
          <w:color w:val="000000"/>
          <w:sz w:val="20"/>
          <w:szCs w:val="20"/>
        </w:rPr>
        <w:t xml:space="preserve"> Robb alleges that because his debt was delinquent, defendants were “debt collectors.” (Compl.¶¶ 12, 16.) Section 1692a defines “debt collector,” in relevant part, as “any person who uses any instrumentality of interstate commerce or the mails in any business the principal purpose of which is the collection of any debts....” </w:t>
      </w:r>
      <w:hyperlink r:id="rId141">
        <w:r>
          <w:rPr>
            <w:rStyle w:val="Hyperlink"/>
            <w:rFonts w:cs="Times New Roman;Times New Roman" w:ascii="Times New Roman;Times New Roman" w:hAnsi="Times New Roman;Times New Roman"/>
            <w:color w:val="0000FF"/>
            <w:sz w:val="20"/>
            <w:szCs w:val="20"/>
          </w:rPr>
          <w:t>15 U.S.C. § 1692a(6)</w:t>
        </w:r>
      </w:hyperlink>
      <w:r>
        <w:rPr>
          <w:rFonts w:cs="Times New Roman;Times New Roman" w:ascii="Times New Roman;Times New Roman" w:hAnsi="Times New Roman;Times New Roman"/>
          <w:color w:val="000000"/>
          <w:sz w:val="20"/>
          <w:szCs w:val="20"/>
        </w:rPr>
        <w:t>. Pursuant to this definition and Robb's allegations, both Capital One and CAMCO are “debt collectors” under the Act.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 xml:space="preserve">III. </w:t>
      </w:r>
      <w:r>
        <w:rPr>
          <w:rFonts w:cs="Times New Roman;Times New Roman" w:ascii="Times New Roman;Times New Roman" w:hAnsi="Times New Roman;Times New Roman"/>
          <w:i/>
          <w:iCs/>
          <w:color w:val="000000"/>
          <w:sz w:val="20"/>
          <w:szCs w:val="20"/>
        </w:rPr>
        <w:t>Illinois Consumer Fraud Act Claim</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b/>
          <w:bCs/>
          <w:color w:val="000000"/>
          <w:sz w:val="20"/>
          <w:szCs w:val="20"/>
        </w:rPr>
        <w:t>*6</w:t>
      </w:r>
      <w:r>
        <w:rPr>
          <w:rFonts w:cs="Times New Roman;Times New Roman" w:ascii="Times New Roman;Times New Roman" w:hAnsi="Times New Roman;Times New Roman"/>
          <w:color w:val="000000"/>
          <w:sz w:val="20"/>
          <w:szCs w:val="20"/>
        </w:rPr>
        <w:t xml:space="preserve"> Because this court has dismissed Robb's TILA and FDCPA claims, the federal claims over which this court has original jurisdiction, this court, in its discretion, declines to exercise supplemental jurisdiction over Robb's state law claim in count V. </w:t>
      </w:r>
      <w:r>
        <w:rPr>
          <w:rFonts w:cs="Times New Roman;Times New Roman" w:ascii="Times New Roman;Times New Roman" w:hAnsi="Times New Roman;Times New Roman"/>
          <w:i/>
          <w:iCs/>
          <w:color w:val="000000"/>
          <w:sz w:val="20"/>
          <w:szCs w:val="20"/>
        </w:rPr>
        <w:t>See</w:t>
      </w:r>
      <w:r>
        <w:rPr>
          <w:rFonts w:cs="Times New Roman;Times New Roman" w:ascii="Times New Roman;Times New Roman" w:hAnsi="Times New Roman;Times New Roman"/>
          <w:color w:val="000000"/>
          <w:sz w:val="20"/>
          <w:szCs w:val="20"/>
        </w:rPr>
        <w:t xml:space="preserve"> </w:t>
      </w:r>
      <w:hyperlink r:id="rId142">
        <w:r>
          <w:rPr>
            <w:rStyle w:val="Hyperlink"/>
            <w:rFonts w:cs="Times New Roman;Times New Roman" w:ascii="Times New Roman;Times New Roman" w:hAnsi="Times New Roman;Times New Roman"/>
            <w:color w:val="0000FF"/>
            <w:sz w:val="20"/>
            <w:szCs w:val="20"/>
          </w:rPr>
          <w:t>28 U.S.C. § 1367(c)(3)</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hyperlink w:anchor="Document1zzF82002742841">
        <w:r>
          <w:rPr>
            <w:rStyle w:val="Hyperlink"/>
            <w:rFonts w:cs="Times New Roman;Times New Roman" w:ascii="Times New Roman;Times New Roman" w:hAnsi="Times New Roman;Times New Roman"/>
            <w:color w:val="0000FF"/>
            <w:sz w:val="20"/>
            <w:szCs w:val="20"/>
          </w:rPr>
          <w:t>[8]</w:t>
        </w:r>
      </w:hyperlink>
      <w:bookmarkStart w:id="50" w:name="Document1zzB82002742841"/>
      <w:bookmarkEnd w:id="50"/>
      <w:r>
        <w:rPr>
          <w:rFonts w:cs="Times New Roman;Times New Roman" w:ascii="Times New Roman;Times New Roman" w:hAnsi="Times New Roman;Times New Roman"/>
          <w:color w:val="000000"/>
          <w:sz w:val="20"/>
          <w:szCs w:val="20"/>
        </w:rPr>
        <w:t xml:space="preserve"> Moreover, this court finds that Robb's ICFA count fails to state a claim.</w:t>
      </w:r>
      <w:hyperlink w:anchor="Document1zzB010102002742841">
        <w:r>
          <w:rPr>
            <w:rStyle w:val="Hyperlink"/>
            <w:rFonts w:cs="Times New Roman;Times New Roman" w:ascii="Times New Roman;Times New Roman" w:hAnsi="Times New Roman;Times New Roman"/>
            <w:color w:val="0000FF"/>
            <w:sz w:val="20"/>
            <w:szCs w:val="20"/>
            <w:vertAlign w:val="superscript"/>
          </w:rPr>
          <w:t>FN10</w:t>
        </w:r>
      </w:hyperlink>
      <w:bookmarkStart w:id="51" w:name="Document1zzF010102002742841"/>
      <w:bookmarkEnd w:id="51"/>
      <w:r>
        <w:rPr>
          <w:rFonts w:cs="Times New Roman;Times New Roman" w:ascii="Times New Roman;Times New Roman" w:hAnsi="Times New Roman;Times New Roman"/>
          <w:color w:val="000000"/>
          <w:sz w:val="20"/>
          <w:szCs w:val="20"/>
        </w:rPr>
        <w:t xml:space="preserve"> In order to state a claim under ICFA, a plaintiff must allege that (1) a defendant engaged in a deceptive act or practice (2) with the intent that the plaintiff rely on the deception (3) in the course of trade or commerce, and (4) the deception was the proximate cause of the claimant's alleged injury. </w:t>
      </w:r>
      <w:r>
        <w:rPr>
          <w:rFonts w:cs="Times New Roman;Times New Roman" w:ascii="Times New Roman;Times New Roman" w:hAnsi="Times New Roman;Times New Roman"/>
          <w:i/>
          <w:iCs/>
          <w:color w:val="000000"/>
          <w:sz w:val="20"/>
          <w:szCs w:val="20"/>
        </w:rPr>
        <w:t>See</w:t>
      </w:r>
      <w:r>
        <w:rPr>
          <w:rFonts w:cs="Times New Roman;Times New Roman" w:ascii="Times New Roman;Times New Roman" w:hAnsi="Times New Roman;Times New Roman"/>
          <w:color w:val="000000"/>
          <w:sz w:val="20"/>
          <w:szCs w:val="20"/>
        </w:rPr>
        <w:t xml:space="preserve"> </w:t>
      </w:r>
      <w:hyperlink r:id="rId143">
        <w:r>
          <w:rPr>
            <w:rStyle w:val="Hyperlink"/>
            <w:rFonts w:cs="Times New Roman;Times New Roman" w:ascii="Times New Roman;Times New Roman" w:hAnsi="Times New Roman;Times New Roman"/>
            <w:i/>
            <w:iCs/>
            <w:color w:val="0000FF"/>
            <w:sz w:val="20"/>
            <w:szCs w:val="20"/>
          </w:rPr>
          <w:t>Connick v. Suzuki Motor Co.,</w:t>
        </w:r>
      </w:hyperlink>
      <w:hyperlink r:id="rId144">
        <w:r>
          <w:rPr>
            <w:rStyle w:val="Hyperlink"/>
            <w:rFonts w:cs="Times New Roman;Times New Roman" w:ascii="Times New Roman;Times New Roman" w:hAnsi="Times New Roman;Times New Roman"/>
            <w:color w:val="0000FF"/>
            <w:sz w:val="20"/>
            <w:szCs w:val="20"/>
          </w:rPr>
          <w:t xml:space="preserve"> 174 Ill.2d 482, 501, 221 Ill.Dec. 389, 675 N.E.2d 584, 593 (Ill.1997)</w:t>
        </w:r>
      </w:hyperlink>
      <w:r>
        <w:rPr>
          <w:rFonts w:cs="Times New Roman;Times New Roman" w:ascii="Times New Roman;Times New Roman" w:hAnsi="Times New Roman;Times New Roman"/>
          <w:color w:val="000000"/>
          <w:sz w:val="20"/>
          <w:szCs w:val="20"/>
        </w:rPr>
        <w:t xml:space="preserve">. In addition, “a complaint alleging a violation of consumer fraud must be pled with the same particularity and specificity as that required under common law fraud.” </w:t>
      </w:r>
      <w:r>
        <w:rPr>
          <w:rFonts w:cs="Times New Roman;Times New Roman" w:ascii="Times New Roman;Times New Roman" w:hAnsi="Times New Roman;Times New Roman"/>
          <w:i/>
          <w:iCs/>
          <w:color w:val="000000"/>
          <w:sz w:val="20"/>
          <w:szCs w:val="20"/>
        </w:rPr>
        <w:t>Id.</w:t>
      </w:r>
      <w:r>
        <w:rPr>
          <w:rFonts w:cs="Times New Roman;Times New Roman" w:ascii="Times New Roman;Times New Roman" w:hAnsi="Times New Roman;Times New Roman"/>
          <w:color w:val="000000"/>
          <w:sz w:val="20"/>
          <w:szCs w:val="20"/>
        </w:rPr>
        <w:t xml:space="preserve"> As discussed above, Robb does not allege an independent unfair or deceptive act or practice by CAMCO.</w:t>
      </w:r>
      <w:hyperlink w:anchor="Document1zzB011112002742841">
        <w:r>
          <w:rPr>
            <w:rStyle w:val="Hyperlink"/>
            <w:rFonts w:cs="Times New Roman;Times New Roman" w:ascii="Times New Roman;Times New Roman" w:hAnsi="Times New Roman;Times New Roman"/>
            <w:color w:val="0000FF"/>
            <w:sz w:val="20"/>
            <w:szCs w:val="20"/>
            <w:vertAlign w:val="superscript"/>
          </w:rPr>
          <w:t>FN11</w:t>
        </w:r>
      </w:hyperlink>
      <w:bookmarkStart w:id="52" w:name="Document1zzF011112002742841"/>
      <w:bookmarkEnd w:id="52"/>
      <w:r>
        <w:rPr>
          <w:rFonts w:cs="Times New Roman;Times New Roman" w:ascii="Times New Roman;Times New Roman" w:hAnsi="Times New Roman;Times New Roman"/>
          <w:color w:val="000000"/>
          <w:sz w:val="20"/>
          <w:szCs w:val="20"/>
        </w:rPr>
        <w:t xml:space="preserve"> Robb does not allege that CAMCO made any untrue or misleading statement to him with the intent that he take some action as a result. As a result, count V is dismissed.</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10102002742841">
        <w:r>
          <w:rPr>
            <w:rStyle w:val="Hyperlink"/>
            <w:rFonts w:cs="Times New Roman;Times New Roman" w:ascii="Times New Roman;Times New Roman" w:hAnsi="Times New Roman;Times New Roman"/>
            <w:color w:val="0000FF"/>
            <w:sz w:val="20"/>
            <w:szCs w:val="20"/>
          </w:rPr>
          <w:t>FN10.</w:t>
        </w:r>
      </w:hyperlink>
      <w:bookmarkStart w:id="53" w:name="Document1zzB010102002742841"/>
      <w:bookmarkEnd w:id="53"/>
      <w:r>
        <w:rPr>
          <w:rFonts w:cs="Times New Roman;Times New Roman" w:ascii="Times New Roman;Times New Roman" w:hAnsi="Times New Roman;Times New Roman"/>
          <w:color w:val="000000"/>
          <w:sz w:val="20"/>
          <w:szCs w:val="20"/>
        </w:rPr>
        <w:t xml:space="preserve"> </w:t>
      </w:r>
      <w:hyperlink r:id="rId145">
        <w:r>
          <w:rPr>
            <w:rStyle w:val="Hyperlink"/>
            <w:rFonts w:cs="Times New Roman;Times New Roman" w:ascii="Times New Roman;Times New Roman" w:hAnsi="Times New Roman;Times New Roman"/>
            <w:color w:val="0000FF"/>
            <w:sz w:val="20"/>
            <w:szCs w:val="20"/>
          </w:rPr>
          <w:t>Section 505/2</w:t>
        </w:r>
      </w:hyperlink>
      <w:r>
        <w:rPr>
          <w:rFonts w:cs="Times New Roman;Times New Roman" w:ascii="Times New Roman;Times New Roman" w:hAnsi="Times New Roman;Times New Roman"/>
          <w:color w:val="000000"/>
          <w:sz w:val="20"/>
          <w:szCs w:val="20"/>
        </w:rPr>
        <w:t xml:space="preserve"> states:</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90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Unfair methods of competition and unfair or deceptive acts or practices, including but not limited to the use or employment of any deception, fraud, false pretense, false promise, misrepresentation or the concealment, suppression or omission of any material fact, with intent that others rely upon the concealment, suppression or omission of such material fact, or the use or employment of any practice described in Section 2 of the “Uniform Deceptive Trade Practices Act”, approved August 5, 1965, in the conduct of any trade or commerce are hereby declared unlawful whether any person has in fact been misled, deceived or damaged thereby....</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900" w:end="0"/>
        <w:jc w:val="both"/>
        <w:rPr>
          <w:rFonts w:ascii="Times New Roman;Times New Roman" w:hAnsi="Times New Roman;Times New Roman" w:cs="Times New Roman;Times New Roman"/>
          <w:color w:val="000000"/>
          <w:sz w:val="24"/>
          <w:szCs w:val="24"/>
        </w:rPr>
      </w:pPr>
      <w:hyperlink r:id="rId146">
        <w:r>
          <w:rPr>
            <w:rStyle w:val="Hyperlink"/>
            <w:rFonts w:cs="Times New Roman;Times New Roman" w:ascii="Times New Roman;Times New Roman" w:hAnsi="Times New Roman;Times New Roman"/>
            <w:color w:val="0000FF"/>
            <w:sz w:val="20"/>
            <w:szCs w:val="20"/>
          </w:rPr>
          <w:t>815 ILCS § 505/2 (2002)</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ind w:start="720" w:end="0"/>
        <w:jc w:val="both"/>
        <w:rPr>
          <w:rFonts w:ascii="Times New Roman;Times New Roman" w:hAnsi="Times New Roman;Times New Roman" w:cs="Times New Roman;Times New Roman"/>
          <w:color w:val="000000"/>
          <w:sz w:val="24"/>
          <w:szCs w:val="24"/>
        </w:rPr>
      </w:pPr>
      <w:hyperlink w:anchor="Document1zzF011112002742841">
        <w:r>
          <w:rPr>
            <w:rStyle w:val="Hyperlink"/>
            <w:rFonts w:cs="Times New Roman;Times New Roman" w:ascii="Times New Roman;Times New Roman" w:hAnsi="Times New Roman;Times New Roman"/>
            <w:color w:val="0000FF"/>
            <w:sz w:val="20"/>
            <w:szCs w:val="20"/>
          </w:rPr>
          <w:t>FN11.</w:t>
        </w:r>
      </w:hyperlink>
      <w:bookmarkStart w:id="54" w:name="Document1zzB011112002742841"/>
      <w:bookmarkEnd w:id="54"/>
      <w:r>
        <w:rPr>
          <w:rFonts w:cs="Times New Roman;Times New Roman" w:ascii="Times New Roman;Times New Roman" w:hAnsi="Times New Roman;Times New Roman"/>
          <w:color w:val="000000"/>
          <w:sz w:val="20"/>
          <w:szCs w:val="20"/>
        </w:rPr>
        <w:t xml:space="preserve"> The Illinois Supreme Court has held that compliance with TILA precludes liability under ICFA. </w:t>
      </w:r>
      <w:hyperlink r:id="rId147">
        <w:r>
          <w:rPr>
            <w:rStyle w:val="Hyperlink"/>
            <w:rFonts w:cs="Times New Roman;Times New Roman" w:ascii="Times New Roman;Times New Roman" w:hAnsi="Times New Roman;Times New Roman"/>
            <w:i/>
            <w:iCs/>
            <w:color w:val="0000FF"/>
            <w:sz w:val="20"/>
            <w:szCs w:val="20"/>
          </w:rPr>
          <w:t>Jackson v. South Holland Dodge, Inc.,</w:t>
        </w:r>
      </w:hyperlink>
      <w:hyperlink r:id="rId148">
        <w:r>
          <w:rPr>
            <w:rStyle w:val="Hyperlink"/>
            <w:rFonts w:cs="Times New Roman;Times New Roman" w:ascii="Times New Roman;Times New Roman" w:hAnsi="Times New Roman;Times New Roman"/>
            <w:color w:val="0000FF"/>
            <w:sz w:val="20"/>
            <w:szCs w:val="20"/>
          </w:rPr>
          <w:t xml:space="preserve"> 197 Ill.2d 39, 46-47, 258 Ill.Dec. 79, 755 N.E.2d 462, 467-68 (Ill.2001)</w:t>
        </w:r>
      </w:hyperlink>
      <w:r>
        <w:rPr>
          <w:rFonts w:cs="Times New Roman;Times New Roman" w:ascii="Times New Roman;Times New Roman" w:hAnsi="Times New Roman;Times New Roman"/>
          <w:color w:val="000000"/>
          <w:sz w:val="20"/>
          <w:szCs w:val="20"/>
        </w:rPr>
        <w: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i/>
          <w:iCs/>
          <w:color w:val="000000"/>
          <w:sz w:val="20"/>
          <w:szCs w:val="20"/>
        </w:rPr>
        <w:t>CONCLUSION</w:t>
      </w:r>
    </w:p>
    <w:p>
      <w:pPr>
        <w:pStyle w:val="Normal"/>
        <w:widowControl w:val="false"/>
        <w:autoSpaceDE w:val="false"/>
        <w:spacing w:lineRule="auto" w:line="288" w:before="0" w:after="0"/>
        <w:ind w:firstLine="360" w:end="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For the above stated reasons, defendants' motions to dismiss are granted. This case is dismissed in its entirety. Any pending motions are moot.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N.D.Ill.,2002.</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Robb v. Capital Acquisitions &amp; Management Co.</w:t>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Not Reported in F.Supp.2d, 2002 WL 31654941 (N.D.Ill.)</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p>
      <w:pPr>
        <w:pStyle w:val="Normal"/>
        <w:widowControl w:val="false"/>
        <w:autoSpaceDE w:val="false"/>
        <w:spacing w:lineRule="auto" w:line="288" w:before="0" w:after="0"/>
        <w:jc w:val="both"/>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0"/>
          <w:szCs w:val="20"/>
        </w:rPr>
        <w:t>END OF DOCUMENT</w:t>
      </w:r>
    </w:p>
    <w:p>
      <w:pPr>
        <w:pStyle w:val="Normal"/>
        <w:widowControl w:val="false"/>
        <w:autoSpaceDE w:val="false"/>
        <w:spacing w:lineRule="auto" w:line="288"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bookmarkStart w:id="55" w:name="last-page"/>
      <w:bookmarkStart w:id="56" w:name="last-page"/>
      <w:bookmarkEnd w:id="56"/>
    </w:p>
    <w:p>
      <w:pPr>
        <w:pStyle w:val="Normal"/>
        <w:widowControl w:val="false"/>
        <w:autoSpaceDE w:val="false"/>
        <w:spacing w:lineRule="auto" w:line="240" w:before="0" w:after="0"/>
        <w:rPr>
          <w:rFonts w:ascii="Times New Roman;Times New Roman" w:hAnsi="Times New Roman;Times New Roman" w:cs="Times New Roman;Times New Roman"/>
          <w:color w:val="000000"/>
          <w:sz w:val="24"/>
          <w:szCs w:val="24"/>
        </w:rPr>
      </w:pPr>
      <w:r>
        <w:rPr>
          <w:rFonts w:cs="Times New Roman;Times New Roman" w:ascii="Times New Roman;Times New Roman" w:hAnsi="Times New Roman;Times New Roman"/>
          <w:color w:val="000000"/>
          <w:sz w:val="24"/>
          <w:szCs w:val="24"/>
        </w:rPr>
      </w:r>
    </w:p>
    <w:sectPr>
      <w:type w:val="continuous"/>
      <w:pgSz w:w="12240" w:h="15840"/>
      <w:pgMar w:left="1440" w:right="1440" w:gutter="0" w:header="720" w:top="2520" w:footer="720" w:bottom="180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autoSpaceDE w:val="false"/>
      <w:spacing w:lineRule="auto" w:line="288" w:before="0" w:after="0"/>
      <w:jc w:val="center"/>
      <w:rPr>
        <w:rFonts w:ascii="Times New Roman;Times New Roman" w:hAnsi="Times New Roman;Times New Roman" w:cs="Times New Roman;Times New Roman"/>
        <w:color w:val="000000"/>
        <w:sz w:val="20"/>
        <w:szCs w:val="20"/>
      </w:rPr>
    </w:pPr>
    <w:r>
      <w:rPr>
        <w:rFonts w:cs="Times New Roman;Times New Roman" w:ascii="Times New Roman;Times New Roman" w:hAnsi="Times New Roman;Times New Roman"/>
        <w:color w:val="000000"/>
        <w:sz w:val="20"/>
        <w:szCs w:val="20"/>
      </w:rPr>
      <w:t>© 2014 Thomson Reuters. No Claim to Orig. US Gov. Works.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start"/>
      <w:tblInd w:w="0" w:type="dxa"/>
      <w:tblLayout w:type="fixed"/>
      <w:tblCellMar>
        <w:top w:w="0" w:type="dxa"/>
        <w:start w:w="0" w:type="dxa"/>
        <w:bottom w:w="0" w:type="dxa"/>
        <w:end w:w="0" w:type="dxa"/>
      </w:tblCellMar>
    </w:tblPr>
    <w:tblGrid>
      <w:gridCol w:w="6480"/>
      <w:gridCol w:w="2880"/>
    </w:tblGrid>
    <w:tr>
      <w:trPr/>
      <w:tc>
        <w:tcPr>
          <w:tcW w:w="6480" w:type="dxa"/>
          <w:tcBorders/>
        </w:tcPr>
        <w:p>
          <w:pPr>
            <w:pStyle w:val="Normal"/>
            <w:widowControl w:val="false"/>
            <w:autoSpaceDE w:val="false"/>
            <w:spacing w:lineRule="auto" w:line="288" w:before="0" w:after="0"/>
            <w:rPr>
              <w:rFonts w:ascii="Arial" w:hAnsi="Arial" w:cs="Arial"/>
              <w:color w:val="000000"/>
              <w:sz w:val="24"/>
              <w:szCs w:val="24"/>
            </w:rPr>
          </w:pPr>
          <w:r>
            <w:rPr>
              <w:rFonts w:cs="Times New Roman;Times New Roman" w:ascii="Times New Roman;Times New Roman" w:hAnsi="Times New Roman;Times New Roman"/>
              <w:color w:val="000000"/>
              <w:sz w:val="20"/>
              <w:szCs w:val="20"/>
            </w:rPr>
            <w:drawing>
              <wp:inline distT="0" distB="0" distL="0" distR="0">
                <wp:extent cx="685800" cy="342900"/>
                <wp:effectExtent l="0" t="0" r="0" b="0"/>
                <wp:docPr id="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title=""/>
                        <pic:cNvPicPr>
                          <a:picLocks noChangeAspect="1" noChangeArrowheads="1"/>
                        </pic:cNvPicPr>
                      </pic:nvPicPr>
                      <pic:blipFill>
                        <a:blip r:embed="rId1"/>
                        <a:srcRect l="-16" t="-33" r="-16" b="-33"/>
                        <a:stretch>
                          <a:fillRect/>
                        </a:stretch>
                      </pic:blipFill>
                      <pic:spPr bwMode="auto">
                        <a:xfrm>
                          <a:off x="0" y="0"/>
                          <a:ext cx="685800" cy="342900"/>
                        </a:xfrm>
                        <a:prstGeom prst="rect">
                          <a:avLst/>
                        </a:prstGeom>
                        <a:noFill/>
                      </pic:spPr>
                    </pic:pic>
                  </a:graphicData>
                </a:graphic>
              </wp:inline>
            </w:drawing>
          </w:r>
        </w:p>
      </w:tc>
      <w:tc>
        <w:tcPr>
          <w:tcW w:w="2880" w:type="dxa"/>
          <w:tcBorders/>
        </w:tcPr>
        <w:p>
          <w:pPr>
            <w:pStyle w:val="Normal"/>
            <w:widowControl w:val="false"/>
            <w:autoSpaceDE w:val="false"/>
            <w:snapToGrid w:val="false"/>
            <w:spacing w:lineRule="auto" w:line="288" w:before="0" w:after="0"/>
            <w:rPr>
              <w:rFonts w:ascii="Arial" w:hAnsi="Arial" w:cs="Arial"/>
              <w:color w:val="000000"/>
              <w:sz w:val="24"/>
              <w:szCs w:val="24"/>
            </w:rPr>
          </w:pPr>
          <w:r>
            <w:rPr>
              <w:rFonts w:cs="Arial" w:ascii="Arial" w:hAnsi="Arial"/>
              <w:color w:val="000000"/>
              <w:sz w:val="24"/>
              <w:szCs w:val="24"/>
            </w:rPr>
          </w:r>
        </w:p>
      </w:tc>
    </w:tr>
    <w:tr>
      <w:trPr/>
      <w:tc>
        <w:tcPr>
          <w:tcW w:w="6480" w:type="dxa"/>
          <w:tcBorders/>
        </w:tcPr>
        <w:p>
          <w:pPr>
            <w:pStyle w:val="Normal"/>
            <w:widowControl w:val="false"/>
            <w:autoSpaceDE w:val="false"/>
            <w:spacing w:lineRule="auto" w:line="288" w:before="0" w:after="0"/>
            <w:rPr>
              <w:rFonts w:ascii="Arial" w:hAnsi="Arial" w:cs="Arial"/>
              <w:color w:val="000000"/>
              <w:sz w:val="24"/>
              <w:szCs w:val="24"/>
            </w:rPr>
          </w:pPr>
          <w:r>
            <w:rPr>
              <w:rFonts w:cs="Times New Roman;Times New Roman" w:ascii="Times New Roman;Times New Roman" w:hAnsi="Times New Roman;Times New Roman"/>
              <w:color w:val="000000"/>
              <w:sz w:val="20"/>
              <w:szCs w:val="20"/>
            </w:rPr>
            <w:t> </w:t>
          </w:r>
        </w:p>
        <w:p>
          <w:pPr>
            <w:pStyle w:val="Normal"/>
            <w:widowControl w:val="false"/>
            <w:autoSpaceDE w:val="false"/>
            <w:spacing w:lineRule="auto" w:line="288" w:before="0" w:after="0"/>
            <w:rPr>
              <w:rFonts w:ascii="Arial" w:hAnsi="Arial" w:cs="Arial"/>
              <w:color w:val="000000"/>
              <w:sz w:val="24"/>
              <w:szCs w:val="24"/>
            </w:rPr>
          </w:pPr>
          <w:r>
            <w:rPr>
              <w:rFonts w:cs="Arial" w:ascii="Arial" w:hAnsi="Arial"/>
              <w:color w:val="000000"/>
              <w:sz w:val="24"/>
              <w:szCs w:val="24"/>
            </w:rPr>
          </w:r>
        </w:p>
      </w:tc>
      <w:tc>
        <w:tcPr>
          <w:tcW w:w="2880" w:type="dxa"/>
          <w:tcBorders/>
        </w:tcPr>
        <w:p>
          <w:pPr>
            <w:pStyle w:val="Normal"/>
            <w:widowControl w:val="false"/>
            <w:autoSpaceDE w:val="false"/>
            <w:spacing w:lineRule="auto" w:line="288" w:before="0" w:after="0"/>
            <w:jc w:val="end"/>
            <w:rPr>
              <w:rFonts w:ascii="Arial" w:hAnsi="Arial" w:cs="Arial"/>
              <w:color w:val="000000"/>
              <w:sz w:val="24"/>
              <w:szCs w:val="24"/>
            </w:rPr>
          </w:pPr>
          <w:r>
            <w:rPr>
              <w:rFonts w:cs="Times New Roman;Times New Roman" w:ascii="Times New Roman;Times New Roman" w:hAnsi="Times New Roman;Times New Roman"/>
              <w:color w:val="000000"/>
              <w:sz w:val="20"/>
              <w:szCs w:val="20"/>
            </w:rPr>
            <w:t xml:space="preserve">Page </w:t>
          </w:r>
          <w:r>
            <w:rPr>
              <w:rFonts w:cs="Times New Roman;Times New Roman" w:ascii="Times New Roman;Times New Roman" w:hAnsi="Times New Roman;Times New Roman"/>
              <w:color w:val="000000"/>
              <w:sz w:val="20"/>
              <w:szCs w:val="20"/>
            </w:rPr>
            <w:fldChar w:fldCharType="begin"/>
          </w:r>
          <w:r>
            <w:rPr>
              <w:sz w:val="20"/>
              <w:szCs w:val="20"/>
              <w:rFonts w:cs="Times New Roman;Times New Roman" w:ascii="Times New Roman;Times New Roman" w:hAnsi="Times New Roman;Times New Roman"/>
              <w:color w:val="000000"/>
            </w:rPr>
            <w:instrText xml:space="preserve"> PAGE \* ARABIC </w:instrText>
          </w:r>
          <w:r>
            <w:rPr>
              <w:sz w:val="20"/>
              <w:szCs w:val="20"/>
              <w:rFonts w:cs="Times New Roman;Times New Roman" w:ascii="Times New Roman;Times New Roman" w:hAnsi="Times New Roman;Times New Roman"/>
              <w:color w:val="000000"/>
            </w:rPr>
            <w:fldChar w:fldCharType="separate"/>
          </w:r>
          <w:r>
            <w:rPr>
              <w:sz w:val="20"/>
              <w:szCs w:val="20"/>
              <w:rFonts w:cs="Times New Roman;Times New Roman" w:ascii="Times New Roman;Times New Roman" w:hAnsi="Times New Roman;Times New Roman"/>
              <w:color w:val="000000"/>
            </w:rPr>
            <w:t>10</w:t>
          </w:r>
          <w:r>
            <w:rPr>
              <w:sz w:val="20"/>
              <w:szCs w:val="20"/>
              <w:rFonts w:cs="Times New Roman;Times New Roman" w:ascii="Times New Roman;Times New Roman" w:hAnsi="Times New Roman;Times New Roman"/>
              <w:color w:val="000000"/>
            </w:rPr>
            <w:fldChar w:fldCharType="end"/>
          </w:r>
        </w:p>
      </w:tc>
    </w:tr>
    <w:tr>
      <w:trPr/>
      <w:tc>
        <w:tcPr>
          <w:tcW w:w="9360" w:type="dxa"/>
          <w:gridSpan w:val="2"/>
          <w:tcBorders/>
        </w:tcPr>
        <w:p>
          <w:pPr>
            <w:pStyle w:val="Normal"/>
            <w:widowControl w:val="false"/>
            <w:autoSpaceDE w:val="false"/>
            <w:spacing w:lineRule="auto" w:line="288" w:before="0" w:after="0"/>
            <w:rPr>
              <w:rFonts w:ascii="Arial" w:hAnsi="Arial" w:cs="Arial"/>
              <w:color w:val="000000"/>
              <w:sz w:val="24"/>
              <w:szCs w:val="24"/>
            </w:rPr>
          </w:pPr>
          <w:r>
            <w:rPr>
              <w:rFonts w:cs="Times New Roman;Times New Roman" w:ascii="Times New Roman;Times New Roman" w:hAnsi="Times New Roman;Times New Roman"/>
              <w:color w:val="000000"/>
              <w:sz w:val="20"/>
              <w:szCs w:val="20"/>
            </w:rPr>
            <w:t>Not Reported in F.Supp.2d, 2002 WL 31654941 (N.D.Ill.)</w:t>
          </w:r>
        </w:p>
      </w:tc>
    </w:tr>
    <w:tr>
      <w:trPr/>
      <w:tc>
        <w:tcPr>
          <w:tcW w:w="9360" w:type="dxa"/>
          <w:gridSpan w:val="2"/>
          <w:tcBorders/>
        </w:tcPr>
        <w:p>
          <w:pPr>
            <w:pStyle w:val="Normal"/>
            <w:widowControl w:val="false"/>
            <w:autoSpaceDE w:val="false"/>
            <w:spacing w:lineRule="auto" w:line="288" w:before="0" w:after="0"/>
            <w:rPr>
              <w:rFonts w:ascii="Arial" w:hAnsi="Arial" w:cs="Arial"/>
              <w:color w:val="000000"/>
              <w:sz w:val="24"/>
              <w:szCs w:val="24"/>
            </w:rPr>
          </w:pPr>
          <w:r>
            <w:rPr>
              <w:rFonts w:cs="Times New Roman;Times New Roman" w:ascii="Times New Roman;Times New Roman" w:hAnsi="Times New Roman;Times New Roman"/>
              <w:b/>
              <w:bCs/>
              <w:color w:val="000000"/>
              <w:sz w:val="20"/>
              <w:szCs w:val="20"/>
            </w:rPr>
            <w:t>(Cite as: 2002 WL 31654941 (N.D.Ill.))</w:t>
          </w:r>
        </w:p>
      </w:tc>
    </w:tr>
  </w:tbl>
  <w:p>
    <w:pPr>
      <w:pStyle w:val="Normal"/>
      <w:spacing w:before="0" w:after="200"/>
      <w:rPr>
        <w:rFonts w:ascii="Arial" w:hAnsi="Arial" w:cs="Arial"/>
        <w:color w:val="000000"/>
        <w:sz w:val="24"/>
        <w:szCs w:val="24"/>
      </w:rPr>
    </w:pPr>
    <w:r>
      <w:rPr>
        <w:rFonts w:cs="Arial" w:ascii="Arial" w:hAnsi="Arial"/>
        <w:color w:val="000000"/>
        <w:sz w:val="24"/>
        <w:szCs w:val="24"/>
      </w:rPr>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lineRule="auto" w:line="276" w:before="0" w:after="200"/>
    </w:pPr>
    <w:rPr>
      <w:rFonts w:ascii="Calibri" w:hAnsi="Calibri" w:eastAsia="Times New Roman;Times New Roman" w:cs="Times New Roman;Times New Roman"/>
      <w:color w:val="auto"/>
      <w:sz w:val="22"/>
      <w:szCs w:val="22"/>
      <w:lang w:val="en-US" w:bidi="ar-SA" w:eastAsia="zh-CN"/>
    </w:rPr>
  </w:style>
  <w:style w:type="character" w:styleId="DefaultParagraphFont">
    <w:name w:val="Default Paragraph 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westlaw.com/Find/Default.wl?rs=dfa1.0&amp;vr=2.0&amp;DB=PROFILER-WLD&amp;DocName=0127067601&amp;FindType=h" TargetMode="External"/><Relationship Id="rId6" Type="http://schemas.openxmlformats.org/officeDocument/2006/relationships/image" Target="media/image3.png"/><Relationship Id="rId7" Type="http://schemas.openxmlformats.org/officeDocument/2006/relationships/hyperlink" Target="http://www.westlaw.com/KeyNumber/Default.wl?rs=dfa1.0&amp;vr=2.0&amp;CMD=KEY&amp;DocName=92B" TargetMode="External"/><Relationship Id="rId8" Type="http://schemas.openxmlformats.org/officeDocument/2006/relationships/hyperlink" Target="http://www.westlaw.com/KeyNumber/Default.wl?rs=dfa1.0&amp;vr=2.0&amp;CMD=KEY&amp;DocName=92BII" TargetMode="External"/><Relationship Id="rId9" Type="http://schemas.openxmlformats.org/officeDocument/2006/relationships/hyperlink" Target="http://www.westlaw.com/KeyNumber/Default.wl?rs=dfa1.0&amp;vr=2.0&amp;CMD=KEY&amp;DocName=92BII%28A%29" TargetMode="External"/><Relationship Id="rId10" Type="http://schemas.openxmlformats.org/officeDocument/2006/relationships/hyperlink" Target="http://www.westlaw.com/KeyNumber/Default.wl?rs=dfa1.0&amp;vr=2.0&amp;CMD=KEY&amp;DocName=92Bk33" TargetMode="External"/><Relationship Id="rId11" Type="http://schemas.openxmlformats.org/officeDocument/2006/relationships/hyperlink" Target="http://www.westlaw.com/KeyNumber/Default.wl?rs=dfa1.0&amp;vr=2.0&amp;CMD=KEY&amp;DocName=92Bk33.1" TargetMode="External"/><Relationship Id="rId12" Type="http://schemas.openxmlformats.org/officeDocument/2006/relationships/hyperlink" Target="http://www.westlaw.com/Digest/Default.wl?rs=dfa1.0&amp;vr=2.0&amp;CMD=MCC&amp;DocName=92Bk33.1" TargetMode="External"/><Relationship Id="rId13" Type="http://schemas.openxmlformats.org/officeDocument/2006/relationships/hyperlink" Target="http://www.westlaw.com/Find/Default.wl?rs=dfa1.0&amp;vr=2.0&amp;DB=1000546&amp;DocName=15USCAS1602&amp;FindType=L" TargetMode="External"/><Relationship Id="rId14" Type="http://schemas.openxmlformats.org/officeDocument/2006/relationships/image" Target="media/image3.png"/><Relationship Id="rId15" Type="http://schemas.openxmlformats.org/officeDocument/2006/relationships/hyperlink" Target="http://www.westlaw.com/KeyNumber/Default.wl?rs=dfa1.0&amp;vr=2.0&amp;CMD=KEY&amp;DocName=92B" TargetMode="External"/><Relationship Id="rId16" Type="http://schemas.openxmlformats.org/officeDocument/2006/relationships/hyperlink" Target="http://www.westlaw.com/KeyNumber/Default.wl?rs=dfa1.0&amp;vr=2.0&amp;CMD=KEY&amp;DocName=92BII" TargetMode="External"/><Relationship Id="rId17" Type="http://schemas.openxmlformats.org/officeDocument/2006/relationships/hyperlink" Target="http://www.westlaw.com/KeyNumber/Default.wl?rs=dfa1.0&amp;vr=2.0&amp;CMD=KEY&amp;DocName=92BII%28A%29" TargetMode="External"/><Relationship Id="rId18" Type="http://schemas.openxmlformats.org/officeDocument/2006/relationships/hyperlink" Target="http://www.westlaw.com/KeyNumber/Default.wl?rs=dfa1.0&amp;vr=2.0&amp;CMD=KEY&amp;DocName=92Bk33" TargetMode="External"/><Relationship Id="rId19" Type="http://schemas.openxmlformats.org/officeDocument/2006/relationships/hyperlink" Target="http://www.westlaw.com/KeyNumber/Default.wl?rs=dfa1.0&amp;vr=2.0&amp;CMD=KEY&amp;DocName=92Bk34" TargetMode="External"/><Relationship Id="rId20" Type="http://schemas.openxmlformats.org/officeDocument/2006/relationships/hyperlink" Target="http://www.westlaw.com/Digest/Default.wl?rs=dfa1.0&amp;vr=2.0&amp;CMD=MCC&amp;DocName=92Bk34" TargetMode="External"/><Relationship Id="rId21" Type="http://schemas.openxmlformats.org/officeDocument/2006/relationships/hyperlink" Target="http://www.westlaw.com/Find/Default.wl?rs=dfa1.0&amp;vr=2.0&amp;DB=1000546&amp;DocName=15USCAS1602&amp;FindType=L" TargetMode="External"/><Relationship Id="rId22" Type="http://schemas.openxmlformats.org/officeDocument/2006/relationships/image" Target="media/image3.png"/><Relationship Id="rId23" Type="http://schemas.openxmlformats.org/officeDocument/2006/relationships/hyperlink" Target="http://www.westlaw.com/KeyNumber/Default.wl?rs=dfa1.0&amp;vr=2.0&amp;CMD=KEY&amp;DocName=92B" TargetMode="External"/><Relationship Id="rId24" Type="http://schemas.openxmlformats.org/officeDocument/2006/relationships/hyperlink" Target="http://www.westlaw.com/KeyNumber/Default.wl?rs=dfa1.0&amp;vr=2.0&amp;CMD=KEY&amp;DocName=92BII" TargetMode="External"/><Relationship Id="rId25" Type="http://schemas.openxmlformats.org/officeDocument/2006/relationships/hyperlink" Target="http://www.westlaw.com/KeyNumber/Default.wl?rs=dfa1.0&amp;vr=2.0&amp;CMD=KEY&amp;DocName=92BII%28A%29" TargetMode="External"/><Relationship Id="rId26" Type="http://schemas.openxmlformats.org/officeDocument/2006/relationships/hyperlink" Target="http://www.westlaw.com/KeyNumber/Default.wl?rs=dfa1.0&amp;vr=2.0&amp;CMD=KEY&amp;DocName=92Bk33" TargetMode="External"/><Relationship Id="rId27" Type="http://schemas.openxmlformats.org/officeDocument/2006/relationships/hyperlink" Target="http://www.westlaw.com/KeyNumber/Default.wl?rs=dfa1.0&amp;vr=2.0&amp;CMD=KEY&amp;DocName=92Bk34" TargetMode="External"/><Relationship Id="rId28" Type="http://schemas.openxmlformats.org/officeDocument/2006/relationships/hyperlink" Target="http://www.westlaw.com/Digest/Default.wl?rs=dfa1.0&amp;vr=2.0&amp;CMD=MCC&amp;DocName=92Bk34" TargetMode="External"/><Relationship Id="rId29" Type="http://schemas.openxmlformats.org/officeDocument/2006/relationships/hyperlink" Target="http://www.westlaw.com/Find/Default.wl?rs=dfa1.0&amp;vr=2.0&amp;DB=1000546&amp;DocName=15USCAS1601&amp;FindType=L" TargetMode="External"/><Relationship Id="rId30" Type="http://schemas.openxmlformats.org/officeDocument/2006/relationships/hyperlink" Target="http://www.westlaw.com/Find/Default.wl?rs=dfa1.0&amp;vr=2.0&amp;DB=1000547&amp;DocName=12CFRS226.2&amp;FindType=L" TargetMode="External"/><Relationship Id="rId31" Type="http://schemas.openxmlformats.org/officeDocument/2006/relationships/image" Target="media/image3.png"/><Relationship Id="rId32" Type="http://schemas.openxmlformats.org/officeDocument/2006/relationships/hyperlink" Target="http://www.westlaw.com/KeyNumber/Default.wl?rs=dfa1.0&amp;vr=2.0&amp;CMD=KEY&amp;DocName=170A" TargetMode="External"/><Relationship Id="rId33" Type="http://schemas.openxmlformats.org/officeDocument/2006/relationships/hyperlink" Target="http://www.westlaw.com/KeyNumber/Default.wl?rs=dfa1.0&amp;vr=2.0&amp;CMD=KEY&amp;DocName=170AXI" TargetMode="External"/><Relationship Id="rId34" Type="http://schemas.openxmlformats.org/officeDocument/2006/relationships/hyperlink" Target="http://www.westlaw.com/KeyNumber/Default.wl?rs=dfa1.0&amp;vr=2.0&amp;CMD=KEY&amp;DocName=170AXI%28B%29" TargetMode="External"/><Relationship Id="rId35" Type="http://schemas.openxmlformats.org/officeDocument/2006/relationships/hyperlink" Target="http://www.westlaw.com/KeyNumber/Default.wl?rs=dfa1.0&amp;vr=2.0&amp;CMD=KEY&amp;DocName=170AXI%28B%295" TargetMode="External"/><Relationship Id="rId36" Type="http://schemas.openxmlformats.org/officeDocument/2006/relationships/hyperlink" Target="http://www.westlaw.com/KeyNumber/Default.wl?rs=dfa1.0&amp;vr=2.0&amp;CMD=KEY&amp;DocName=170Ak1827" TargetMode="External"/><Relationship Id="rId37" Type="http://schemas.openxmlformats.org/officeDocument/2006/relationships/hyperlink" Target="http://www.westlaw.com/KeyNumber/Default.wl?rs=dfa1.0&amp;vr=2.0&amp;CMD=KEY&amp;DocName=170Ak1832" TargetMode="External"/><Relationship Id="rId38" Type="http://schemas.openxmlformats.org/officeDocument/2006/relationships/hyperlink" Target="http://www.westlaw.com/Digest/Default.wl?rs=dfa1.0&amp;vr=2.0&amp;CMD=MCC&amp;DocName=170Ak1832" TargetMode="External"/><Relationship Id="rId39" Type="http://schemas.openxmlformats.org/officeDocument/2006/relationships/hyperlink" Target="http://www.westlaw.com/Find/Default.wl?rs=dfa1.0&amp;vr=2.0&amp;DB=1004365&amp;DocName=USFRCPR12&amp;FindType=L" TargetMode="External"/><Relationship Id="rId40" Type="http://schemas.openxmlformats.org/officeDocument/2006/relationships/image" Target="media/image3.png"/><Relationship Id="rId41" Type="http://schemas.openxmlformats.org/officeDocument/2006/relationships/hyperlink" Target="http://www.westlaw.com/KeyNumber/Default.wl?rs=dfa1.0&amp;vr=2.0&amp;CMD=KEY&amp;DocName=29T" TargetMode="External"/><Relationship Id="rId42" Type="http://schemas.openxmlformats.org/officeDocument/2006/relationships/hyperlink" Target="http://www.westlaw.com/KeyNumber/Default.wl?rs=dfa1.0&amp;vr=2.0&amp;CMD=KEY&amp;DocName=29TIII" TargetMode="External"/><Relationship Id="rId43" Type="http://schemas.openxmlformats.org/officeDocument/2006/relationships/hyperlink" Target="http://www.westlaw.com/KeyNumber/Default.wl?rs=dfa1.0&amp;vr=2.0&amp;CMD=KEY&amp;DocName=29TIII%28C%29" TargetMode="External"/><Relationship Id="rId44" Type="http://schemas.openxmlformats.org/officeDocument/2006/relationships/hyperlink" Target="http://www.westlaw.com/KeyNumber/Default.wl?rs=dfa1.0&amp;vr=2.0&amp;CMD=KEY&amp;DocName=29Tk210" TargetMode="External"/><Relationship Id="rId45" Type="http://schemas.openxmlformats.org/officeDocument/2006/relationships/hyperlink" Target="http://www.westlaw.com/KeyNumber/Default.wl?rs=dfa1.0&amp;vr=2.0&amp;CMD=KEY&amp;DocName=29Tk212" TargetMode="External"/><Relationship Id="rId46" Type="http://schemas.openxmlformats.org/officeDocument/2006/relationships/hyperlink" Target="http://www.westlaw.com/Digest/Default.wl?rs=dfa1.0&amp;vr=2.0&amp;CMD=MCC&amp;DocName=29Tk212" TargetMode="External"/><Relationship Id="rId47" Type="http://schemas.openxmlformats.org/officeDocument/2006/relationships/image" Target="media/image3.png"/><Relationship Id="rId48" Type="http://schemas.openxmlformats.org/officeDocument/2006/relationships/hyperlink" Target="http://www.westlaw.com/KeyNumber/Default.wl?rs=dfa1.0&amp;vr=2.0&amp;CMD=KEY&amp;DocName=92B" TargetMode="External"/><Relationship Id="rId49" Type="http://schemas.openxmlformats.org/officeDocument/2006/relationships/hyperlink" Target="http://www.westlaw.com/KeyNumber/Default.wl?rs=dfa1.0&amp;vr=2.0&amp;CMD=KEY&amp;DocName=92BII" TargetMode="External"/><Relationship Id="rId50" Type="http://schemas.openxmlformats.org/officeDocument/2006/relationships/hyperlink" Target="http://www.westlaw.com/KeyNumber/Default.wl?rs=dfa1.0&amp;vr=2.0&amp;CMD=KEY&amp;DocName=92BII%28A%29" TargetMode="External"/><Relationship Id="rId51" Type="http://schemas.openxmlformats.org/officeDocument/2006/relationships/hyperlink" Target="http://www.westlaw.com/KeyNumber/Default.wl?rs=dfa1.0&amp;vr=2.0&amp;CMD=KEY&amp;DocName=92Bk33" TargetMode="External"/><Relationship Id="rId52" Type="http://schemas.openxmlformats.org/officeDocument/2006/relationships/hyperlink" Target="http://www.westlaw.com/KeyNumber/Default.wl?rs=dfa1.0&amp;vr=2.0&amp;CMD=KEY&amp;DocName=92Bk33.1" TargetMode="External"/><Relationship Id="rId53" Type="http://schemas.openxmlformats.org/officeDocument/2006/relationships/hyperlink" Target="http://www.westlaw.com/Digest/Default.wl?rs=dfa1.0&amp;vr=2.0&amp;CMD=MCC&amp;DocName=92Bk33.1" TargetMode="External"/><Relationship Id="rId54" Type="http://schemas.openxmlformats.org/officeDocument/2006/relationships/hyperlink" Target="http://www.westlaw.com/Find/Default.wl?rs=dfa1.0&amp;vr=2.0&amp;DB=1000546&amp;DocName=15USCAS1601&amp;FindType=L" TargetMode="External"/><Relationship Id="rId55" Type="http://schemas.openxmlformats.org/officeDocument/2006/relationships/hyperlink" Target="http://www.westlaw.com/Find/Default.wl?rs=dfa1.0&amp;vr=2.0&amp;DB=1000546&amp;DocName=15USCAS1692&amp;FindType=L" TargetMode="External"/><Relationship Id="rId56" Type="http://schemas.openxmlformats.org/officeDocument/2006/relationships/image" Target="media/image3.png"/><Relationship Id="rId57" Type="http://schemas.openxmlformats.org/officeDocument/2006/relationships/hyperlink" Target="http://www.westlaw.com/KeyNumber/Default.wl?rs=dfa1.0&amp;vr=2.0&amp;CMD=KEY&amp;DocName=92B" TargetMode="External"/><Relationship Id="rId58" Type="http://schemas.openxmlformats.org/officeDocument/2006/relationships/hyperlink" Target="http://www.westlaw.com/KeyNumber/Default.wl?rs=dfa1.0&amp;vr=2.0&amp;CMD=KEY&amp;DocName=92BII" TargetMode="External"/><Relationship Id="rId59" Type="http://schemas.openxmlformats.org/officeDocument/2006/relationships/hyperlink" Target="http://www.westlaw.com/KeyNumber/Default.wl?rs=dfa1.0&amp;vr=2.0&amp;CMD=KEY&amp;DocName=92BII%28A%29" TargetMode="External"/><Relationship Id="rId60" Type="http://schemas.openxmlformats.org/officeDocument/2006/relationships/hyperlink" Target="http://www.westlaw.com/KeyNumber/Default.wl?rs=dfa1.0&amp;vr=2.0&amp;CMD=KEY&amp;DocName=92Bk33" TargetMode="External"/><Relationship Id="rId61" Type="http://schemas.openxmlformats.org/officeDocument/2006/relationships/hyperlink" Target="http://www.westlaw.com/KeyNumber/Default.wl?rs=dfa1.0&amp;vr=2.0&amp;CMD=KEY&amp;DocName=92Bk34" TargetMode="External"/><Relationship Id="rId62" Type="http://schemas.openxmlformats.org/officeDocument/2006/relationships/hyperlink" Target="http://www.westlaw.com/Digest/Default.wl?rs=dfa1.0&amp;vr=2.0&amp;CMD=MCC&amp;DocName=92Bk34" TargetMode="External"/><Relationship Id="rId63" Type="http://schemas.openxmlformats.org/officeDocument/2006/relationships/hyperlink" Target="http://www.westlaw.com/Find/Default.wl?rs=dfa1.0&amp;vr=2.0&amp;DB=1000546&amp;DocName=15USCAS1601&amp;FindType=L" TargetMode="External"/><Relationship Id="rId64" Type="http://schemas.openxmlformats.org/officeDocument/2006/relationships/image" Target="media/image3.png"/><Relationship Id="rId65" Type="http://schemas.openxmlformats.org/officeDocument/2006/relationships/hyperlink" Target="http://www.westlaw.com/KeyNumber/Default.wl?rs=dfa1.0&amp;vr=2.0&amp;CMD=KEY&amp;DocName=29T" TargetMode="External"/><Relationship Id="rId66" Type="http://schemas.openxmlformats.org/officeDocument/2006/relationships/hyperlink" Target="http://www.westlaw.com/KeyNumber/Default.wl?rs=dfa1.0&amp;vr=2.0&amp;CMD=KEY&amp;DocName=29TIII" TargetMode="External"/><Relationship Id="rId67" Type="http://schemas.openxmlformats.org/officeDocument/2006/relationships/hyperlink" Target="http://www.westlaw.com/KeyNumber/Default.wl?rs=dfa1.0&amp;vr=2.0&amp;CMD=KEY&amp;DocName=29TIII%28C%29" TargetMode="External"/><Relationship Id="rId68" Type="http://schemas.openxmlformats.org/officeDocument/2006/relationships/hyperlink" Target="http://www.westlaw.com/KeyNumber/Default.wl?rs=dfa1.0&amp;vr=2.0&amp;CMD=KEY&amp;DocName=29Tk210" TargetMode="External"/><Relationship Id="rId69" Type="http://schemas.openxmlformats.org/officeDocument/2006/relationships/hyperlink" Target="http://www.westlaw.com/KeyNumber/Default.wl?rs=dfa1.0&amp;vr=2.0&amp;CMD=KEY&amp;DocName=29Tk214" TargetMode="External"/><Relationship Id="rId70" Type="http://schemas.openxmlformats.org/officeDocument/2006/relationships/hyperlink" Target="http://www.westlaw.com/Digest/Default.wl?rs=dfa1.0&amp;vr=2.0&amp;CMD=MCC&amp;DocName=29Tk214" TargetMode="External"/><Relationship Id="rId71" Type="http://schemas.openxmlformats.org/officeDocument/2006/relationships/hyperlink" Target="http://www.westlaw.com/Find/Default.wl?rs=dfa1.0&amp;vr=2.0&amp;DB=1000546&amp;DocName=15USCAS1692E&amp;FindType=L" TargetMode="External"/><Relationship Id="rId72" Type="http://schemas.openxmlformats.org/officeDocument/2006/relationships/hyperlink" Target="http://www.westlaw.com/Find/Default.wl?rs=dfa1.0&amp;vr=2.0&amp;DB=1000546&amp;DocName=15USCAS1692F&amp;FindType=L" TargetMode="External"/><Relationship Id="rId73" Type="http://schemas.openxmlformats.org/officeDocument/2006/relationships/image" Target="media/image3.png"/><Relationship Id="rId74" Type="http://schemas.openxmlformats.org/officeDocument/2006/relationships/hyperlink" Target="http://www.westlaw.com/KeyNumber/Default.wl?rs=dfa1.0&amp;vr=2.0&amp;CMD=KEY&amp;DocName=29T" TargetMode="External"/><Relationship Id="rId75" Type="http://schemas.openxmlformats.org/officeDocument/2006/relationships/hyperlink" Target="http://www.westlaw.com/KeyNumber/Default.wl?rs=dfa1.0&amp;vr=2.0&amp;CMD=KEY&amp;DocName=29TIII" TargetMode="External"/><Relationship Id="rId76" Type="http://schemas.openxmlformats.org/officeDocument/2006/relationships/hyperlink" Target="http://www.westlaw.com/KeyNumber/Default.wl?rs=dfa1.0&amp;vr=2.0&amp;CMD=KEY&amp;DocName=29TIII%28A%29" TargetMode="External"/><Relationship Id="rId77" Type="http://schemas.openxmlformats.org/officeDocument/2006/relationships/hyperlink" Target="http://www.westlaw.com/KeyNumber/Default.wl?rs=dfa1.0&amp;vr=2.0&amp;CMD=KEY&amp;DocName=29Tk133" TargetMode="External"/><Relationship Id="rId78" Type="http://schemas.openxmlformats.org/officeDocument/2006/relationships/hyperlink" Target="http://www.westlaw.com/KeyNumber/Default.wl?rs=dfa1.0&amp;vr=2.0&amp;CMD=KEY&amp;DocName=29Tk134" TargetMode="External"/><Relationship Id="rId79" Type="http://schemas.openxmlformats.org/officeDocument/2006/relationships/hyperlink" Target="http://www.westlaw.com/Digest/Default.wl?rs=dfa1.0&amp;vr=2.0&amp;CMD=MCC&amp;DocName=29Tk134" TargetMode="External"/><Relationship Id="rId80" Type="http://schemas.openxmlformats.org/officeDocument/2006/relationships/image" Target="media/image3.png"/><Relationship Id="rId81" Type="http://schemas.openxmlformats.org/officeDocument/2006/relationships/hyperlink" Target="http://www.westlaw.com/KeyNumber/Default.wl?rs=dfa1.0&amp;vr=2.0&amp;CMD=KEY&amp;DocName=302" TargetMode="External"/><Relationship Id="rId82" Type="http://schemas.openxmlformats.org/officeDocument/2006/relationships/hyperlink" Target="http://www.westlaw.com/KeyNumber/Default.wl?rs=dfa1.0&amp;vr=2.0&amp;CMD=KEY&amp;DocName=302I" TargetMode="External"/><Relationship Id="rId83" Type="http://schemas.openxmlformats.org/officeDocument/2006/relationships/hyperlink" Target="http://www.westlaw.com/KeyNumber/Default.wl?rs=dfa1.0&amp;vr=2.0&amp;CMD=KEY&amp;DocName=302k18" TargetMode="External"/><Relationship Id="rId84" Type="http://schemas.openxmlformats.org/officeDocument/2006/relationships/hyperlink" Target="http://www.westlaw.com/Digest/Default.wl?rs=dfa1.0&amp;vr=2.0&amp;CMD=MCC&amp;DocName=302k18" TargetMode="External"/><Relationship Id="rId85" Type="http://schemas.openxmlformats.org/officeDocument/2006/relationships/hyperlink" Target="http://www.westlaw.com/Find/Default.wl?rs=dfa1.0&amp;vr=2.0&amp;DB=1000008&amp;DocName=ILSTC815S505%2F2&amp;FindType=L" TargetMode="External"/><Relationship Id="rId86" Type="http://schemas.openxmlformats.org/officeDocument/2006/relationships/hyperlink" Target="http://www.westlaw.com/Find/Default.wl?rs=dfa1.0&amp;vr=2.0&amp;DB=PROFILER-WLD&amp;DocName=0127067601&amp;FindType=h" TargetMode="External"/><Relationship Id="rId87" Type="http://schemas.openxmlformats.org/officeDocument/2006/relationships/hyperlink" Target="http://www.westlaw.com/Find/Default.wl?rs=dfa1.0&amp;vr=2.0&amp;DB=1000546&amp;DocName=15USCAS1601&amp;FindType=L" TargetMode="External"/><Relationship Id="rId88" Type="http://schemas.openxmlformats.org/officeDocument/2006/relationships/hyperlink" Target="http://www.westlaw.com/Find/Default.wl?rs=dfa1.0&amp;vr=2.0&amp;DB=1000546&amp;DocName=15USCAS1667F&amp;FindType=L" TargetMode="External"/><Relationship Id="rId89" Type="http://schemas.openxmlformats.org/officeDocument/2006/relationships/hyperlink" Target="http://www.westlaw.com/Find/Default.wl?rs=dfa1.0&amp;vr=2.0&amp;DB=1000546&amp;DocName=15USCAS1692&amp;FindType=L" TargetMode="External"/><Relationship Id="rId90" Type="http://schemas.openxmlformats.org/officeDocument/2006/relationships/hyperlink" Target="http://www.westlaw.com/Find/Default.wl?rs=dfa1.0&amp;vr=2.0&amp;DB=1000546&amp;DocName=15USCAS1692O&amp;FindType=L" TargetMode="External"/><Relationship Id="rId91" Type="http://schemas.openxmlformats.org/officeDocument/2006/relationships/hyperlink" Target="http://www.westlaw.com/Find/Default.wl?rs=dfa1.0&amp;vr=2.0&amp;DB=1000008&amp;DocName=ILSTC815S505%2F2&amp;FindType=L" TargetMode="External"/><Relationship Id="rId92" Type="http://schemas.openxmlformats.org/officeDocument/2006/relationships/hyperlink" Target="http://www.westlaw.com/Find/Default.wl?rs=dfa1.0&amp;vr=2.0&amp;DB=1004365&amp;DocName=USFRCPR12&amp;FindType=L" TargetMode="External"/><Relationship Id="rId93" Type="http://schemas.openxmlformats.org/officeDocument/2006/relationships/hyperlink" Target="http://www.westlaw.com/Find/Default.wl?rs=dfa1.0&amp;vr=2.0&amp;DB=506&amp;FindType=Y&amp;ReferencePositionType=S&amp;SerialNum=2002495126&amp;ReferencePosition=753" TargetMode="External"/><Relationship Id="rId94" Type="http://schemas.openxmlformats.org/officeDocument/2006/relationships/hyperlink" Target="http://www.westlaw.com/Find/Default.wl?rs=dfa1.0&amp;vr=2.0&amp;DB=506&amp;FindType=Y&amp;ReferencePositionType=S&amp;SerialNum=2002495126&amp;ReferencePosition=753" TargetMode="External"/><Relationship Id="rId95" Type="http://schemas.openxmlformats.org/officeDocument/2006/relationships/hyperlink" Target="http://www.westlaw.com/Find/Default.wl?rs=dfa1.0&amp;vr=2.0&amp;DB=1000546&amp;DocName=15USCAS1637&amp;FindType=L" TargetMode="External"/><Relationship Id="rId96" Type="http://schemas.openxmlformats.org/officeDocument/2006/relationships/hyperlink" Target="http://www.westlaw.com/Find/Default.wl?rs=dfa1.0&amp;vr=2.0&amp;DB=1004365&amp;DocName=USFRCPR12&amp;FindType=L" TargetMode="External"/><Relationship Id="rId97" Type="http://schemas.openxmlformats.org/officeDocument/2006/relationships/hyperlink" Target="http://www.westlaw.com/Find/Default.wl?rs=dfa1.0&amp;vr=2.0&amp;DB=1004365&amp;DocName=USFRCPR12&amp;FindType=L" TargetMode="External"/><Relationship Id="rId98" Type="http://schemas.openxmlformats.org/officeDocument/2006/relationships/hyperlink" Target="http://www.westlaw.com/Find/Default.wl?rs=dfa1.0&amp;vr=2.0&amp;DB=506&amp;FindType=Y&amp;ReferencePositionType=S&amp;SerialNum=2002495126&amp;ReferencePosition=753" TargetMode="External"/><Relationship Id="rId99" Type="http://schemas.openxmlformats.org/officeDocument/2006/relationships/hyperlink" Target="http://www.westlaw.com/Find/Default.wl?rs=dfa1.0&amp;vr=2.0&amp;DB=506&amp;FindType=Y&amp;ReferencePositionType=S&amp;SerialNum=2002495126&amp;ReferencePosition=753" TargetMode="External"/><Relationship Id="rId100" Type="http://schemas.openxmlformats.org/officeDocument/2006/relationships/hyperlink" Target="http://www.westlaw.com/Find/Default.wl?rs=dfa1.0&amp;vr=2.0&amp;DB=708&amp;FindType=Y&amp;SerialNum=1984124905" TargetMode="External"/><Relationship Id="rId101" Type="http://schemas.openxmlformats.org/officeDocument/2006/relationships/hyperlink" Target="http://www.westlaw.com/Find/Default.wl?rs=dfa1.0&amp;vr=2.0&amp;DB=708&amp;FindType=Y&amp;SerialNum=1984124905" TargetMode="External"/><Relationship Id="rId102" Type="http://schemas.openxmlformats.org/officeDocument/2006/relationships/hyperlink" Target="http://www.westlaw.com/Find/Default.wl?rs=dfa1.0&amp;vr=2.0&amp;DB=1004365&amp;DocName=USFRCPR8&amp;FindType=L" TargetMode="External"/><Relationship Id="rId103" Type="http://schemas.openxmlformats.org/officeDocument/2006/relationships/hyperlink" Target="http://www.westlaw.com/Find/Default.wl?rs=dfa1.0&amp;vr=2.0&amp;DB=350&amp;FindType=Y&amp;ReferencePositionType=S&amp;SerialNum=1992024992&amp;ReferencePosition=1077" TargetMode="External"/><Relationship Id="rId104" Type="http://schemas.openxmlformats.org/officeDocument/2006/relationships/hyperlink" Target="http://www.westlaw.com/Find/Default.wl?rs=dfa1.0&amp;vr=2.0&amp;DB=350&amp;FindType=Y&amp;ReferencePositionType=S&amp;SerialNum=1992024992&amp;ReferencePosition=1077" TargetMode="External"/><Relationship Id="rId105" Type="http://schemas.openxmlformats.org/officeDocument/2006/relationships/hyperlink" Target="http://www.westlaw.com/Find/Default.wl?rs=dfa1.0&amp;vr=2.0&amp;DB=1004365&amp;DocName=USFRCPR12&amp;FindType=L" TargetMode="External"/><Relationship Id="rId106" Type="http://schemas.openxmlformats.org/officeDocument/2006/relationships/hyperlink" Target="http://www.westlaw.com/Find/Default.wl?rs=dfa1.0&amp;vr=2.0&amp;DB=1000546&amp;DocName=15USCAS1602&amp;FindType=L" TargetMode="External"/><Relationship Id="rId107" Type="http://schemas.openxmlformats.org/officeDocument/2006/relationships/hyperlink" Target="http://www.westlaw.com/Find/Default.wl?rs=dfa1.0&amp;vr=2.0&amp;DB=1000546&amp;DocName=15USCAS1637&amp;FindType=L" TargetMode="External"/><Relationship Id="rId108" Type="http://schemas.openxmlformats.org/officeDocument/2006/relationships/hyperlink" Target="http://www.westlaw.com/Find/Default.wl?rs=dfa1.0&amp;vr=2.0&amp;DB=1000546&amp;DocName=15USCAS1637&amp;FindType=L" TargetMode="External"/><Relationship Id="rId109" Type="http://schemas.openxmlformats.org/officeDocument/2006/relationships/hyperlink" Target="http://www.westlaw.com/Find/Default.wl?rs=dfa1.0&amp;vr=2.0&amp;DB=1000546&amp;DocName=15USCAS1637&amp;FindType=L" TargetMode="External"/><Relationship Id="rId110" Type="http://schemas.openxmlformats.org/officeDocument/2006/relationships/hyperlink" Target="http://www.westlaw.com/Find/Default.wl?rs=dfa1.0&amp;vr=2.0&amp;DB=1000546&amp;DocName=15USCAS1637&amp;FindType=L" TargetMode="External"/><Relationship Id="rId111" Type="http://schemas.openxmlformats.org/officeDocument/2006/relationships/hyperlink" Target="http://www.westlaw.com/Find/Default.wl?rs=dfa1.0&amp;vr=2.0&amp;DB=1000546&amp;DocName=15USCAS1637&amp;FindType=L" TargetMode="External"/><Relationship Id="rId112" Type="http://schemas.openxmlformats.org/officeDocument/2006/relationships/hyperlink" Target="http://www.westlaw.com/Find/Default.wl?rs=dfa1.0&amp;vr=2.0&amp;DB=1000546&amp;DocName=15USCAS1637&amp;FindType=L" TargetMode="External"/><Relationship Id="rId113" Type="http://schemas.openxmlformats.org/officeDocument/2006/relationships/hyperlink" Target="http://www.westlaw.com/Find/Default.wl?rs=dfa1.0&amp;vr=2.0&amp;DB=1000546&amp;DocName=15USCAS1637&amp;FindType=L" TargetMode="External"/><Relationship Id="rId114" Type="http://schemas.openxmlformats.org/officeDocument/2006/relationships/hyperlink" Target="http://www.westlaw.com/Find/Default.wl?rs=dfa1.0&amp;vr=2.0&amp;DB=1000546&amp;DocName=15USCAS1637&amp;FindType=L" TargetMode="External"/><Relationship Id="rId115" Type="http://schemas.openxmlformats.org/officeDocument/2006/relationships/hyperlink" Target="http://www.westlaw.com/Find/Default.wl?rs=dfa1.0&amp;vr=2.0&amp;DB=1000546&amp;DocName=15USCAS1602&amp;FindType=L" TargetMode="External"/><Relationship Id="rId116" Type="http://schemas.openxmlformats.org/officeDocument/2006/relationships/hyperlink" Target="http://www.westlaw.com/Find/Default.wl?rs=dfa1.0&amp;vr=2.0&amp;DB=1000546&amp;DocName=15USCAS1637&amp;FindType=L" TargetMode="External"/><Relationship Id="rId117" Type="http://schemas.openxmlformats.org/officeDocument/2006/relationships/hyperlink" Target="http://www.westlaw.com/Find/Default.wl?rs=dfa1.0&amp;vr=2.0&amp;DB=1000546&amp;DocName=15USCAS1637&amp;FindType=L" TargetMode="External"/><Relationship Id="rId118" Type="http://schemas.openxmlformats.org/officeDocument/2006/relationships/hyperlink" Target="http://www.westlaw.com/Find/Default.wl?rs=dfa1.0&amp;vr=2.0&amp;DB=1000546&amp;DocName=15USCAS1367&amp;FindType=L" TargetMode="External"/><Relationship Id="rId119" Type="http://schemas.openxmlformats.org/officeDocument/2006/relationships/hyperlink" Target="http://www.westlaw.com/Find/Default.wl?rs=dfa1.0&amp;vr=2.0&amp;DB=1000546&amp;DocName=15USCAS1602&amp;FindType=L" TargetMode="External"/><Relationship Id="rId120" Type="http://schemas.openxmlformats.org/officeDocument/2006/relationships/hyperlink" Target="http://www.westlaw.com/Find/Default.wl?rs=dfa1.0&amp;vr=2.0&amp;DB=1000546&amp;DocName=15USCAS1602&amp;FindType=L" TargetMode="External"/><Relationship Id="rId121" Type="http://schemas.openxmlformats.org/officeDocument/2006/relationships/hyperlink" Target="http://www.westlaw.com/Find/Default.wl?rs=dfa1.0&amp;vr=2.0&amp;DB=1000546&amp;DocName=15USCAS1602&amp;FindType=L" TargetMode="External"/><Relationship Id="rId122" Type="http://schemas.openxmlformats.org/officeDocument/2006/relationships/hyperlink" Target="http://www.westlaw.com/Find/Default.wl?rs=dfa1.0&amp;vr=2.0&amp;DB=1000546&amp;DocName=15USCAS1602&amp;FindType=L" TargetMode="External"/><Relationship Id="rId123" Type="http://schemas.openxmlformats.org/officeDocument/2006/relationships/hyperlink" Target="http://www.westlaw.com/Find/Default.wl?rs=dfa1.0&amp;vr=2.0&amp;DB=1000546&amp;DocName=15USCAS1602&amp;FindType=L" TargetMode="External"/><Relationship Id="rId124" Type="http://schemas.openxmlformats.org/officeDocument/2006/relationships/hyperlink" Target="http://www.westlaw.com/Find/Default.wl?rs=dfa1.0&amp;vr=2.0&amp;DB=1000546&amp;DocName=15USCAS1602&amp;FindType=L" TargetMode="External"/><Relationship Id="rId125" Type="http://schemas.openxmlformats.org/officeDocument/2006/relationships/hyperlink" Target="http://www.westlaw.com/Find/Default.wl?rs=dfa1.0&amp;vr=2.0&amp;DB=506&amp;FindType=Y&amp;ReferencePositionType=S&amp;SerialNum=2001090689&amp;ReferencePosition=833" TargetMode="External"/><Relationship Id="rId126" Type="http://schemas.openxmlformats.org/officeDocument/2006/relationships/hyperlink" Target="http://www.westlaw.com/Find/Default.wl?rs=dfa1.0&amp;vr=2.0&amp;DB=506&amp;FindType=Y&amp;ReferencePositionType=S&amp;SerialNum=2001090689&amp;ReferencePosition=833" TargetMode="External"/><Relationship Id="rId127" Type="http://schemas.openxmlformats.org/officeDocument/2006/relationships/hyperlink" Target="http://www.westlaw.com/Find/Default.wl?rs=dfa1.0&amp;vr=2.0&amp;DB=1000547&amp;DocName=12CFRS226.2&amp;FindType=L" TargetMode="External"/><Relationship Id="rId128" Type="http://schemas.openxmlformats.org/officeDocument/2006/relationships/hyperlink" Target="http://www.westlaw.com/Find/Default.wl?rs=dfa1.0&amp;vr=2.0&amp;DB=350&amp;FindType=Y&amp;ReferencePositionType=S&amp;SerialNum=1984135283&amp;ReferencePosition=895" TargetMode="External"/><Relationship Id="rId129" Type="http://schemas.openxmlformats.org/officeDocument/2006/relationships/hyperlink" Target="http://www.westlaw.com/Find/Default.wl?rs=dfa1.0&amp;vr=2.0&amp;DB=350&amp;FindType=Y&amp;ReferencePositionType=S&amp;SerialNum=1984135283&amp;ReferencePosition=895" TargetMode="External"/><Relationship Id="rId130" Type="http://schemas.openxmlformats.org/officeDocument/2006/relationships/hyperlink" Target="http://www.westlaw.com/Find/Default.wl?rs=dfa1.0&amp;vr=2.0&amp;DB=708&amp;FindType=Y&amp;SerialNum=1980105845" TargetMode="External"/><Relationship Id="rId131" Type="http://schemas.openxmlformats.org/officeDocument/2006/relationships/hyperlink" Target="http://www.westlaw.com/Find/Default.wl?rs=dfa1.0&amp;vr=2.0&amp;DB=708&amp;FindType=Y&amp;SerialNum=1980105845" TargetMode="External"/><Relationship Id="rId132" Type="http://schemas.openxmlformats.org/officeDocument/2006/relationships/hyperlink" Target="http://www.westlaw.com/Find/Default.wl?rs=dfa1.0&amp;vr=2.0&amp;DB=506&amp;FindType=Y&amp;ReferencePositionType=S&amp;SerialNum=2002495126&amp;ReferencePosition=753" TargetMode="External"/><Relationship Id="rId133" Type="http://schemas.openxmlformats.org/officeDocument/2006/relationships/hyperlink" Target="http://www.westlaw.com/Find/Default.wl?rs=dfa1.0&amp;vr=2.0&amp;DB=506&amp;FindType=Y&amp;ReferencePositionType=S&amp;SerialNum=2002495126&amp;ReferencePosition=753" TargetMode="External"/><Relationship Id="rId134" Type="http://schemas.openxmlformats.org/officeDocument/2006/relationships/hyperlink" Target="http://www.westlaw.com/Find/Default.wl?rs=dfa1.0&amp;vr=2.0&amp;DB=1000546&amp;DocName=15USCAS1602&amp;FindType=L" TargetMode="External"/><Relationship Id="rId135" Type="http://schemas.openxmlformats.org/officeDocument/2006/relationships/hyperlink" Target="http://www.westlaw.com/Find/Default.wl?rs=dfa1.0&amp;vr=2.0&amp;DB=1000546&amp;DocName=15USCAS1692E&amp;FindType=L" TargetMode="External"/><Relationship Id="rId136" Type="http://schemas.openxmlformats.org/officeDocument/2006/relationships/hyperlink" Target="http://www.westlaw.com/Find/Default.wl?rs=dfa1.0&amp;vr=2.0&amp;DB=1000546&amp;DocName=15USCAS1692F&amp;FindType=L" TargetMode="External"/><Relationship Id="rId137" Type="http://schemas.openxmlformats.org/officeDocument/2006/relationships/hyperlink" Target="http://www.westlaw.com/Find/Default.wl?rs=dfa1.0&amp;vr=2.0&amp;DB=1000546&amp;DocName=15USCAS1692E&amp;FindType=L" TargetMode="External"/><Relationship Id="rId138" Type="http://schemas.openxmlformats.org/officeDocument/2006/relationships/hyperlink" Target="http://www.westlaw.com/Find/Default.wl?rs=dfa1.0&amp;vr=2.0&amp;DB=1000546&amp;DocName=15USCAS1692F&amp;FindType=L" TargetMode="External"/><Relationship Id="rId139" Type="http://schemas.openxmlformats.org/officeDocument/2006/relationships/hyperlink" Target="http://www.westlaw.com/Find/Default.wl?rs=dfa1.0&amp;vr=2.0&amp;DB=1000546&amp;DocName=15USCAS1692E&amp;FindType=L" TargetMode="External"/><Relationship Id="rId140" Type="http://schemas.openxmlformats.org/officeDocument/2006/relationships/hyperlink" Target="http://www.westlaw.com/Find/Default.wl?rs=dfa1.0&amp;vr=2.0&amp;DB=1000546&amp;DocName=15USCAS1692F&amp;FindType=L" TargetMode="External"/><Relationship Id="rId141" Type="http://schemas.openxmlformats.org/officeDocument/2006/relationships/hyperlink" Target="http://www.westlaw.com/Find/Default.wl?rs=dfa1.0&amp;vr=2.0&amp;DB=1000546&amp;DocName=15USCAS1692A&amp;FindType=L" TargetMode="External"/><Relationship Id="rId142" Type="http://schemas.openxmlformats.org/officeDocument/2006/relationships/hyperlink" Target="http://www.westlaw.com/Find/Default.wl?rs=dfa1.0&amp;vr=2.0&amp;DB=1000546&amp;DocName=28USCAS1367&amp;FindType=L" TargetMode="External"/><Relationship Id="rId143" Type="http://schemas.openxmlformats.org/officeDocument/2006/relationships/hyperlink" Target="http://www.westlaw.com/Find/Default.wl?rs=dfa1.0&amp;vr=2.0&amp;DB=578&amp;FindType=Y&amp;ReferencePositionType=S&amp;SerialNum=1996236082&amp;ReferencePosition=593" TargetMode="External"/><Relationship Id="rId144" Type="http://schemas.openxmlformats.org/officeDocument/2006/relationships/hyperlink" Target="http://www.westlaw.com/Find/Default.wl?rs=dfa1.0&amp;vr=2.0&amp;DB=578&amp;FindType=Y&amp;ReferencePositionType=S&amp;SerialNum=1996236082&amp;ReferencePosition=593" TargetMode="External"/><Relationship Id="rId145" Type="http://schemas.openxmlformats.org/officeDocument/2006/relationships/hyperlink" Target="http://www.westlaw.com/Find/Default.wl?rs=dfa1.0&amp;vr=2.0&amp;DB=1000008&amp;DocName=ILSTC815S505%2F2&amp;FindType=L" TargetMode="External"/><Relationship Id="rId146" Type="http://schemas.openxmlformats.org/officeDocument/2006/relationships/hyperlink" Target="http://www.westlaw.com/Find/Default.wl?rs=dfa1.0&amp;vr=2.0&amp;DB=1000008&amp;DocName=ILSTC815S505%2F2&amp;FindType=L" TargetMode="External"/><Relationship Id="rId147" Type="http://schemas.openxmlformats.org/officeDocument/2006/relationships/hyperlink" Target="http://www.westlaw.com/Find/Default.wl?rs=dfa1.0&amp;vr=2.0&amp;DB=578&amp;FindType=Y&amp;ReferencePositionType=S&amp;SerialNum=2001649506&amp;ReferencePosition=467" TargetMode="External"/><Relationship Id="rId148" Type="http://schemas.openxmlformats.org/officeDocument/2006/relationships/hyperlink" Target="http://www.westlaw.com/Find/Default.wl?rs=dfa1.0&amp;vr=2.0&amp;DB=578&amp;FindType=Y&amp;ReferencePositionType=S&amp;SerialNum=2001649506&amp;ReferencePosition=467" TargetMode="External"/><Relationship Id="rId149" Type="http://schemas.openxmlformats.org/officeDocument/2006/relationships/fontTable" Target="fontTable.xml"/><Relationship Id="rId150" Type="http://schemas.openxmlformats.org/officeDocument/2006/relationships/settings" Target="settings.xml"/><Relationship Id="rId15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2014-05-15T08:31:00Z</dcterms:created>
  <dc:creator>14.4.2.3.V2</dc:creator>
  <dc:description/>
  <cp:keywords/>
  <dc:language>en-US</dc:language>
  <cp:lastModifiedBy>mpalan</cp:lastModifiedBy>
  <dcterms:modified xsi:type="dcterms:W3CDTF">2014-05-15T08:31:00Z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ivilege">
    <vt:lpwstr>1</vt:lpwstr>
  </property>
</Properties>
</file>