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0"/>
        <w:jc w:val="center"/>
      </w:pPr>
      <w:r>
        <w:rPr>
          <w:rFonts w:ascii="Arial" w:cs="Arial" w:eastAsia="Arial" w:hAnsi="Arial"/>
          <w:b/>
          <w:bCs/>
          <w:color w:val="1B3A5C"/>
          <w:sz w:val="48"/>
          <w:szCs w:val="48"/>
        </w:rPr>
        <w:t xml:space="preserve">DOCUMENTO DE VISÃO</w:t>
      </w:r>
    </w:p>
    <w:p>
      <w:pPr>
        <w:spacing w:after="80"/>
      </w:pPr>
    </w:p>
    <w:p>
      <w:pPr>
        <w:pBdr>
          <w:top w:val="single" w:color="E8782A" w:sz="6" w:space="12"/>
          <w:bottom w:val="single" w:color="E8782A" w:sz="6" w:space="12"/>
        </w:pBdr>
        <w:spacing w:after="0"/>
        <w:jc w:val="center"/>
      </w:pPr>
      <w:r>
        <w:rPr>
          <w:rFonts w:ascii="Arial" w:cs="Arial" w:eastAsia="Arial" w:hAnsi="Arial"/>
          <w:color w:val="2E75B6"/>
          <w:sz w:val="36"/>
          <w:szCs w:val="36"/>
        </w:rPr>
        <w:t xml:space="preserve">Sistema de Credenciamento de Prestadores</w:t>
      </w:r>
      <w:r>
        <w:rPr>
          <w:rFonts w:ascii="Arial" w:cs="Arial" w:eastAsia="Arial" w:hAnsi="Arial"/>
          <w:color w:val="666666"/>
          <w:sz w:val="28"/>
          <w:szCs w:val="28"/>
        </w:rPr>
        <w:br/>
        <w:t xml:space="preserve">
Pequenos Reparos — Metodologia Sebrae</w:t>
      </w:r>
    </w:p>
    <w:p>
      <w:pPr>
        <w:spacing w:after="80"/>
      </w:pPr>
    </w:p>
    <w:p>
      <w:pPr>
        <w:spacing w:after="80"/>
      </w:pPr>
    </w:p>
    <w:p>
      <w:pPr>
        <w:spacing w:after="80"/>
      </w:pPr>
    </w:p>
    <w:p>
      <w:pPr>
        <w:jc w:val="center"/>
      </w:pPr>
      <w:r>
        <w:rPr>
          <w:rFonts w:ascii="Arial" w:cs="Arial" w:eastAsia="Arial" w:hAnsi="Arial"/>
          <w:i/>
          <w:iCs/>
          <w:color w:val="555555"/>
          <w:sz w:val="26"/>
          <w:szCs w:val="26"/>
        </w:rPr>
        <w:t xml:space="preserve">Planilha Excel + Plataforma SaaS</w:t>
      </w:r>
    </w:p>
    <w:p>
      <w:pPr>
        <w:jc w:val="center"/>
      </w:pPr>
      <w:r>
        <w:rPr>
          <w:rFonts w:ascii="Arial" w:cs="Arial" w:eastAsia="Arial" w:hAnsi="Arial"/>
          <w:color w:val="666666"/>
          <w:sz w:val="24"/>
          <w:szCs w:val="24"/>
        </w:rPr>
        <w:t xml:space="preserve">Porta de Entrada e de Saída do Ecossistema de Rodízio</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1B3A5C"/>
          <w:sz w:val="24"/>
          <w:szCs w:val="24"/>
        </w:rPr>
        <w:t xml:space="preserve">Autor: Luís Maurício Junqueira Zanin</w:t>
      </w:r>
    </w:p>
    <w:p>
      <w:pPr>
        <w:jc w:val="center"/>
      </w:pPr>
      <w:r>
        <w:rPr>
          <w:rFonts w:ascii="Arial" w:cs="Arial" w:eastAsia="Arial" w:hAnsi="Arial"/>
          <w:color w:val="888888"/>
          <w:sz w:val="22"/>
          <w:szCs w:val="22"/>
        </w:rPr>
        <w:t xml:space="preserve">Versão V12.0.0150  —  Abril 2026</w:t>
      </w:r>
    </w:p>
    <w:p>
      <w:pPr>
        <w:sectPr>
          <w:pgSz w:w="12240" w:h="15840" w:orient="portrait"/>
          <w:pgMar w:top="1440" w:right="1440" w:bottom="1440" w:left="1440" w:header="708" w:footer="708" w:gutter="0"/>
          <w:pgNumType/>
          <w:docGrid w:linePitch="360"/>
        </w:sectPr>
      </w:pPr>
    </w:p>
    <w:p>
      <w:pPr>
        <w:pStyle w:val="Heading1"/>
        <w:spacing w:after="200" w:before="360"/>
      </w:pPr>
      <w: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Estratégia: Porta de Entrada e de Saída</w:t>
      </w:r>
    </w:p>
    <w:p>
      <w:pPr>
        <w:pBdr>
          <w:left w:val="single" w:color="E8782A" w:sz="12" w:space="8"/>
        </w:pBdr>
        <w:spacing w:after="200" w:before="200"/>
        <w:ind w:left="360"/>
      </w:pPr>
      <w:r>
        <w:rPr>
          <w:rFonts w:ascii="Arial" w:cs="Arial" w:eastAsia="Arial" w:hAnsi="Arial"/>
          <w:i/>
          <w:iCs/>
          <w:color w:val="333333"/>
          <w:sz w:val="22"/>
          <w:szCs w:val="22"/>
        </w:rPr>
        <w:t xml:space="preserve">A planilha de credenciamento não é apenas uma ferramenta operacional — é o ponto de partida e o ponto de chegada de todo o ecossistema de rodízio de prestadores de pequenos reparos.</w:t>
      </w:r>
    </w:p>
    <w:p>
      <w:pPr>
        <w:pStyle w:val="Heading2"/>
        <w:spacing w:after="160" w:before="280"/>
      </w:pPr>
      <w:r>
        <w:t xml:space="preserve">1.1. Visão Geral da Estratégia</w:t>
      </w:r>
    </w:p>
    <w:p>
      <w:pPr>
        <w:spacing w:after="160"/>
        <w:jc w:val="both"/>
      </w:pPr>
      <w:r>
        <w:rPr>
          <w:rFonts w:ascii="Arial" w:cs="Arial" w:eastAsia="Arial" w:hAnsi="Arial"/>
          <w:sz w:val="22"/>
          <w:szCs w:val="22"/>
        </w:rPr>
        <w:t xml:space="preserve">O Sistema de Credenciamento de Prestadores foi concebido como a porta de entrada para municípios que desejam implementar o modelo de rodízio justo na contratação de serviços de pequenos reparos, seguindo a metodologia do Sebrae. Ao adotar a planilha, o município recebe um instrumento completo, funcional e auditável, capaz de operar de forma autônoma, sem dependência de infraestrutura tecnológica adicional.</w:t>
      </w:r>
    </w:p>
    <w:p>
      <w:pPr>
        <w:spacing w:after="160"/>
        <w:jc w:val="both"/>
      </w:pPr>
      <w:r>
        <w:rPr>
          <w:rFonts w:ascii="Arial" w:cs="Arial" w:eastAsia="Arial" w:hAnsi="Arial"/>
          <w:sz w:val="22"/>
          <w:szCs w:val="22"/>
        </w:rPr>
        <w:t xml:space="preserve">Simultaneamente, a planilha é a porta de saída: quando o município evolui para a plataforma SaaS, todos os dados cadastrais, histórico de rodízio, avaliações e ordens de serviço podem ser migrados integralmente, sem perda de rastreabilidade. O SaaS herda o motor de regras de negócio da planilha, garantindo consistência total entre os dois ambientes.</w:t>
      </w:r>
    </w:p>
    <w:p>
      <w:pPr>
        <w:pStyle w:val="Heading2"/>
        <w:spacing w:after="160" w:before="280"/>
      </w:pPr>
      <w:r>
        <w:t xml:space="preserve">1.2. Papel da Planilha no Ecossistema</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Autonomia municipal</w:t>
      </w:r>
      <w:r>
        <w:rPr>
          <w:rFonts w:ascii="Arial" w:cs="Arial" w:eastAsia="Arial" w:hAnsi="Arial"/>
          <w:sz w:val="22"/>
          <w:szCs w:val="22"/>
        </w:rPr>
        <w:t xml:space="preserve">: qualquer prefeitura pode operar o rodízio apenas com Microsoft Excel, sem custos de licenciamento de software adicional</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Validação transparente</w:t>
      </w:r>
      <w:r>
        <w:rPr>
          <w:rFonts w:ascii="Arial" w:cs="Arial" w:eastAsia="Arial" w:hAnsi="Arial"/>
          <w:sz w:val="22"/>
          <w:szCs w:val="22"/>
        </w:rPr>
        <w:t xml:space="preserve">: o código-fonte VBA é aberto e pode ser auditado pela controladoria do município, pelo Tribunal de Contas ou por qualquer órgão fiscalizador</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Onboarding imediato</w:t>
      </w:r>
      <w:r>
        <w:rPr>
          <w:rFonts w:ascii="Arial" w:cs="Arial" w:eastAsia="Arial" w:hAnsi="Arial"/>
          <w:sz w:val="22"/>
          <w:szCs w:val="22"/>
        </w:rPr>
        <w:t xml:space="preserve">: a planilha funciona como ambiente de treinamento e validação antes da migração para o SaaS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Contingência operacional</w:t>
      </w:r>
      <w:r>
        <w:rPr>
          <w:rFonts w:ascii="Arial" w:cs="Arial" w:eastAsia="Arial" w:hAnsi="Arial"/>
          <w:sz w:val="22"/>
          <w:szCs w:val="22"/>
        </w:rPr>
        <w:t xml:space="preserve">: em caso de indisponibilidade temporária do SaaS, o município continua operando pela planilha sem interrupção</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Base de referência normativa</w:t>
      </w:r>
      <w:r>
        <w:rPr>
          <w:rFonts w:ascii="Arial" w:cs="Arial" w:eastAsia="Arial" w:hAnsi="Arial"/>
          <w:sz w:val="22"/>
          <w:szCs w:val="22"/>
        </w:rPr>
        <w:t xml:space="preserve">: as regras implementadas no VBA servem como especificação formal das regras de negócio do rodízio</w:t>
      </w:r>
    </w:p>
    <w:p>
      <w:pPr>
        <w:pStyle w:val="Heading2"/>
        <w:spacing w:after="160" w:before="280"/>
      </w:pPr>
      <w:r>
        <w:t xml:space="preserve">1.3. O SaaS em Implementação</w:t>
      </w:r>
    </w:p>
    <w:p>
      <w:pPr>
        <w:spacing w:after="160"/>
        <w:jc w:val="both"/>
      </w:pPr>
      <w:r>
        <w:rPr>
          <w:rFonts w:ascii="Arial" w:cs="Arial" w:eastAsia="Arial" w:hAnsi="Arial"/>
          <w:sz w:val="22"/>
          <w:szCs w:val="22"/>
        </w:rPr>
        <w:t xml:space="preserve">A plataforma SaaS já se encontra em fase de implementação ativa. Ela mantém integralmente o motor de busca e a lógica de funcionamento das regras de negócio do rodízio originalmente desenvolvidas na planilha, apresentando uma interface completamente aprimorada com novas funcionalidades: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Dashboard em tempo real</w:t>
      </w:r>
      <w:r>
        <w:rPr>
          <w:rFonts w:ascii="Arial" w:cs="Arial" w:eastAsia="Arial" w:hAnsi="Arial"/>
          <w:sz w:val="22"/>
          <w:szCs w:val="22"/>
        </w:rPr>
        <w:t xml:space="preserve">: painel executivo com indicadores de rodízio, ordens pendentes, avaliações e alertas de suspensão</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Multi-tenant nativo</w:t>
      </w:r>
      <w:r>
        <w:rPr>
          <w:rFonts w:ascii="Arial" w:cs="Arial" w:eastAsia="Arial" w:hAnsi="Arial"/>
          <w:sz w:val="22"/>
          <w:szCs w:val="22"/>
        </w:rPr>
        <w:t xml:space="preserve">: cada município opera em ambiente isolado com segurança de dados garantida por tenant_id</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Busca avançada</w:t>
      </w:r>
      <w:r>
        <w:rPr>
          <w:rFonts w:ascii="Arial" w:cs="Arial" w:eastAsia="Arial" w:hAnsi="Arial"/>
          <w:sz w:val="22"/>
          <w:szCs w:val="22"/>
        </w:rPr>
        <w:t xml:space="preserve">: motor de busca otimizado com filtros combinados por empresa, atividade, período, status e localidade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Notificações automáticas</w:t>
      </w:r>
      <w:r>
        <w:rPr>
          <w:rFonts w:ascii="Arial" w:cs="Arial" w:eastAsia="Arial" w:hAnsi="Arial"/>
          <w:sz w:val="22"/>
          <w:szCs w:val="22"/>
        </w:rPr>
        <w:t xml:space="preserve">: alertas por e-mail e push para vencimento de Pré-OS, suspensões e avaliações pendentes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API de integração</w:t>
      </w:r>
      <w:r>
        <w:rPr>
          <w:rFonts w:ascii="Arial" w:cs="Arial" w:eastAsia="Arial" w:hAnsi="Arial"/>
          <w:sz w:val="22"/>
          <w:szCs w:val="22"/>
        </w:rPr>
        <w:t xml:space="preserve">: endpoints RESTful para conexão com ERPs, sistemas de gestão municipal e portais de transparência</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Relatórios dinâmicos</w:t>
      </w:r>
      <w:r>
        <w:rPr>
          <w:rFonts w:ascii="Arial" w:cs="Arial" w:eastAsia="Arial" w:hAnsi="Arial"/>
          <w:sz w:val="22"/>
          <w:szCs w:val="22"/>
        </w:rPr>
        <w:t xml:space="preserve">: geração automática em PDF com filtros configuravéis, gráficos e exportação</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Acesso móvel</w:t>
      </w:r>
      <w:r>
        <w:rPr>
          <w:rFonts w:ascii="Arial" w:cs="Arial" w:eastAsia="Arial" w:hAnsi="Arial"/>
          <w:sz w:val="22"/>
          <w:szCs w:val="22"/>
        </w:rPr>
        <w:t xml:space="preserve">: interface responsiva para gestores realizarem avaliações e aprovações em campo</w:t>
      </w:r>
    </w:p>
    <w:p>
      <w:pPr>
        <w:pStyle w:val="Heading2"/>
        <w:spacing w:after="160" w:before="280"/>
      </w:pPr>
      <w:r>
        <w:t xml:space="preserve">1.4. Evolução Conjunta</w:t>
      </w:r>
    </w:p>
    <w:p>
      <w:pPr>
        <w:spacing w:after="160"/>
        <w:jc w:val="both"/>
      </w:pPr>
      <w:r>
        <w:rPr>
          <w:rFonts w:ascii="Arial" w:cs="Arial" w:eastAsia="Arial" w:hAnsi="Arial"/>
          <w:sz w:val="22"/>
          <w:szCs w:val="22"/>
        </w:rPr>
        <w:t xml:space="preserve">O documento de visão estabelece que a planilha e o SaaS evoluirão em conjunto. A planilha continuará sendo mantida e atualizada como material de apoio, ferramenta de validação e ambiente de referência para auditoria. Toda nova regra de negócio implementada no SaaS será primeiramente prototipada e validada na planilha, garantindo rastreabilidade entre as duas plataformas.</w:t>
      </w:r>
    </w:p>
    <w:p>
      <w:pPr>
        <w:spacing w:after="160"/>
        <w:jc w:val="both"/>
      </w:pPr>
      <w:r>
        <w:rPr>
          <w:rFonts w:ascii="Arial" w:cs="Arial" w:eastAsia="Arial" w:hAnsi="Arial"/>
          <w:sz w:val="22"/>
          <w:szCs w:val="22"/>
        </w:rPr>
        <w:t xml:space="preserve">Esta abordagem dual assegura que municípios de menor porte, que não disponham de infraestrutura para o SaaS, continuem tendo acesso à mesma qualidade de gestão do rodízio. A planilha nunca será descontinuada — ela é a base documentável e auditável de todo o sistema.</w:t>
      </w:r>
    </w:p>
    <w:p>
      <w:r>
        <w:br w:type="page"/>
      </w:r>
    </w:p>
    <w:p>
      <w:pPr>
        <w:pStyle w:val="Heading1"/>
        <w:spacing w:after="200" w:before="360"/>
      </w:pPr>
      <w:r>
        <w:t xml:space="preserve">2. Funcionalidades do Sistema</w:t>
      </w:r>
    </w:p>
    <w:p>
      <w:pPr>
        <w:pStyle w:val="Heading2"/>
        <w:spacing w:after="160" w:before="280"/>
      </w:pPr>
      <w:r>
        <w:t xml:space="preserve">2.1. Gestão de Empresas Prestadoras</w:t>
      </w:r>
    </w:p>
    <w:p>
      <w:pPr>
        <w:spacing w:after="160"/>
        <w:jc w:val="both"/>
      </w:pPr>
      <w:r>
        <w:rPr>
          <w:rFonts w:ascii="Arial" w:cs="Arial" w:eastAsia="Arial" w:hAnsi="Arial"/>
          <w:sz w:val="22"/>
          <w:szCs w:val="22"/>
        </w:rPr>
        <w:t xml:space="preserve">O sistema gerencia o ciclo de vida completo das empresas prestadoras de serviços de pequenos reparos. Cada empresa é identificada por CNPJ/CPF, com validação automática de dígitos verificadores. O cadastro inclui razão social, endereço, contato, classificação CNAE e status operacional.</w:t>
      </w:r>
    </w:p>
    <w:p>
      <w:pPr>
        <w:spacing w:after="160"/>
        <w:jc w:val="both"/>
      </w:pPr>
      <w:r>
        <w:rPr>
          <w:rFonts w:ascii="Arial" w:cs="Arial" w:eastAsia="Arial" w:hAnsi="Arial"/>
          <w:sz w:val="22"/>
          <w:szCs w:val="22"/>
        </w:rPr>
        <w:t xml:space="preserve">Os estados possíveis de uma empresa são: </w:t>
      </w:r>
      <w:r>
        <w:rPr>
          <w:rFonts w:ascii="Arial" w:cs="Arial" w:eastAsia="Arial" w:hAnsi="Arial"/>
          <w:b/>
          <w:bCs/>
          <w:sz w:val="22"/>
          <w:szCs w:val="22"/>
        </w:rPr>
        <w:t xml:space="preserve">ATIVA</w:t>
      </w:r>
      <w:r>
        <w:rPr>
          <w:rFonts w:ascii="Arial" w:cs="Arial" w:eastAsia="Arial" w:hAnsi="Arial"/>
          <w:sz w:val="22"/>
          <w:szCs w:val="22"/>
        </w:rPr>
        <w:t xml:space="preserve"> (apta a receber indicações), </w:t>
      </w:r>
      <w:r>
        <w:rPr>
          <w:rFonts w:ascii="Arial" w:cs="Arial" w:eastAsia="Arial" w:hAnsi="Arial"/>
          <w:b/>
          <w:bCs/>
          <w:sz w:val="22"/>
          <w:szCs w:val="22"/>
        </w:rPr>
        <w:t xml:space="preserve">SUSPENSA_GLOBAL</w:t>
      </w:r>
      <w:r>
        <w:rPr>
          <w:rFonts w:ascii="Arial" w:cs="Arial" w:eastAsia="Arial" w:hAnsi="Arial"/>
          <w:sz w:val="22"/>
          <w:szCs w:val="22"/>
        </w:rPr>
        <w:t xml:space="preserve"> (temporariamente impedida por recusas excessivas ou avaliação insuficiente), e </w:t>
      </w:r>
      <w:r>
        <w:rPr>
          <w:rFonts w:ascii="Arial" w:cs="Arial" w:eastAsia="Arial" w:hAnsi="Arial"/>
          <w:b/>
          <w:bCs/>
          <w:sz w:val="22"/>
          <w:szCs w:val="22"/>
        </w:rPr>
        <w:t xml:space="preserve">INATIVA</w:t>
      </w:r>
      <w:r>
        <w:rPr>
          <w:rFonts w:ascii="Arial" w:cs="Arial" w:eastAsia="Arial" w:hAnsi="Arial"/>
          <w:sz w:val="22"/>
          <w:szCs w:val="22"/>
        </w:rPr>
        <w:t xml:space="preserve"> (desativada administrativamente). O sistema controla automaticamente as transições entre estados com base nas regras de negócio configuradas.</w:t>
      </w:r>
    </w:p>
    <w:p>
      <w:pPr>
        <w:pStyle w:val="Heading2"/>
        <w:spacing w:after="160" w:before="280"/>
      </w:pPr>
      <w:r>
        <w:t xml:space="preserve">2.2. Credenciamento e Atividades</w:t>
      </w:r>
    </w:p>
    <w:p>
      <w:pPr>
        <w:spacing w:after="160"/>
        <w:jc w:val="both"/>
      </w:pPr>
      <w:r>
        <w:rPr>
          <w:rFonts w:ascii="Arial" w:cs="Arial" w:eastAsia="Arial" w:hAnsi="Arial"/>
          <w:sz w:val="22"/>
          <w:szCs w:val="22"/>
        </w:rPr>
        <w:t xml:space="preserve">O credenciamento vincula empresas a atividades específicas (classificações CNAE). Uma empresa pode ser credenciada em múltiplas atividades, e cada credenciamento possui fila própria de rodízio. O sistema impede credenciamentos duplicados e mantém a posição na fila de cada empresa por atividade.</w:t>
      </w:r>
    </w:p>
    <w:p>
      <w:pPr>
        <w:pStyle w:val="Heading2"/>
        <w:spacing w:after="160" w:before="280"/>
      </w:pPr>
      <w:r>
        <w:t xml:space="preserve">2.3. Rodízio Equitativo</w:t>
      </w:r>
    </w:p>
    <w:p>
      <w:pPr>
        <w:spacing w:after="160"/>
        <w:jc w:val="both"/>
      </w:pPr>
      <w:r>
        <w:rPr>
          <w:rFonts w:ascii="Arial" w:cs="Arial" w:eastAsia="Arial" w:hAnsi="Arial"/>
          <w:sz w:val="22"/>
          <w:szCs w:val="22"/>
        </w:rPr>
        <w:t xml:space="preserve">O coração do sistema é o algoritmo de rodízio, que garante distribuição justa das ordens de serviço entre as empresas credenciadas. Quando uma nova Pré-OS é emitida, o sistema seleciona automaticamente a próxima empresa na fila de rodízio da atividade correspondente.</w:t>
      </w:r>
    </w:p>
    <w:p>
      <w:pPr>
        <w:spacing w:after="160"/>
        <w:jc w:val="both"/>
      </w:pPr>
      <w:r>
        <w:rPr>
          <w:rFonts w:ascii="Arial" w:cs="Arial" w:eastAsia="Arial" w:hAnsi="Arial"/>
          <w:sz w:val="22"/>
          <w:szCs w:val="22"/>
        </w:rPr>
        <w:t xml:space="preserve">O algoritmo aplica cinco filtros sequenciais antes de selecionar uma empresa: verificação de credenciamento ativo, ausência de suspensão global (com auto-reativação se o período expirou), status ativo da empresa, ausência de OS aberta na mesma atividade, e ausência de Pré-OS pendente. Esse mecanismo garante que nenhuma empresa seja indicada enquanto já possui compromisso ativo na mesma atividade.</w:t>
      </w:r>
    </w:p>
    <w:p>
      <w:pPr>
        <w:pStyle w:val="Heading2"/>
        <w:spacing w:after="160" w:before="280"/>
      </w:pPr>
      <w:r>
        <w:t xml:space="preserve">2.4. Fluxo de Pré-OS e OS</w:t>
      </w:r>
    </w:p>
    <w:p>
      <w:pPr>
        <w:spacing w:after="160"/>
        <w:jc w:val="both"/>
      </w:pPr>
      <w:r>
        <w:rPr>
          <w:rFonts w:ascii="Arial" w:cs="Arial" w:eastAsia="Arial" w:hAnsi="Arial"/>
          <w:sz w:val="22"/>
          <w:szCs w:val="22"/>
        </w:rPr>
        <w:t xml:space="preserve">O fluxo operacional segue quatro estágios: emissão da Pré-OS (indicação automática pelo rodízio), decisão da empresa (aceitar ou recusar dentro do prazo configurado), conversão em OS (quando aceita) e execução do serviço. Cada transição é registrada no log de auditoria com timestamp e usuário responsável.</w:t>
      </w:r>
    </w:p>
    <w:p>
      <w:pPr>
        <w:spacing w:after="160"/>
        <w:jc w:val="both"/>
      </w:pPr>
      <w:r>
        <w:rPr>
          <w:rFonts w:ascii="Arial" w:cs="Arial" w:eastAsia="Arial" w:hAnsi="Arial"/>
          <w:sz w:val="22"/>
          <w:szCs w:val="22"/>
        </w:rPr>
        <w:t xml:space="preserve">A Pré-OS possui prazo de aceite configurável (parâmetro DIAS_DECISAO na aba CONFIG). Ao expirar o prazo sem resposta, o sistema trata automaticamente como recusa, aplicando as mesmas penalidades de avanço na fila.</w:t>
      </w:r>
    </w:p>
    <w:p>
      <w:pPr>
        <w:pStyle w:val="Heading2"/>
        <w:spacing w:after="160" w:before="280"/>
      </w:pPr>
      <w:r>
        <w:t xml:space="preserve">2.5. Avaliação de Serviços</w:t>
      </w:r>
    </w:p>
    <w:p>
      <w:pPr>
        <w:spacing w:after="160"/>
        <w:jc w:val="both"/>
      </w:pPr>
      <w:r>
        <w:rPr>
          <w:rFonts w:ascii="Arial" w:cs="Arial" w:eastAsia="Arial" w:hAnsi="Arial"/>
          <w:sz w:val="22"/>
          <w:szCs w:val="22"/>
        </w:rPr>
        <w:t xml:space="preserve">Após a conclusão de cada OS, o gestor realiza avaliação com 10 critérios quantitativos (escala 0 a 10). O sistema calcula automaticamente a média e, caso ela fique abaixo da nota mínima configurada (NOTA_MINIMA), suspende automaticamente a empresa. Esse mecanismo garante que empresas com desempenho insatisfatório sejam temporariamente afastadas do rodízio.</w:t>
      </w:r>
    </w:p>
    <w:p>
      <w:pPr>
        <w:pStyle w:val="Heading2"/>
        <w:spacing w:after="160" w:before="280"/>
      </w:pPr>
      <w:r>
        <w:t xml:space="preserve">2.6. Entidades e Localidades</w:t>
      </w:r>
    </w:p>
    <w:p>
      <w:pPr>
        <w:spacing w:after="160"/>
        <w:jc w:val="both"/>
      </w:pPr>
      <w:r>
        <w:rPr>
          <w:rFonts w:ascii="Arial" w:cs="Arial" w:eastAsia="Arial" w:hAnsi="Arial"/>
          <w:sz w:val="22"/>
          <w:szCs w:val="22"/>
        </w:rPr>
        <w:t xml:space="preserve">O sistema permite cadastrar múltiplas entidades (unidades organizacionais, escolas, postos de saúde etc.) que demandam serviços. Cada Pré-OS é vinculada a uma entidade solicitante, permitindo rastreabilidade completa de quem solicitou, quando e por quê.</w:t>
      </w:r>
    </w:p>
    <w:p>
      <w:pPr>
        <w:pStyle w:val="Heading2"/>
        <w:spacing w:after="160" w:before="280"/>
      </w:pPr>
      <w:r>
        <w:t xml:space="preserve">2.7. Relatórios</w:t>
      </w:r>
    </w:p>
    <w:p>
      <w:pPr>
        <w:spacing w:after="160"/>
        <w:jc w:val="both"/>
      </w:pPr>
      <w:r>
        <w:rPr>
          <w:rFonts w:ascii="Arial" w:cs="Arial" w:eastAsia="Arial" w:hAnsi="Arial"/>
          <w:sz w:val="22"/>
          <w:szCs w:val="22"/>
        </w:rPr>
        <w:t xml:space="preserve">O sistema oferece cinco relatórios operacionais com formatação profissional, incluindo cabeçalho com brasão do município, data/hora de impressão e numeração de páginas: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Entidades Cadastradas</w:t>
      </w:r>
      <w:r>
        <w:rPr>
          <w:rFonts w:ascii="Arial" w:cs="Arial" w:eastAsia="Arial" w:hAnsi="Arial"/>
          <w:sz w:val="22"/>
          <w:szCs w:val="22"/>
        </w:rPr>
        <w:t xml:space="preserve">: relação completa das unidades organizacionais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MEIs Cadastrados</w:t>
      </w:r>
      <w:r>
        <w:rPr>
          <w:rFonts w:ascii="Arial" w:cs="Arial" w:eastAsia="Arial" w:hAnsi="Arial"/>
          <w:sz w:val="22"/>
          <w:szCs w:val="22"/>
        </w:rPr>
        <w:t xml:space="preserve">: empresas registradas no sistema com status atual</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MEIs Credenciados</w:t>
      </w:r>
      <w:r>
        <w:rPr>
          <w:rFonts w:ascii="Arial" w:cs="Arial" w:eastAsia="Arial" w:hAnsi="Arial"/>
          <w:sz w:val="22"/>
          <w:szCs w:val="22"/>
        </w:rPr>
        <w:t xml:space="preserve">: matriz de credenciamento empresa×atividade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Ordens de Serviço Emitidas</w:t>
      </w:r>
      <w:r>
        <w:rPr>
          <w:rFonts w:ascii="Arial" w:cs="Arial" w:eastAsia="Arial" w:hAnsi="Arial"/>
          <w:sz w:val="22"/>
          <w:szCs w:val="22"/>
        </w:rPr>
        <w:t xml:space="preserve">: histórico de OS com valores e status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Pré-OS Vencidas</w:t>
      </w:r>
      <w:r>
        <w:rPr>
          <w:rFonts w:ascii="Arial" w:cs="Arial" w:eastAsia="Arial" w:hAnsi="Arial"/>
          <w:sz w:val="22"/>
          <w:szCs w:val="22"/>
        </w:rPr>
        <w:t xml:space="preserve">: Pré-OS que expiraram sem resposta da empresa</w:t>
      </w:r>
    </w:p>
    <w:p>
      <w:r>
        <w:br w:type="page"/>
      </w:r>
    </w:p>
    <w:p>
      <w:pPr>
        <w:pStyle w:val="Heading1"/>
        <w:spacing w:after="200" w:before="360"/>
      </w:pPr>
      <w:r>
        <w:t xml:space="preserve">3. Regras de Negócio</w:t>
      </w:r>
    </w:p>
    <w:p>
      <w:pPr>
        <w:pStyle w:val="Heading2"/>
        <w:spacing w:after="160" w:before="280"/>
      </w:pPr>
      <w:r>
        <w:t xml:space="preserve">3.1. Algoritmo de Rodízio</w:t>
      </w:r>
    </w:p>
    <w:p>
      <w:pPr>
        <w:spacing w:after="160"/>
        <w:jc w:val="both"/>
      </w:pPr>
      <w:r>
        <w:rPr>
          <w:rFonts w:ascii="Arial" w:cs="Arial" w:eastAsia="Arial" w:hAnsi="Arial"/>
          <w:sz w:val="22"/>
          <w:szCs w:val="22"/>
        </w:rPr>
        <w:t xml:space="preserve">O rodízio é o mecanismo central que garante equidade na distribuição de serviços. O processo de seleção segue a seguinte sequência: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Filtro</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Critério</w:t>
            </w:r>
          </w:p>
        </w:tc>
        <w:tc>
          <w:tcPr>
            <w:tcW w:type="dxa" w:w="5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Ação</w:t>
            </w:r>
          </w:p>
        </w:tc>
      </w:tr>
      <w:tr>
        <w:tc>
          <w:tcPr>
            <w:tcW w:type="dxa" w:w="1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A</w:t>
            </w:r>
          </w:p>
        </w:tc>
        <w:tc>
          <w:tcPr>
            <w:tcW w:type="dxa" w:w="2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Status do credenciamento</w:t>
            </w:r>
          </w:p>
        </w:tc>
        <w:tc>
          <w:tcPr>
            <w:tcW w:type="dxa" w:w="57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Ignora empresa se credenciamento ≠ ATIVO</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Suspensão global</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Ignora se SUSPENSA_GLOBAL. Se período expirou, reativa automaticamente</w:t>
            </w:r>
          </w:p>
        </w:tc>
      </w:tr>
      <w:tr>
        <w:tc>
          <w:tcPr>
            <w:tcW w:type="dxa" w:w="1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C</w:t>
            </w:r>
          </w:p>
        </w:tc>
        <w:tc>
          <w:tcPr>
            <w:tcW w:type="dxa" w:w="2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Status da empresa</w:t>
            </w:r>
          </w:p>
        </w:tc>
        <w:tc>
          <w:tcPr>
            <w:tcW w:type="dxa" w:w="57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Ignora se empresa INATIVA</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OS aberta na atividade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Move para final da fila sem penalidade; empresa não indicada</w:t>
            </w:r>
          </w:p>
        </w:tc>
      </w:tr>
      <w:tr>
        <w:tc>
          <w:tcPr>
            <w:tcW w:type="dxa" w:w="1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E</w:t>
            </w:r>
          </w:p>
        </w:tc>
        <w:tc>
          <w:tcPr>
            <w:tcW w:type="dxa" w:w="2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Pré-OS pendente</w:t>
            </w:r>
          </w:p>
        </w:tc>
        <w:tc>
          <w:tcPr>
            <w:tcW w:type="dxa" w:w="57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Não indica a empresa; sem penalidade e sem movimento na fila</w:t>
            </w:r>
          </w:p>
        </w:tc>
      </w:tr>
    </w:tbl>
    <w:p>
      <w:pPr>
        <w:spacing w:after="80"/>
      </w:pPr>
    </w:p>
    <w:p>
      <w:pPr>
        <w:pStyle w:val="Heading2"/>
        <w:spacing w:after="160" w:before="280"/>
      </w:pPr>
      <w:r>
        <w:t xml:space="preserve">3.2. Penalidades e Suspensão</w:t>
      </w:r>
    </w:p>
    <w:p>
      <w:pPr>
        <w:spacing w:after="160"/>
        <w:jc w:val="both"/>
      </w:pPr>
      <w:r>
        <w:rPr>
          <w:rFonts w:ascii="Arial" w:cs="Arial" w:eastAsia="Arial" w:hAnsi="Arial"/>
          <w:sz w:val="22"/>
          <w:szCs w:val="22"/>
        </w:rPr>
        <w:t xml:space="preserve">O sistema implementa um mecanismo progressivo de penalidades. Cada recusa explícita ou expiração de prazo incrementa o contador QTD_RECUSAS da empresa. Quando este contador atinge o limite MAX_RECUSAS (configurável, padrão 3), a empresa é automaticamente suspensa por PERIODO_SUSPENSAO_MESES (padrão 6 meses).</w:t>
      </w:r>
    </w:p>
    <w:p>
      <w:pPr>
        <w:spacing w:after="160"/>
        <w:jc w:val="both"/>
      </w:pPr>
      <w:r>
        <w:rPr>
          <w:rFonts w:ascii="Arial" w:cs="Arial" w:eastAsia="Arial" w:hAnsi="Arial"/>
          <w:sz w:val="22"/>
          <w:szCs w:val="22"/>
        </w:rPr>
        <w:t xml:space="preserve">A reativação é automática: quando o algoritmo de rodízio encontra uma empresa cuja data de fim de suspensão já passou, ele zera o contador de recusas e remove a suspensão, devolvendo a empresa à fila de rodízio.</w:t>
      </w:r>
    </w:p>
    <w:p>
      <w:pPr>
        <w:pStyle w:val="Heading2"/>
        <w:spacing w:after="160" w:before="280"/>
      </w:pPr>
      <w:r>
        <w:t xml:space="preserve">3.3. Parâmetros Configuráveis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c>
          <w:tcPr>
            <w:tcW w:type="dxa" w:w="3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Parâmetro</w:t>
            </w:r>
          </w:p>
        </w:tc>
        <w:tc>
          <w:tcPr>
            <w:tcW w:type="dxa" w:w="1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Padrão</w:t>
            </w:r>
          </w:p>
        </w:tc>
        <w:tc>
          <w:tcPr>
            <w:tcW w:type="dxa" w:w="4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Descrição</w:t>
            </w:r>
          </w:p>
        </w:tc>
      </w:tr>
      <w:tr>
        <w:tc>
          <w:tcPr>
            <w:tcW w:type="dxa" w:w="3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DIAS_DECISAO</w:t>
            </w:r>
          </w:p>
        </w:tc>
        <w:tc>
          <w:tcPr>
            <w:tcW w:type="dxa" w:w="1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5</w:t>
            </w:r>
          </w:p>
        </w:tc>
        <w:tc>
          <w:tcPr>
            <w:tcW w:type="dxa" w:w="4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Dias para a empresa aceitar ou recusar a Pré-OS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MAX_RECUSAS</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w:t>
            </w:r>
          </w:p>
        </w:tc>
        <w:tc>
          <w:tcPr>
            <w:tcW w:type="dxa" w:w="4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Número máximo de recusas antes da suspensão automática</w:t>
            </w:r>
          </w:p>
        </w:tc>
      </w:tr>
      <w:tr>
        <w:tc>
          <w:tcPr>
            <w:tcW w:type="dxa" w:w="3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PERIODO_SUSPENSAO_MESES</w:t>
            </w:r>
          </w:p>
        </w:tc>
        <w:tc>
          <w:tcPr>
            <w:tcW w:type="dxa" w:w="1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6</w:t>
            </w:r>
          </w:p>
        </w:tc>
        <w:tc>
          <w:tcPr>
            <w:tcW w:type="dxa" w:w="4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Duração da suspensão em meses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NOTA_MINIMA</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5.0</w:t>
            </w:r>
          </w:p>
        </w:tc>
        <w:tc>
          <w:tcPr>
            <w:tcW w:type="dxa" w:w="4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Média mínima de avaliação para manter empresa ativa</w:t>
            </w:r>
          </w:p>
        </w:tc>
      </w:tr>
      <w:tr>
        <w:tc>
          <w:tcPr>
            <w:tcW w:type="dxa" w:w="3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municipio</w:t>
            </w:r>
          </w:p>
        </w:tc>
        <w:tc>
          <w:tcPr>
            <w:tcW w:type="dxa" w:w="1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w:t>
            </w:r>
          </w:p>
        </w:tc>
        <w:tc>
          <w:tcPr>
            <w:tcW w:type="dxa" w:w="4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Nome do município exibido em relatórios e cabeçalhos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GESTOR_NOME</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t>
            </w:r>
          </w:p>
        </w:tc>
        <w:tc>
          <w:tcPr>
            <w:tcW w:type="dxa" w:w="4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Nome do gestor responsável pelo rodízio</w:t>
            </w:r>
          </w:p>
        </w:tc>
      </w:tr>
    </w:tbl>
    <w:p>
      <w:pPr>
        <w:spacing w:after="80"/>
      </w:pPr>
    </w:p>
    <w:p>
      <w:pPr>
        <w:pStyle w:val="Heading2"/>
        <w:spacing w:after="160" w:before="280"/>
      </w:pPr>
      <w:r>
        <w:t xml:space="preserve">3.4. Fluxo de Estados</w:t>
      </w:r>
    </w:p>
    <w:p>
      <w:pPr>
        <w:spacing w:after="160"/>
        <w:jc w:val="both"/>
      </w:pPr>
      <w:r>
        <w:rPr>
          <w:rFonts w:ascii="Arial" w:cs="Arial" w:eastAsia="Arial" w:hAnsi="Arial"/>
          <w:sz w:val="22"/>
          <w:szCs w:val="22"/>
        </w:rPr>
        <w:t xml:space="preserve">O ciclo de vida de uma Pré-OS segue a cadeia: </w:t>
      </w:r>
      <w:r>
        <w:rPr>
          <w:rFonts w:ascii="Arial" w:cs="Arial" w:eastAsia="Arial" w:hAnsi="Arial"/>
          <w:b/>
          <w:bCs/>
          <w:sz w:val="22"/>
          <w:szCs w:val="22"/>
        </w:rPr>
        <w:t xml:space="preserve">AGUARDANDO_ACEITE</w:t>
      </w:r>
      <w:r>
        <w:rPr>
          <w:rFonts w:ascii="Arial" w:cs="Arial" w:eastAsia="Arial" w:hAnsi="Arial"/>
          <w:sz w:val="22"/>
          <w:szCs w:val="22"/>
        </w:rPr>
        <w:t xml:space="preserve"> → </w:t>
      </w:r>
      <w:r>
        <w:rPr>
          <w:rFonts w:ascii="Arial" w:cs="Arial" w:eastAsia="Arial" w:hAnsi="Arial"/>
          <w:b/>
          <w:bCs/>
          <w:sz w:val="22"/>
          <w:szCs w:val="22"/>
        </w:rPr>
        <w:t xml:space="preserve">CONVERTIDA_OS</w:t>
      </w:r>
      <w:r>
        <w:rPr>
          <w:rFonts w:ascii="Arial" w:cs="Arial" w:eastAsia="Arial" w:hAnsi="Arial"/>
          <w:sz w:val="22"/>
          <w:szCs w:val="22"/>
        </w:rPr>
        <w:t xml:space="preserve"> (aceita) ou </w:t>
      </w:r>
      <w:r>
        <w:rPr>
          <w:rFonts w:ascii="Arial" w:cs="Arial" w:eastAsia="Arial" w:hAnsi="Arial"/>
          <w:b/>
          <w:bCs/>
          <w:sz w:val="22"/>
          <w:szCs w:val="22"/>
        </w:rPr>
        <w:t xml:space="preserve">RECUSADA</w:t>
      </w:r>
      <w:r>
        <w:rPr>
          <w:rFonts w:ascii="Arial" w:cs="Arial" w:eastAsia="Arial" w:hAnsi="Arial"/>
          <w:sz w:val="22"/>
          <w:szCs w:val="22"/>
        </w:rPr>
        <w:t xml:space="preserve"> / </w:t>
      </w:r>
      <w:r>
        <w:rPr>
          <w:rFonts w:ascii="Arial" w:cs="Arial" w:eastAsia="Arial" w:hAnsi="Arial"/>
          <w:b/>
          <w:bCs/>
          <w:sz w:val="22"/>
          <w:szCs w:val="22"/>
        </w:rPr>
        <w:t xml:space="preserve">EXPIRADA</w:t>
      </w:r>
      <w:r>
        <w:rPr>
          <w:rFonts w:ascii="Arial" w:cs="Arial" w:eastAsia="Arial" w:hAnsi="Arial"/>
          <w:sz w:val="22"/>
          <w:szCs w:val="22"/>
        </w:rPr>
        <w:t xml:space="preserve"> (recusada/vencida). A OS resultante segue: </w:t>
      </w:r>
      <w:r>
        <w:rPr>
          <w:rFonts w:ascii="Arial" w:cs="Arial" w:eastAsia="Arial" w:hAnsi="Arial"/>
          <w:b/>
          <w:bCs/>
          <w:sz w:val="22"/>
          <w:szCs w:val="22"/>
        </w:rPr>
        <w:t xml:space="preserve">EM_EXECUCAO</w:t>
      </w:r>
      <w:r>
        <w:rPr>
          <w:rFonts w:ascii="Arial" w:cs="Arial" w:eastAsia="Arial" w:hAnsi="Arial"/>
          <w:sz w:val="22"/>
          <w:szCs w:val="22"/>
        </w:rPr>
        <w:t xml:space="preserve"> → </w:t>
      </w:r>
      <w:r>
        <w:rPr>
          <w:rFonts w:ascii="Arial" w:cs="Arial" w:eastAsia="Arial" w:hAnsi="Arial"/>
          <w:b/>
          <w:bCs/>
          <w:sz w:val="22"/>
          <w:szCs w:val="22"/>
        </w:rPr>
        <w:t xml:space="preserve">FECHADA</w:t>
      </w:r>
      <w:r>
        <w:rPr>
          <w:rFonts w:ascii="Arial" w:cs="Arial" w:eastAsia="Arial" w:hAnsi="Arial"/>
          <w:sz w:val="22"/>
          <w:szCs w:val="22"/>
        </w:rPr>
        <w:t xml:space="preserve"> (após avaliação) ou </w:t>
      </w:r>
      <w:r>
        <w:rPr>
          <w:rFonts w:ascii="Arial" w:cs="Arial" w:eastAsia="Arial" w:hAnsi="Arial"/>
          <w:b/>
          <w:bCs/>
          <w:sz w:val="22"/>
          <w:szCs w:val="22"/>
        </w:rPr>
        <w:t xml:space="preserve">CANCELADA</w:t>
      </w:r>
      <w:r>
        <w:rPr>
          <w:rFonts w:ascii="Arial" w:cs="Arial" w:eastAsia="Arial" w:hAnsi="Arial"/>
          <w:sz w:val="22"/>
          <w:szCs w:val="22"/>
        </w:rPr>
        <w:t xml:space="preserve"> (por decisão administrativa). Cada transição é atômica e registrada no log de auditoria.</w:t>
      </w:r>
    </w:p>
    <w:p>
      <w:r>
        <w:br w:type="page"/>
      </w:r>
    </w:p>
    <w:p>
      <w:pPr>
        <w:pStyle w:val="Heading1"/>
        <w:spacing w:after="200" w:before="360"/>
      </w:pPr>
      <w:r>
        <w:t xml:space="preserve">4. Mapa de Testes e Qualidade</w:t>
      </w:r>
    </w:p>
    <w:p>
      <w:pPr>
        <w:pStyle w:val="Heading2"/>
        <w:spacing w:after="160" w:before="280"/>
      </w:pPr>
      <w:r>
        <w:t xml:space="preserve">4.1. Visão Geral da Bateria</w:t>
      </w:r>
    </w:p>
    <w:p>
      <w:pPr>
        <w:spacing w:after="160"/>
        <w:jc w:val="both"/>
      </w:pPr>
      <w:r>
        <w:rPr>
          <w:rFonts w:ascii="Arial" w:cs="Arial" w:eastAsia="Arial" w:hAnsi="Arial"/>
          <w:sz w:val="22"/>
          <w:szCs w:val="22"/>
        </w:rPr>
        <w:t xml:space="preserve">O sistema possui uma bateria oficial de testes automatizados com mais de 200 cenários, organizados em 5 blocos progressivos. A execução gera automaticamente um dashboard RESULTADO_QA com contadores em tempo real e exportação CSV.</w:t>
      </w:r>
    </w:p>
    <w:p>
      <w:pPr>
        <w:pStyle w:val="Heading2"/>
        <w:spacing w:after="160" w:before="280"/>
      </w:pPr>
      <w:r>
        <w:t xml:space="preserve">4.2. Blocos de Teste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Bloco</w:t>
            </w:r>
          </w:p>
        </w:tc>
        <w:tc>
          <w:tcPr>
            <w:tcW w:type="dxa" w:w="3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Nome</w:t>
            </w:r>
          </w:p>
        </w:tc>
        <w:tc>
          <w:tcPr>
            <w:tcW w:type="dxa" w:w="51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Objetivo</w:t>
            </w:r>
          </w:p>
        </w:tc>
      </w:tr>
      <w:tr>
        <w:tc>
          <w:tcPr>
            <w:tcW w:type="dxa" w:w="1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0</w:t>
            </w:r>
          </w:p>
        </w:tc>
        <w:tc>
          <w:tcPr>
            <w:tcW w:type="dxa" w:w="3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Preparação</w:t>
            </w:r>
          </w:p>
        </w:tc>
        <w:tc>
          <w:tcPr>
            <w:tcW w:type="dxa" w:w="51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Reset de dados transacionais, configuração de parâmetros canônicos, backup do período</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Cenário Literal</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Cadastro de entidades, empresas e verificação de integridade (sem duplicatas, status inicial correto)</w:t>
            </w:r>
          </w:p>
        </w:tc>
      </w:tr>
      <w:tr>
        <w:tc>
          <w:tcPr>
            <w:tcW w:type="dxa" w:w="1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Expansão</w:t>
            </w:r>
          </w:p>
        </w:tc>
        <w:tc>
          <w:tcPr>
            <w:tcW w:type="dxa" w:w="51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Credenciamento cruzado empresa×atividade, validação da matriz de credenciamento</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Regressão Técnica</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Verificação de bugs conhecidos, conformidade com killer rules, estabilidade de módulos</w:t>
            </w:r>
          </w:p>
        </w:tc>
      </w:tr>
      <w:tr>
        <w:tc>
          <w:tcPr>
            <w:tcW w:type="dxa" w:w="12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Combinatória</w:t>
            </w:r>
          </w:p>
        </w:tc>
        <w:tc>
          <w:tcPr>
            <w:tcW w:type="dxa" w:w="51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Fluxo completo Pré-OS → Aceite → OS → Avaliação, rodízio multi-empresa, gatilho de suspensão</w:t>
            </w:r>
          </w:p>
        </w:tc>
      </w:tr>
    </w:tbl>
    <w:p>
      <w:pPr>
        <w:spacing w:after="80"/>
      </w:pPr>
    </w:p>
    <w:p>
      <w:pPr>
        <w:pStyle w:val="Heading2"/>
        <w:spacing w:after="160" w:before="280"/>
      </w:pPr>
      <w:r>
        <w:t xml:space="preserve">4.3. Dashboard de Qualidade (RESULTADO_QA)</w:t>
      </w:r>
    </w:p>
    <w:p>
      <w:pPr>
        <w:spacing w:after="160"/>
        <w:jc w:val="both"/>
      </w:pPr>
      <w:r>
        <w:rPr>
          <w:rFonts w:ascii="Arial" w:cs="Arial" w:eastAsia="Arial" w:hAnsi="Arial"/>
          <w:sz w:val="22"/>
          <w:szCs w:val="22"/>
        </w:rPr>
        <w:t xml:space="preserve">Cada execução da bateria cria uma aba RESULTADO_QA com: título com versão e timestamp, botões de exportação CSV e re-execução, contadores horizontais (OK, FALHA, MANUAL, TOTAL), e formatação condicional automática: verde para testes aprovados, vermelho para falhas, amarelo para testes manuais assistidos.</w:t>
      </w:r>
    </w:p>
    <w:p>
      <w:pPr>
        <w:pStyle w:val="Heading2"/>
        <w:spacing w:after="160" w:before="280"/>
      </w:pPr>
      <w:r>
        <w:t xml:space="preserve">4.4. Categorias de Resultado</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OK</w:t>
      </w:r>
      <w:r>
        <w:rPr>
          <w:rFonts w:ascii="Arial" w:cs="Arial" w:eastAsia="Arial" w:hAnsi="Arial"/>
          <w:sz w:val="22"/>
          <w:szCs w:val="22"/>
        </w:rPr>
        <w:t xml:space="preserve">: teste passou em todas as verificações automatizadas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FALHA</w:t>
      </w:r>
      <w:r>
        <w:rPr>
          <w:rFonts w:ascii="Arial" w:cs="Arial" w:eastAsia="Arial" w:hAnsi="Arial"/>
          <w:sz w:val="22"/>
          <w:szCs w:val="22"/>
        </w:rPr>
        <w:t xml:space="preserve">: assertção violada — requer investigação e correção</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MANUAL_ASSISTIDO</w:t>
      </w:r>
      <w:r>
        <w:rPr>
          <w:rFonts w:ascii="Arial" w:cs="Arial" w:eastAsia="Arial" w:hAnsi="Arial"/>
          <w:sz w:val="22"/>
          <w:szCs w:val="22"/>
        </w:rPr>
        <w:t xml:space="preserve">: cenário que requer validação humana (UI, impressão, layout)</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INFO</w:t>
      </w:r>
      <w:r>
        <w:rPr>
          <w:rFonts w:ascii="Arial" w:cs="Arial" w:eastAsia="Arial" w:hAnsi="Arial"/>
          <w:sz w:val="22"/>
          <w:szCs w:val="22"/>
        </w:rPr>
        <w:t xml:space="preserve">: registro informativo sem impacto no resultado</w:t>
      </w:r>
    </w:p>
    <w:p>
      <w:r>
        <w:br w:type="page"/>
      </w:r>
    </w:p>
    <w:p>
      <w:pPr>
        <w:pStyle w:val="Heading1"/>
        <w:spacing w:after="200" w:before="360"/>
      </w:pPr>
      <w:r>
        <w:t xml:space="preserve">5. Política de Segurança e Compliance</w:t>
      </w:r>
    </w:p>
    <w:p>
      <w:pPr>
        <w:pBdr>
          <w:left w:val="single" w:color="E8782A" w:sz="12" w:space="8"/>
        </w:pBdr>
        <w:spacing w:after="200" w:before="200"/>
        <w:ind w:left="360"/>
      </w:pPr>
      <w:r>
        <w:rPr>
          <w:rFonts w:ascii="Arial" w:cs="Arial" w:eastAsia="Arial" w:hAnsi="Arial"/>
          <w:i/>
          <w:iCs/>
          <w:color w:val="333333"/>
          <w:sz w:val="22"/>
          <w:szCs w:val="22"/>
        </w:rPr>
        <w:t xml:space="preserve">A transparência e a auditabilidade são pilares fundamentais do sistema. Os municípios que utilizarem o sistema terão acesso integral ao código-fonte para validação por seus órgãos de controle.</w:t>
      </w:r>
    </w:p>
    <w:p>
      <w:pPr>
        <w:pStyle w:val="Heading2"/>
        <w:spacing w:after="160" w:before="280"/>
      </w:pPr>
      <w:r>
        <w:t xml:space="preserve">5.1. Trilha de Auditoria</w:t>
      </w:r>
    </w:p>
    <w:p>
      <w:pPr>
        <w:spacing w:after="160"/>
        <w:jc w:val="both"/>
      </w:pPr>
      <w:r>
        <w:rPr>
          <w:rFonts w:ascii="Arial" w:cs="Arial" w:eastAsia="Arial" w:hAnsi="Arial"/>
          <w:sz w:val="22"/>
          <w:szCs w:val="22"/>
        </w:rPr>
        <w:t xml:space="preserve">Todas as operações críticas são registradas automaticamente na aba AUDIT_LOG com 14 tipos de evento: cadastro de empresa, credenciamento, emissão de Pré-OS, recusa, expiração, conversão em OS, cancelamento de OS, avaliação, suspensão, reativação, entre outros. Cada registro inclui timestamp, usuário do Windows, tipo do evento, entidade afetada, identificador, estado anterior e estado posterior.</w:t>
      </w:r>
    </w:p>
    <w:p>
      <w:pPr>
        <w:pStyle w:val="Heading2"/>
        <w:spacing w:after="160" w:before="280"/>
      </w:pPr>
      <w:r>
        <w:t xml:space="preserve">5.2. Proteção de Dados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Proteção de abas</w:t>
      </w:r>
      <w:r>
        <w:rPr>
          <w:rFonts w:ascii="Arial" w:cs="Arial" w:eastAsia="Arial" w:hAnsi="Arial"/>
          <w:sz w:val="22"/>
          <w:szCs w:val="22"/>
        </w:rPr>
        <w:t xml:space="preserve">: todas as planilhas de dados são protegidas com senha, impedindo alterações manuais acidentais ou intencionais fora do sistema</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Soft delete</w:t>
      </w:r>
      <w:r>
        <w:rPr>
          <w:rFonts w:ascii="Arial" w:cs="Arial" w:eastAsia="Arial" w:hAnsi="Arial"/>
          <w:sz w:val="22"/>
          <w:szCs w:val="22"/>
        </w:rPr>
        <w:t xml:space="preserve">: nenhum registro é excluído fisicamente; desativações usam flag de status, preservando o histórico completo</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Desbloqueio controlado</w:t>
      </w:r>
      <w:r>
        <w:rPr>
          <w:rFonts w:ascii="Arial" w:cs="Arial" w:eastAsia="Arial" w:hAnsi="Arial"/>
          <w:sz w:val="22"/>
          <w:szCs w:val="22"/>
        </w:rPr>
        <w:t xml:space="preserve">: o sistema desprotege a aba temporariamente apenas durante operações de escrita, reprotegendo imediatamente após a conclusão</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Configuração bloqueada</w:t>
      </w:r>
      <w:r>
        <w:rPr>
          <w:rFonts w:ascii="Arial" w:cs="Arial" w:eastAsia="Arial" w:hAnsi="Arial"/>
          <w:sz w:val="22"/>
          <w:szCs w:val="22"/>
        </w:rPr>
        <w:t xml:space="preserve">: a aba CONFIG é protegida após a configuração inicial, evitando alterações indevidas nos parâmetros do rodízio</w:t>
      </w:r>
    </w:p>
    <w:p>
      <w:pPr>
        <w:pStyle w:val="Heading2"/>
        <w:spacing w:after="160" w:before="280"/>
      </w:pPr>
      <w:r>
        <w:t xml:space="preserve">5.3. Validações e Integridade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CNPJ/CPF</w:t>
      </w:r>
      <w:r>
        <w:rPr>
          <w:rFonts w:ascii="Arial" w:cs="Arial" w:eastAsia="Arial" w:hAnsi="Arial"/>
          <w:sz w:val="22"/>
          <w:szCs w:val="22"/>
        </w:rPr>
        <w:t xml:space="preserve">: validação de dígitos verificadores no momento do cadastro</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Anti-duplicidade</w:t>
      </w:r>
      <w:r>
        <w:rPr>
          <w:rFonts w:ascii="Arial" w:cs="Arial" w:eastAsia="Arial" w:hAnsi="Arial"/>
          <w:sz w:val="22"/>
          <w:szCs w:val="22"/>
        </w:rPr>
        <w:t xml:space="preserve">: o sistema impede cadastro de empresas com CNPJ já existente e credenciamentos duplicados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Consistência referencial</w:t>
      </w:r>
      <w:r>
        <w:rPr>
          <w:rFonts w:ascii="Arial" w:cs="Arial" w:eastAsia="Arial" w:hAnsi="Arial"/>
          <w:sz w:val="22"/>
          <w:szCs w:val="22"/>
        </w:rPr>
        <w:t xml:space="preserve">: Pré-OS, OS e Avaliações mantêm referência íntegra a empresas, entidades e atividades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Validação em camadas</w:t>
      </w:r>
      <w:r>
        <w:rPr>
          <w:rFonts w:ascii="Arial" w:cs="Arial" w:eastAsia="Arial" w:hAnsi="Arial"/>
          <w:sz w:val="22"/>
          <w:szCs w:val="22"/>
        </w:rPr>
        <w:t xml:space="preserve">: formulários validam entrada do usuário, camada de serviço valida regras de negócio, camada de repositório valida integridade de dados</w:t>
      </w:r>
    </w:p>
    <w:p>
      <w:pPr>
        <w:pStyle w:val="Heading2"/>
        <w:spacing w:after="160" w:before="280"/>
      </w:pPr>
      <w:r>
        <w:t xml:space="preserve">5.4. Código Aberto e Auditoria Municipal</w:t>
      </w:r>
    </w:p>
    <w:p>
      <w:pPr>
        <w:spacing w:after="160"/>
        <w:jc w:val="both"/>
      </w:pPr>
      <w:r>
        <w:rPr>
          <w:rFonts w:ascii="Arial" w:cs="Arial" w:eastAsia="Arial" w:hAnsi="Arial"/>
          <w:sz w:val="22"/>
          <w:szCs w:val="22"/>
        </w:rPr>
        <w:t xml:space="preserve">O repositório do sistema é público no GitHub. Todo município que adotar o sistema receberá acesso completo ao código-fonte VBA, permitindo que a controladoria municipal, o Tribunal de Contas ou auditorias externas verifiquem a igualdade e imparcialidade do algoritmo de rodízio. Esta transparência é fundamental para a confiança pública no processo de contratação.</w:t>
      </w:r>
    </w:p>
    <w:p>
      <w:pPr>
        <w:pStyle w:val="Heading2"/>
        <w:spacing w:after="160" w:before="280"/>
      </w:pPr>
      <w:r>
        <w:t xml:space="preserve">5.5. Tratamento de Erros</w:t>
      </w:r>
    </w:p>
    <w:p>
      <w:pPr>
        <w:spacing w:after="160"/>
        <w:jc w:val="both"/>
      </w:pPr>
      <w:r>
        <w:rPr>
          <w:rFonts w:ascii="Arial" w:cs="Arial" w:eastAsia="Arial" w:hAnsi="Arial"/>
          <w:sz w:val="22"/>
          <w:szCs w:val="22"/>
        </w:rPr>
        <w:t xml:space="preserve">O sistema implementa um ErrorBoundary centralizado que captura exceções em qualquer camada, registra stack trace completo e apresenta mensagens amigáveis ao usuário. Nenhuma operação crítica utiliza On Error Resume Next silencioso: todas as exceções são tratadas explicitamente.</w:t>
      </w:r>
    </w:p>
    <w:p>
      <w:r>
        <w:br w:type="page"/>
      </w:r>
    </w:p>
    <w:p>
      <w:pPr>
        <w:pStyle w:val="Heading1"/>
        <w:spacing w:after="200" w:before="360"/>
      </w:pPr>
      <w:r>
        <w:t xml:space="preserve">6. Arquitetura Técnica</w:t>
      </w:r>
    </w:p>
    <w:p>
      <w:pPr>
        <w:pStyle w:val="Heading2"/>
        <w:spacing w:after="160" w:before="280"/>
      </w:pPr>
      <w:r>
        <w:t xml:space="preserve">6.1. Organização dos Módulos</w:t>
      </w:r>
    </w:p>
    <w:p>
      <w:pPr>
        <w:spacing w:after="160"/>
        <w:jc w:val="both"/>
      </w:pPr>
      <w:r>
        <w:rPr>
          <w:rFonts w:ascii="Arial" w:cs="Arial" w:eastAsia="Arial" w:hAnsi="Arial"/>
          <w:sz w:val="22"/>
          <w:szCs w:val="22"/>
        </w:rPr>
        <w:t xml:space="preserve">O sistema é composto por 28 módulos VBA e 13 formulários, totalizando aproximadamente 8.500 linhas de código, organizados em quatro camadas: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Camada</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Módulos</w:t>
            </w:r>
          </w:p>
        </w:tc>
        <w:tc>
          <w:tcPr>
            <w:tcW w:type="dxa" w:w="4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Responsabilidade</w:t>
            </w:r>
          </w:p>
        </w:tc>
      </w:tr>
      <w:tr>
        <w:tc>
          <w:tcPr>
            <w:tcW w:type="dxa" w:w="2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Infraestrutura</w:t>
            </w:r>
          </w:p>
        </w:tc>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7 módulos</w:t>
            </w:r>
          </w:p>
        </w:tc>
        <w:tc>
          <w:tcPr>
            <w:tcW w:type="dxa" w:w="47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Tipos, constantes, conversões, configuração, auditoria, erros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Serviços de Negócio</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4 módulos</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Rodízio, Pré-OS, OS, Avaliação</w:t>
            </w:r>
          </w:p>
        </w:tc>
      </w:tr>
      <w:tr>
        <w:tc>
          <w:tcPr>
            <w:tcW w:type="dxa" w:w="26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Acesso a Dados</w:t>
            </w:r>
          </w:p>
        </w:tc>
        <w:tc>
          <w:tcPr>
            <w:tcW w:type="dxa" w:w="2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5 módulos</w:t>
            </w:r>
          </w:p>
        </w:tc>
        <w:tc>
          <w:tcPr>
            <w:tcW w:type="dxa" w:w="47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CRUD de Empresa, Credenciamento, Pré-OS, OS, Avaliação</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Interface e Testes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12+ módulos</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Formulários, bateria de testes, relatórios</w:t>
            </w:r>
          </w:p>
        </w:tc>
      </w:tr>
    </w:tbl>
    <w:p>
      <w:pPr>
        <w:spacing w:after="80"/>
      </w:pPr>
    </w:p>
    <w:p>
      <w:pPr>
        <w:pStyle w:val="Heading2"/>
        <w:spacing w:after="160" w:before="280"/>
      </w:pPr>
      <w:r>
        <w:t xml:space="preserve">6.2. Modelo de Dados</w:t>
      </w:r>
    </w:p>
    <w:p>
      <w:pPr>
        <w:spacing w:after="160"/>
        <w:jc w:val="both"/>
      </w:pPr>
      <w:r>
        <w:rPr>
          <w:rFonts w:ascii="Arial" w:cs="Arial" w:eastAsia="Arial" w:hAnsi="Arial"/>
          <w:sz w:val="22"/>
          <w:szCs w:val="22"/>
        </w:rPr>
        <w:t xml:space="preserve">O sistema utiliza 9 abas principais no Excel como tabelas persistentes: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Aba</w:t>
            </w:r>
          </w:p>
        </w:tc>
        <w:tc>
          <w:tcPr>
            <w:tcW w:type="dxa" w:w="69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Conteúdo</w:t>
            </w:r>
          </w:p>
        </w:tc>
      </w:tr>
      <w:tr>
        <w:tc>
          <w:tcPr>
            <w:tcW w:type="dxa" w:w="2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Empresa</w:t>
            </w:r>
          </w:p>
        </w:tc>
        <w:tc>
          <w:tcPr>
            <w:tcW w:type="dxa" w:w="69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Cadastro de empresas prestadoras (CNPJ, razão social, status, recusas, suspensão)</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Entidade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Unidades organizacionais que demandam serviços</w:t>
            </w:r>
          </w:p>
        </w:tc>
      </w:tr>
      <w:tr>
        <w:tc>
          <w:tcPr>
            <w:tcW w:type="dxa" w:w="2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Atividades</w:t>
            </w:r>
          </w:p>
        </w:tc>
        <w:tc>
          <w:tcPr>
            <w:tcW w:type="dxa" w:w="69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Classificações CNAE de serviços disponíveis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Credenciados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Matriz de vinculação empresa×atividade com posição na fila</w:t>
            </w:r>
          </w:p>
        </w:tc>
      </w:tr>
      <w:tr>
        <w:tc>
          <w:tcPr>
            <w:tcW w:type="dxa" w:w="2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PRE_OS</w:t>
            </w:r>
          </w:p>
        </w:tc>
        <w:tc>
          <w:tcPr>
            <w:tcW w:type="dxa" w:w="69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Pré-ordens de serviço geradas pelo rodízio</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CAD_OS</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Ordens de serviço aceitas e em execução</w:t>
            </w:r>
          </w:p>
        </w:tc>
      </w:tr>
      <w:tr>
        <w:tc>
          <w:tcPr>
            <w:tcW w:type="dxa" w:w="2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CAD_AVALIACAO</w:t>
            </w:r>
          </w:p>
        </w:tc>
        <w:tc>
          <w:tcPr>
            <w:tcW w:type="dxa" w:w="69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Avaliações pós-serviço com 10 critérios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CONFIG</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Parâmetros do sistema (protegida após configuração)</w:t>
            </w:r>
          </w:p>
        </w:tc>
      </w:tr>
      <w:tr>
        <w:tc>
          <w:tcPr>
            <w:tcW w:type="dxa" w:w="24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AUDIT_LOG</w:t>
            </w:r>
          </w:p>
        </w:tc>
        <w:tc>
          <w:tcPr>
            <w:tcW w:type="dxa" w:w="69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Trilha de auditoria com 14 tipos de evento</w:t>
            </w:r>
          </w:p>
        </w:tc>
      </w:tr>
    </w:tbl>
    <w:p>
      <w:pPr>
        <w:spacing w:after="80"/>
      </w:pPr>
    </w:p>
    <w:p>
      <w:pPr>
        <w:pStyle w:val="Heading2"/>
        <w:spacing w:after="160" w:before="280"/>
      </w:pPr>
      <w:r>
        <w:t xml:space="preserve">6.3. Sistema de Tipos</w:t>
      </w:r>
    </w:p>
    <w:p>
      <w:pPr>
        <w:spacing w:after="160"/>
        <w:jc w:val="both"/>
      </w:pPr>
      <w:r>
        <w:rPr>
          <w:rFonts w:ascii="Arial" w:cs="Arial" w:eastAsia="Arial" w:hAnsi="Arial"/>
          <w:sz w:val="22"/>
          <w:szCs w:val="22"/>
        </w:rPr>
        <w:t xml:space="preserve">O VBA utiliza 12 tipos públicos (Public Type) que representam as entidades do domínio: TResult, TEmpresa, TCredenciamento, TPreOS, TOS, TAvaliacao, TConfig, entre outros. Esta tipagem forte previne erros de manipulação de dados e facilita a manutenção do código.</w:t>
      </w:r>
    </w:p>
    <w:p>
      <w:pPr>
        <w:pStyle w:val="Heading2"/>
        <w:spacing w:after="160" w:before="280"/>
      </w:pPr>
      <w:r>
        <w:t xml:space="preserve">6.4. Controle de Versão</w:t>
      </w:r>
    </w:p>
    <w:p>
      <w:pPr>
        <w:spacing w:after="160"/>
        <w:jc w:val="both"/>
      </w:pPr>
      <w:r>
        <w:rPr>
          <w:rFonts w:ascii="Arial" w:cs="Arial" w:eastAsia="Arial" w:hAnsi="Arial"/>
          <w:sz w:val="22"/>
          <w:szCs w:val="22"/>
        </w:rPr>
        <w:t xml:space="preserve">O sistema adota o padrão de versionamento V{major}.{minor}.{iteration} (ex: V12.0.0150). A pasta vba_export/ é a fonte de verdade, e vba_import/ é o artefato de deploy gerado automaticamente. O repositório GitHub mantém histórico completo de todas as iterações, com release notes documentadas em Obsidian Vault.</w:t>
      </w:r>
    </w:p>
    <w:p>
      <w:r>
        <w:br w:type="page"/>
      </w:r>
    </w:p>
    <w:p>
      <w:pPr>
        <w:pStyle w:val="Heading1"/>
        <w:spacing w:after="200" w:before="360"/>
      </w:pPr>
      <w:r>
        <w:t xml:space="preserve">7. Roadmap de Evolução</w:t>
      </w:r>
    </w:p>
    <w:p>
      <w:pPr>
        <w:pStyle w:val="Heading2"/>
        <w:spacing w:after="160" w:before="280"/>
      </w:pPr>
      <w:r>
        <w:t xml:space="preserve">7.1. Planilha (Manutenção Contínua)</w:t>
      </w:r>
    </w:p>
    <w:p>
      <w:pPr>
        <w:pStyle w:val="ListParagraph"/>
        <w:numPr>
          <w:ilvl w:val="0"/>
          <w:numId w:val="2"/>
        </w:numPr>
        <w:spacing w:after="80"/>
      </w:pPr>
      <w:r>
        <w:rPr>
          <w:rFonts w:ascii="Arial" w:cs="Arial" w:eastAsia="Arial" w:hAnsi="Arial"/>
          <w:sz w:val="22"/>
          <w:szCs w:val="22"/>
        </w:rPr>
        <w:t xml:space="preserve">Aprimoramento da bateria de testes (meta: 300+ cenários)</w:t>
      </w:r>
    </w:p>
    <w:p>
      <w:pPr>
        <w:pStyle w:val="ListParagraph"/>
        <w:numPr>
          <w:ilvl w:val="0"/>
          <w:numId w:val="2"/>
        </w:numPr>
        <w:spacing w:after="80"/>
      </w:pPr>
      <w:r>
        <w:rPr>
          <w:rFonts w:ascii="Arial" w:cs="Arial" w:eastAsia="Arial" w:hAnsi="Arial"/>
          <w:sz w:val="22"/>
          <w:szCs w:val="22"/>
        </w:rPr>
        <w:t xml:space="preserve">Novos relatórios gerenciais e exportação para PDF</w:t>
      </w:r>
    </w:p>
    <w:p>
      <w:pPr>
        <w:pStyle w:val="ListParagraph"/>
        <w:numPr>
          <w:ilvl w:val="0"/>
          <w:numId w:val="2"/>
        </w:numPr>
        <w:spacing w:after="80"/>
      </w:pPr>
      <w:r>
        <w:rPr>
          <w:rFonts w:ascii="Arial" w:cs="Arial" w:eastAsia="Arial" w:hAnsi="Arial"/>
          <w:sz w:val="22"/>
          <w:szCs w:val="22"/>
        </w:rPr>
        <w:t xml:space="preserve">Assistente de configuração inicial com wizard passo a passo</w:t>
      </w:r>
    </w:p>
    <w:p>
      <w:pPr>
        <w:pStyle w:val="ListParagraph"/>
        <w:numPr>
          <w:ilvl w:val="0"/>
          <w:numId w:val="2"/>
        </w:numPr>
        <w:spacing w:after="80"/>
      </w:pPr>
      <w:r>
        <w:rPr>
          <w:rFonts w:ascii="Arial" w:cs="Arial" w:eastAsia="Arial" w:hAnsi="Arial"/>
          <w:sz w:val="22"/>
          <w:szCs w:val="22"/>
        </w:rPr>
        <w:t xml:space="preserve">Suporte a importação de dados de sistemas municipais existentes</w:t>
      </w:r>
    </w:p>
    <w:p>
      <w:pPr>
        <w:pStyle w:val="ListParagraph"/>
        <w:numPr>
          <w:ilvl w:val="0"/>
          <w:numId w:val="2"/>
        </w:numPr>
        <w:spacing w:after="80"/>
      </w:pPr>
      <w:r>
        <w:rPr>
          <w:rFonts w:ascii="Arial" w:cs="Arial" w:eastAsia="Arial" w:hAnsi="Arial"/>
          <w:sz w:val="22"/>
          <w:szCs w:val="22"/>
        </w:rPr>
        <w:t xml:space="preserve">Documentação integrada com manual do usuário</w:t>
      </w:r>
    </w:p>
    <w:p>
      <w:pPr>
        <w:pStyle w:val="Heading2"/>
        <w:spacing w:after="160" w:before="280"/>
      </w:pPr>
      <w:r>
        <w:t xml:space="preserve">7.2. SaaS (Em Implementação)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w:t>
            </w:r>
          </w:p>
        </w:tc>
        <w:tc>
          <w:tcPr>
            <w:tcW w:type="dxa" w:w="3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Período</w:t>
            </w:r>
          </w:p>
        </w:tc>
        <w:tc>
          <w:tcPr>
            <w:tcW w:type="dxa" w:w="4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Entregas</w:t>
            </w:r>
          </w:p>
        </w:tc>
      </w:tr>
      <w:tr>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Fase 1</w:t>
            </w:r>
          </w:p>
        </w:tc>
        <w:tc>
          <w:tcPr>
            <w:tcW w:type="dxa" w:w="3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Q2 2026</w:t>
            </w:r>
          </w:p>
        </w:tc>
        <w:tc>
          <w:tcPr>
            <w:tcW w:type="dxa" w:w="4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Autenticação multi-tenant, APIs de importação/exportação, dashboard básico</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Fase 2</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Q3 2026</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Interface web completa, CNAE auto-import, busca avançada, notificações</w:t>
            </w:r>
          </w:p>
        </w:tc>
      </w:tr>
      <w:tr>
        <w:tc>
          <w:tcPr>
            <w:tcW w:type="dxa" w:w="1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Fase 3</w:t>
            </w:r>
          </w:p>
        </w:tc>
        <w:tc>
          <w:tcPr>
            <w:tcW w:type="dxa" w:w="30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Q4 2026</w:t>
            </w:r>
          </w:p>
        </w:tc>
        <w:tc>
          <w:tcPr>
            <w:tcW w:type="dxa" w:w="4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Relatórios PDF dinâmicos, integração com ERPs, webhooks, app móvel</w:t>
            </w:r>
          </w:p>
        </w:tc>
      </w:tr>
    </w:tbl>
    <w:p>
      <w:pPr>
        <w:spacing w:after="80"/>
      </w:pPr>
    </w:p>
    <w:p>
      <w:pPr>
        <w:pStyle w:val="Heading2"/>
        <w:spacing w:after="160" w:before="280"/>
      </w:pPr>
      <w:r>
        <w:t xml:space="preserve">7.3. Sincronização Bidirecional</w:t>
      </w:r>
    </w:p>
    <w:p>
      <w:pPr>
        <w:spacing w:after="160"/>
        <w:jc w:val="both"/>
      </w:pPr>
      <w:r>
        <w:rPr>
          <w:rFonts w:ascii="Arial" w:cs="Arial" w:eastAsia="Arial" w:hAnsi="Arial"/>
          <w:sz w:val="22"/>
          <w:szCs w:val="22"/>
        </w:rPr>
        <w:t xml:space="preserve">O ecossistema prevê sincronização bidirecional entre planilha e SaaS via API JSON, permitindo que municípios operem em ambos os ambientes durante o período de transição. As regras de negócio são idênticas nos dois ambientes, garantindo consistência de resultados independentemente da plataforma utilizada.</w:t>
      </w:r>
    </w:p>
    <w:p>
      <w:r>
        <w:br w:type="page"/>
      </w:r>
    </w:p>
    <w:p>
      <w:pPr>
        <w:pStyle w:val="Heading1"/>
        <w:spacing w:after="200" w:before="360"/>
      </w:pPr>
      <w:r>
        <w:t xml:space="preserve">8. Fundamentação na Metodologia Sebrae</w:t>
      </w:r>
    </w:p>
    <w:p>
      <w:pPr>
        <w:spacing w:after="160"/>
        <w:jc w:val="both"/>
      </w:pPr>
      <w:r>
        <w:rPr>
          <w:rFonts w:ascii="Arial" w:cs="Arial" w:eastAsia="Arial" w:hAnsi="Arial"/>
          <w:sz w:val="22"/>
          <w:szCs w:val="22"/>
        </w:rPr>
        <w:t xml:space="preserve">O sistema implementa a metodologia do Sebrae para gestão de pequenos reparos em municípios, que estabelece o rodízio equitativo como mecanismo de distribuição de serviços entre microempreendedores individuais (MEIs) e empresas de pequeno porte credenciadas.</w:t>
      </w:r>
    </w:p>
    <w:p>
      <w:pPr>
        <w:spacing w:after="160"/>
        <w:jc w:val="both"/>
      </w:pPr>
      <w:r>
        <w:rPr>
          <w:rFonts w:ascii="Arial" w:cs="Arial" w:eastAsia="Arial" w:hAnsi="Arial"/>
          <w:sz w:val="22"/>
          <w:szCs w:val="22"/>
        </w:rPr>
        <w:t xml:space="preserve">Os princípios fundamentais da metodologia são: equidade na distribuição (toda empresa credenciada tem oportunidade igual de receber indicações), transparência no processo (qualquer cidadão pode verificar como as empresas foram selecionadas), meritocracia via avaliação (empresas com desempenho insatisfatório são temporariamente afastadas), e inclusão produtiva (o sistema facilita a formalização e a participação de MEIs na economia local).</w:t>
      </w:r>
    </w:p>
    <w:p>
      <w:pPr>
        <w:spacing w:after="160"/>
        <w:jc w:val="both"/>
      </w:pPr>
      <w:r>
        <w:rPr>
          <w:rFonts w:ascii="Arial" w:cs="Arial" w:eastAsia="Arial" w:hAnsi="Arial"/>
          <w:sz w:val="22"/>
          <w:szCs w:val="22"/>
        </w:rPr>
        <w:t xml:space="preserve">A planilha traduz esses princípios em lógica computacional verificavel, servindo como instrumento de governança e como prova documental de conformidade com as diretrizes da metodologia.</w:t>
      </w:r>
    </w:p>
    <w:p>
      <w:r>
        <w:br w:type="page"/>
      </w:r>
    </w:p>
    <w:p>
      <w:pPr>
        <w:pStyle w:val="Heading1"/>
        <w:spacing w:after="200" w:before="360"/>
      </w:pPr>
      <w:r>
        <w:t xml:space="preserve">9. Glossário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Termo</w:t>
            </w:r>
          </w:p>
        </w:tc>
        <w:tc>
          <w:tcPr>
            <w:tcW w:type="dxa" w:w="6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Definição</w:t>
            </w:r>
          </w:p>
        </w:tc>
      </w:tr>
      <w:tr>
        <w:tc>
          <w:tcPr>
            <w:tcW w:type="dxa" w:w="2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Rodízio</w:t>
            </w:r>
          </w:p>
        </w:tc>
        <w:tc>
          <w:tcPr>
            <w:tcW w:type="dxa" w:w="6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Mecanismo de distribuição equitativa de ordens de serviço entre empresas credenciadas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Credenciamento</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Vinculação formal de uma empresa a uma ou mais atividades de serviço</w:t>
            </w:r>
          </w:p>
        </w:tc>
      </w:tr>
      <w:tr>
        <w:tc>
          <w:tcPr>
            <w:tcW w:type="dxa" w:w="2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Pré-OS</w:t>
            </w:r>
          </w:p>
        </w:tc>
        <w:tc>
          <w:tcPr>
            <w:tcW w:type="dxa" w:w="6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Pré-Ordem de Serviço: indicação gerada pelo rodízio, pendente de aceite pela empresa</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Ordem de Serviço: gerada após aceite da Pré-OS pela empresa indicada</w:t>
            </w:r>
          </w:p>
        </w:tc>
      </w:tr>
      <w:tr>
        <w:tc>
          <w:tcPr>
            <w:tcW w:type="dxa" w:w="2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MEI</w:t>
            </w:r>
          </w:p>
        </w:tc>
        <w:tc>
          <w:tcPr>
            <w:tcW w:type="dxa" w:w="6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Microempreendedor Individual: empresa de pequeno porte que pode ser credenciada</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CNAE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Classificação Nacional de Atividades Econômicas: categoriza os serviços oferecidos</w:t>
            </w:r>
          </w:p>
        </w:tc>
      </w:tr>
      <w:tr>
        <w:tc>
          <w:tcPr>
            <w:tcW w:type="dxa" w:w="2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Entidade</w:t>
            </w:r>
          </w:p>
        </w:tc>
        <w:tc>
          <w:tcPr>
            <w:tcW w:type="dxa" w:w="6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Unidade organizacional (escola, posto de saúde etc.) que solicita serviços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SaaS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Software as a Service: plataforma web em implementação para evolução do sistema</w:t>
            </w:r>
          </w:p>
        </w:tc>
      </w:tr>
      <w:tr>
        <w:tc>
          <w:tcPr>
            <w:tcW w:type="dxa" w:w="280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Tenant</w:t>
            </w:r>
          </w:p>
        </w:tc>
        <w:tc>
          <w:tcPr>
            <w:tcW w:type="dxa" w:w="6560"/>
            <w:tcBorders>
              <w:top w:val="single" w:color="BBBBBB" w:sz="1"/>
              <w:left w:val="single" w:color="BBBBBB" w:sz="1"/>
              <w:bottom w:val="single" w:color="BBBBBB" w:sz="1"/>
              <w:right w:val="single" w:color="BBBBBB" w:sz="1"/>
            </w:tcBorders>
            <w:shd w:fill="EBF3F9" w:val="clear"/>
            <w:tcMar>
              <w:top w:type="dxa" w:w="80"/>
              <w:left w:type="dxa" w:w="120"/>
              <w:bottom w:type="dxa" w:w="80"/>
              <w:right w:type="dxa" w:w="120"/>
            </w:tcMar>
          </w:tcPr>
          <w:p>
            <w:r>
              <w:rPr>
                <w:rFonts w:ascii="Arial" w:cs="Arial" w:eastAsia="Arial" w:hAnsi="Arial"/>
                <w:sz w:val="20"/>
                <w:szCs w:val="20"/>
              </w:rPr>
              <w:t xml:space="preserve">Inquilino: cada município opera em ambiente isolado dentro do SaaS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AUDIT_LOG</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Aba de registro automático de todas as operações críticas do sistema</w:t>
            </w:r>
          </w:p>
        </w:tc>
      </w:tr>
    </w:tbl>
    <w:p>
      <w:pPr>
        <w:spacing w:after="80"/>
      </w:pPr>
    </w:p>
    <w:p>
      <w:pPr>
        <w:spacing w:after="80"/>
      </w:pPr>
    </w:p>
    <w:p>
      <w:pPr>
        <w:pBdr>
          <w:top w:val="single" w:color="2E75B6" w:sz="4" w:space="12"/>
        </w:pBdr>
        <w:spacing w:before="400"/>
        <w:jc w:val="center"/>
      </w:pPr>
      <w:r>
        <w:rPr>
          <w:rFonts w:ascii="Arial" w:cs="Arial" w:eastAsia="Arial" w:hAnsi="Arial"/>
          <w:i/>
          <w:iCs/>
          <w:color w:val="888888"/>
          <w:sz w:val="20"/>
          <w:szCs w:val="20"/>
        </w:rPr>
        <w:t xml:space="preserve">Documento de Visão — Sistema de Credenciamento de Prestadores</w:t>
      </w:r>
      <w:r>
        <w:rPr>
          <w:rFonts w:ascii="Arial" w:cs="Arial" w:eastAsia="Arial" w:hAnsi="Arial"/>
          <w:color w:val="AAAAAA"/>
          <w:sz w:val="18"/>
          <w:szCs w:val="18"/>
        </w:rPr>
        <w:br/>
        <w:t xml:space="preserve">
Autor: Luís Maurício Junqueira Zanin  |  Abril 2026  |  V12.0.0150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Documento de Visão — Sistema de Credenciamento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2026-04-13T11:37:40.817Z</dcterms:created>
  <dcterms:modified xsi:type="dcterms:W3CDTF">2026-04-13T11:37:40.817Z</dcterms:modified>
</cp:coreProperties>
</file>

<file path=docProps/custom.xml><?xml version="1.0" encoding="utf-8"?>
<Properties xmlns="http://schemas.openxmlformats.org/officeDocument/2006/custom-properties" xmlns:vt="http://schemas.openxmlformats.org/officeDocument/2006/docPropsVTypes"/>
</file>