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jc w:val="center"/>
      </w:pPr>
      <w:r>
        <w:rPr>
          <w:rFonts w:ascii="Arial" w:cs="Arial" w:eastAsia="Arial" w:hAnsi="Arial"/>
          <w:b/>
          <w:bCs/>
          <w:color w:val="595959"/>
          <w:sz w:val="24"/>
          <w:szCs w:val="24"/>
        </w:rPr>
        <w:t xml:space="preserve">DOCUMENTO INSTITUCIONAL</w:t>
      </w:r>
    </w:p>
    <w:p>
      <w:pPr>
        <w:spacing w:after="400" w:before="80"/>
        <w:jc w:val="center"/>
      </w:pPr>
      <w:r>
        <w:rPr>
          <w:rFonts w:ascii="Arial" w:cs="Arial" w:eastAsia="Arial" w:hAnsi="Arial"/>
          <w:b/>
          <w:bCs/>
          <w:color w:val="595959"/>
          <w:sz w:val="24"/>
          <w:szCs w:val="24"/>
        </w:rPr>
        <w:t xml:space="preserve">LICENÇA DE USO E GOVERNANÇA DE SOFTWARE</w:t>
      </w:r>
    </w:p>
    <w:p>
      <w:pPr>
        <w:spacing w:after="200" w:before="0"/>
        <w:jc w:val="center"/>
      </w:pPr>
      <w:r>
        <w:rPr>
          <w:rFonts w:ascii="Arial" w:cs="Arial" w:eastAsia="Arial" w:hAnsi="Arial"/>
          <w:b/>
          <w:bCs/>
          <w:color w:val="1F3864"/>
          <w:sz w:val="56"/>
          <w:szCs w:val="56"/>
        </w:rPr>
        <w:t xml:space="preserve">Transparent Public Governance License (TPGL)</w:t>
      </w:r>
    </w:p>
    <w:p>
      <w:pPr>
        <w:spacing w:after="400" w:before="0"/>
        <w:jc w:val="center"/>
      </w:pPr>
      <w:r>
        <w:rPr>
          <w:rFonts w:ascii="Arial" w:cs="Arial" w:eastAsia="Arial" w:hAnsi="Arial"/>
          <w:b/>
          <w:bCs/>
          <w:color w:val="1F3864"/>
          <w:sz w:val="72"/>
          <w:szCs w:val="72"/>
        </w:rPr>
        <w:t xml:space="preserve">TPGL v1.1</w:t>
      </w:r>
    </w:p>
    <w:p>
      <w:pPr>
        <w:pBdr>
          <w:top w:val="single" w:color="2E75B6" w:sz="12" w:space="8"/>
        </w:pBdr>
        <w:spacing w:after="400" w:before="120"/>
        <w:jc w:val="center"/>
      </w:pPr>
      <w:r>
        <w:rPr>
          <w:rFonts w:ascii="Arial" w:cs="Arial" w:eastAsia="Arial" w:hAnsi="Arial"/>
          <w:sz w:val="12"/>
          <w:szCs w:val="12"/>
        </w:rPr>
        <w:t xml:space="preserve"> </w:t>
      </w:r>
    </w:p>
    <w:p>
      <w:pPr>
        <w:spacing w:after="120" w:before="200"/>
        <w:jc w:val="center"/>
      </w:pPr>
      <w:r>
        <w:rPr>
          <w:rFonts w:ascii="Arial" w:cs="Arial" w:eastAsia="Arial" w:hAnsi="Arial"/>
          <w:color w:val="595959"/>
          <w:sz w:val="24"/>
          <w:szCs w:val="24"/>
        </w:rPr>
        <w:t xml:space="preserve">Licença source-available de interesse público,</w:t>
      </w:r>
    </w:p>
    <w:p>
      <w:pPr>
        <w:spacing w:after="120" w:before="0"/>
        <w:jc w:val="center"/>
      </w:pPr>
      <w:r>
        <w:rPr>
          <w:rFonts w:ascii="Arial" w:cs="Arial" w:eastAsia="Arial" w:hAnsi="Arial"/>
          <w:color w:val="595959"/>
          <w:sz w:val="24"/>
          <w:szCs w:val="24"/>
        </w:rPr>
        <w:t xml:space="preserve">com conversão automática para Apache License 2.0</w:t>
      </w:r>
    </w:p>
    <w:p>
      <w:pPr>
        <w:spacing w:after="400" w:before="0"/>
        <w:jc w:val="center"/>
      </w:pPr>
      <w:r>
        <w:rPr>
          <w:rFonts w:ascii="Arial" w:cs="Arial" w:eastAsia="Arial" w:hAnsi="Arial"/>
          <w:color w:val="595959"/>
          <w:sz w:val="24"/>
          <w:szCs w:val="24"/>
        </w:rPr>
        <w:t xml:space="preserve">após 4 anos de cada publicação de versão.</w:t>
      </w:r>
    </w:p>
    <w:p>
      <w:pPr>
        <w:spacing w:after="80" w:before="2400"/>
        <w:jc w:val="center"/>
      </w:pPr>
      <w:r>
        <w:rPr>
          <w:rFonts w:ascii="Arial" w:cs="Arial" w:eastAsia="Arial" w:hAnsi="Arial"/>
          <w:b/>
          <w:bCs/>
          <w:color w:val="000000"/>
          <w:sz w:val="26"/>
          <w:szCs w:val="26"/>
        </w:rPr>
        <w:t xml:space="preserve">Versão 1.1</w:t>
      </w:r>
    </w:p>
    <w:p>
      <w:pPr>
        <w:spacing w:after="80" w:before="0"/>
        <w:jc w:val="center"/>
      </w:pPr>
      <w:r>
        <w:rPr>
          <w:rFonts w:ascii="Arial" w:cs="Arial" w:eastAsia="Arial" w:hAnsi="Arial"/>
          <w:color w:val="000000"/>
          <w:sz w:val="22"/>
          <w:szCs w:val="22"/>
        </w:rPr>
        <w:t xml:space="preserve">20 de abril de 2026</w:t>
      </w:r>
    </w:p>
    <w:p>
      <w:pPr>
        <w:spacing w:after="80" w:before="0"/>
        <w:jc w:val="center"/>
      </w:pPr>
      <w:r>
        <w:rPr>
          <w:rFonts w:ascii="Arial" w:cs="Arial" w:eastAsia="Arial" w:hAnsi="Arial"/>
          <w:color w:val="000000"/>
          <w:sz w:val="22"/>
          <w:szCs w:val="22"/>
        </w:rPr>
        <w:t xml:space="preserve">Autor: Luís Maurício Junqueira Zanin</w:t>
      </w:r>
    </w:p>
    <w:p>
      <w:pPr>
        <w:spacing w:after="80" w:before="0"/>
        <w:jc w:val="center"/>
      </w:pPr>
      <w:r>
        <w:rPr>
          <w:rFonts w:ascii="Arial" w:cs="Arial" w:eastAsia="Arial" w:hAnsi="Arial"/>
          <w:color w:val="000000"/>
          <w:sz w:val="22"/>
          <w:szCs w:val="22"/>
        </w:rPr>
        <w:t xml:space="preserve">Sistema de Credenciamento e Rodízio de Pequenos Reparos</w:t>
      </w:r>
    </w:p>
    <w:p>
      <w:pPr>
        <w:spacing w:after="0" w:before="0"/>
        <w:jc w:val="center"/>
      </w:pPr>
      <w:r>
        <w:rPr>
          <w:rFonts w:ascii="Arial" w:cs="Arial" w:eastAsia="Arial" w:hAnsi="Arial"/>
          <w:color w:val="595959"/>
          <w:sz w:val="22"/>
          <w:szCs w:val="22"/>
        </w:rPr>
        <w:t xml:space="preserve">Base técnica: V12.0.0202</w:t>
      </w:r>
    </w:p>
    <w:p>
      <w:r>
        <w:br w:type="page"/>
      </w:r>
    </w:p>
    <w:p>
      <w:pPr>
        <w:spacing w:after="200" w:before="120"/>
        <w:jc w:val="left"/>
      </w:pPr>
      <w:r>
        <w:rPr>
          <w:rFonts w:ascii="Arial" w:cs="Arial" w:eastAsia="Arial" w:hAnsi="Arial"/>
          <w:b/>
          <w:bCs/>
          <w:color w:val="1F3864"/>
          <w:sz w:val="36"/>
          <w:szCs w:val="36"/>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rFonts w:ascii="Arial" w:cs="Arial" w:eastAsia="Arial" w:hAnsi="Arial"/>
          <w:b/>
          <w:bCs/>
          <w:color w:val="1F3864"/>
          <w:sz w:val="36"/>
          <w:szCs w:val="36"/>
        </w:rPr>
        <w:t xml:space="preserve">1. Resumo Executivo</w:t>
      </w:r>
    </w:p>
    <w:p>
      <w:pPr>
        <w:spacing w:after="120" w:before="0" w:line="300"/>
        <w:jc w:val="both"/>
      </w:pPr>
      <w:r>
        <w:rPr>
          <w:rFonts w:ascii="Arial" w:cs="Arial" w:eastAsia="Arial" w:hAnsi="Arial"/>
          <w:sz w:val="22"/>
          <w:szCs w:val="22"/>
        </w:rPr>
        <w:t xml:space="preserve">A Transparent Public Governance License (TPGL) v1.1 é uma licença source-available de interesse público, concebida para o Sistema de Credenciamento e Rodízio de Pequenos Reparos e para outros produtos GovTech que compartilhem a mesma equação de compromissos: transparência pública imediata, sustentabilidade econômica do mantenedor e abertura futura como open source. É uma licença jurídica formal, com efeitos definidos sobre inspeção, uso, modificação e distribuição do Software, regida pelo ordenamento jurídico brasileiro.</w:t>
      </w:r>
    </w:p>
    <w:p>
      <w:pPr>
        <w:pStyle w:val="Heading2"/>
        <w:spacing w:after="140" w:before="240"/>
      </w:pPr>
      <w:r>
        <w:rPr>
          <w:rFonts w:ascii="Arial" w:cs="Arial" w:eastAsia="Arial" w:hAnsi="Arial"/>
          <w:b/>
          <w:bCs/>
          <w:color w:val="1F3864"/>
          <w:sz w:val="28"/>
          <w:szCs w:val="28"/>
        </w:rPr>
        <w:t xml:space="preserve">1.1 Por que esta licença foi criada</w:t>
      </w:r>
    </w:p>
    <w:p>
      <w:pPr>
        <w:spacing w:after="120" w:before="0" w:line="300"/>
        <w:jc w:val="both"/>
      </w:pPr>
      <w:r>
        <w:rPr>
          <w:rFonts w:ascii="Arial" w:cs="Arial" w:eastAsia="Arial" w:hAnsi="Arial"/>
          <w:sz w:val="22"/>
          <w:szCs w:val="22"/>
        </w:rPr>
        <w:t xml:space="preserve">O setor público municipal brasileiro enfrenta um dilema recorrente em GovTech: softwares totalmente proprietários geram vendor lock-in e opacidade, incompatíveis com a Lei de Acesso à Informação e com os princípios constitucionais de publicidade e moralidade; softwares totalmente permissivos (MIT, Apache 2.0), por outro lado, não oferecem ao mantenedor nenhuma proteção contra concorrência baseada em clonagem do próprio código, o que torna insustentável o financiamento continuado do produto. O resultado prático, observável em diversos projetos brasileiros, é o abandono precoce do software ou a captura por grandes prestadores que oferecem a mesma ferramenta como SaaS competitivo, deixando o município sem escolha real.</w:t>
      </w:r>
    </w:p>
    <w:p>
      <w:pPr>
        <w:spacing w:after="120" w:before="0" w:line="300"/>
        <w:jc w:val="both"/>
      </w:pPr>
      <w:r>
        <w:rPr>
          <w:rFonts w:ascii="Arial" w:cs="Arial" w:eastAsia="Arial" w:hAnsi="Arial"/>
          <w:sz w:val="22"/>
          <w:szCs w:val="22"/>
        </w:rPr>
        <w:t xml:space="preserve">A TPGL v1.1 foi desenhada para romper esse dilema. Oferece o código-fonte publicamente, aberto à inspeção de qualquer pessoa, órgão de controle ou cidadão. Autoriza uso interno por órgãos públicos, por organizações privadas em gestão própria, e por atores acadêmicos. Reserva, porém, o uso comercial competitivo, especialmente sob forma de SaaS, PaaS ou qualquer modelo as-a-Service, mediante a obrigatoriedade de licença comercial específica. E compromete, via mecanismo automático conhecido como Change Date, a liberação integral de cada versão do Software sob a Apache License 2.0 quatro anos após sua publicação.</w:t>
      </w:r>
    </w:p>
    <w:p>
      <w:pPr>
        <w:pStyle w:val="Heading2"/>
        <w:spacing w:after="140" w:before="240"/>
      </w:pPr>
      <w:r>
        <w:rPr>
          <w:rFonts w:ascii="Arial" w:cs="Arial" w:eastAsia="Arial" w:hAnsi="Arial"/>
          <w:b/>
          <w:bCs/>
          <w:color w:val="1F3864"/>
          <w:sz w:val="28"/>
          <w:szCs w:val="28"/>
        </w:rPr>
        <w:t xml:space="preserve">1.2 O que esta licença resolve</w:t>
      </w:r>
    </w:p>
    <w:p>
      <w:pPr>
        <w:spacing w:after="120" w:before="0" w:line="300"/>
        <w:jc w:val="both"/>
      </w:pPr>
      <w:r>
        <w:rPr>
          <w:rFonts w:ascii="Arial" w:cs="Arial" w:eastAsia="Arial" w:hAnsi="Arial"/>
          <w:sz w:val="22"/>
          <w:szCs w:val="22"/>
        </w:rPr>
        <w:t xml:space="preserve">A TPGL v1.1 resolve sete problemas práticos simultaneamente:</w:t>
      </w:r>
    </w:p>
    <w:p>
      <w:pPr>
        <w:pStyle w:val="ListParagraph"/>
        <w:numPr>
          <w:ilvl w:val="0"/>
          <w:numId w:val="2"/>
        </w:numPr>
        <w:spacing w:after="80" w:line="280"/>
        <w:jc w:val="both"/>
      </w:pPr>
      <w:r>
        <w:rPr>
          <w:rFonts w:ascii="Arial" w:cs="Arial" w:eastAsia="Arial" w:hAnsi="Arial"/>
          <w:sz w:val="22"/>
          <w:szCs w:val="22"/>
        </w:rPr>
        <w:t xml:space="preserve">Oferece garantia jurídica ao município de que o código está permanentemente auditável, em alinhamento com a Lei 12.527/11.</w:t>
      </w:r>
    </w:p>
    <w:p>
      <w:pPr>
        <w:pStyle w:val="ListParagraph"/>
        <w:numPr>
          <w:ilvl w:val="0"/>
          <w:numId w:val="2"/>
        </w:numPr>
        <w:spacing w:after="80" w:line="280"/>
        <w:jc w:val="both"/>
      </w:pPr>
      <w:r>
        <w:rPr>
          <w:rFonts w:ascii="Arial" w:cs="Arial" w:eastAsia="Arial" w:hAnsi="Arial"/>
          <w:sz w:val="22"/>
          <w:szCs w:val="22"/>
        </w:rPr>
        <w:t xml:space="preserve">Protege o mantenedor da apropriação comercial não autorizada do Software por terceiros, com delimitação objetiva do Uso Concorrente.</w:t>
      </w:r>
    </w:p>
    <w:p>
      <w:pPr>
        <w:pStyle w:val="ListParagraph"/>
        <w:numPr>
          <w:ilvl w:val="0"/>
          <w:numId w:val="2"/>
        </w:numPr>
        <w:spacing w:after="80" w:line="280"/>
        <w:jc w:val="both"/>
      </w:pPr>
      <w:r>
        <w:rPr>
          <w:rFonts w:ascii="Arial" w:cs="Arial" w:eastAsia="Arial" w:hAnsi="Arial"/>
          <w:sz w:val="22"/>
          <w:szCs w:val="22"/>
        </w:rPr>
        <w:t xml:space="preserve">Permite, de forma expressa no Additional Use Grant, o uso interno por órgão público mesmo quando este cobra taxas ou emolumentos pelos serviços públicos que o Software auxilia a operar.</w:t>
      </w:r>
    </w:p>
    <w:p>
      <w:pPr>
        <w:pStyle w:val="ListParagraph"/>
        <w:numPr>
          <w:ilvl w:val="0"/>
          <w:numId w:val="2"/>
        </w:numPr>
        <w:spacing w:after="80" w:line="280"/>
        <w:jc w:val="both"/>
      </w:pPr>
      <w:r>
        <w:rPr>
          <w:rFonts w:ascii="Arial" w:cs="Arial" w:eastAsia="Arial" w:hAnsi="Arial"/>
          <w:sz w:val="22"/>
          <w:szCs w:val="22"/>
        </w:rPr>
        <w:t xml:space="preserve">Garante, mediante conversão automática para Apache License 2.0 após quatro anos, que nenhum usuário ficará preso a uma versão cuja manutenção foi descontinuada.</w:t>
      </w:r>
    </w:p>
    <w:p>
      <w:pPr>
        <w:pStyle w:val="ListParagraph"/>
        <w:numPr>
          <w:ilvl w:val="0"/>
          <w:numId w:val="2"/>
        </w:numPr>
        <w:spacing w:after="80" w:line="280"/>
        <w:jc w:val="both"/>
      </w:pPr>
      <w:r>
        <w:rPr>
          <w:rFonts w:ascii="Arial" w:cs="Arial" w:eastAsia="Arial" w:hAnsi="Arial"/>
          <w:sz w:val="22"/>
          <w:szCs w:val="22"/>
        </w:rPr>
        <w:t xml:space="preserve">Trata expressamente a relação com a LGPD, deixando claro que o Licenciante não é controlador nem operador dos dados processados com o Software pelos seus usuários.</w:t>
      </w:r>
    </w:p>
    <w:p>
      <w:pPr>
        <w:pStyle w:val="ListParagraph"/>
        <w:numPr>
          <w:ilvl w:val="0"/>
          <w:numId w:val="2"/>
        </w:numPr>
        <w:spacing w:after="80" w:line="280"/>
        <w:jc w:val="both"/>
      </w:pPr>
      <w:r>
        <w:rPr>
          <w:rFonts w:ascii="Arial" w:cs="Arial" w:eastAsia="Arial" w:hAnsi="Arial"/>
          <w:sz w:val="22"/>
          <w:szCs w:val="22"/>
        </w:rPr>
        <w:t xml:space="preserve">Preserva direitos cogentes previstos na Lei 9.609/98, notadamente o direito de decompilação para interoperabilidade.</w:t>
      </w:r>
    </w:p>
    <w:p>
      <w:pPr>
        <w:pStyle w:val="ListParagraph"/>
        <w:numPr>
          <w:ilvl w:val="0"/>
          <w:numId w:val="2"/>
        </w:numPr>
        <w:spacing w:after="80" w:line="280"/>
        <w:jc w:val="both"/>
      </w:pPr>
      <w:r>
        <w:rPr>
          <w:rFonts w:ascii="Arial" w:cs="Arial" w:eastAsia="Arial" w:hAnsi="Arial"/>
          <w:sz w:val="22"/>
          <w:szCs w:val="22"/>
        </w:rPr>
        <w:t xml:space="preserve">Estabelece período de cura de 30 dias antes de qualquer rescisão, em conformidade com a boa-fé objetiva do Código Civil.</w:t>
      </w:r>
    </w:p>
    <w:p>
      <w:pPr>
        <w:pStyle w:val="Heading2"/>
        <w:spacing w:after="140" w:before="240"/>
      </w:pPr>
      <w:r>
        <w:rPr>
          <w:rFonts w:ascii="Arial" w:cs="Arial" w:eastAsia="Arial" w:hAnsi="Arial"/>
          <w:b/>
          <w:bCs/>
          <w:color w:val="1F3864"/>
          <w:sz w:val="28"/>
          <w:szCs w:val="28"/>
        </w:rPr>
        <w:t xml:space="preserve">1.3 Por que não é MIT, Apache ou GPL</w:t>
      </w:r>
    </w:p>
    <w:p>
      <w:pPr>
        <w:spacing w:after="120" w:before="0" w:line="300"/>
        <w:jc w:val="both"/>
      </w:pPr>
      <w:r>
        <w:rPr>
          <w:rFonts w:ascii="Arial" w:cs="Arial" w:eastAsia="Arial" w:hAnsi="Arial"/>
          <w:sz w:val="22"/>
          <w:szCs w:val="22"/>
        </w:rPr>
        <w:t xml:space="preserve">As licenças permissivas consagradas (MIT e Apache 2.0) atendem plenamente à exigência de transparência, mas não oferecem qualquer proteção contra a exploração comercial concorrente do código. Em GovTech, isto significa que qualquer prestador pode pegar o código, oferecer como SaaS competitivo, e privar o mantenedor da única fonte realista de sustentação do produto. A Apache 2.0 permanece, no entanto, a escolha ideal como Licença de Conversão após a Data de Conversão, pois combina permissividade adequada a reuso corporativo com proteção de patente expressa.</w:t>
      </w:r>
    </w:p>
    <w:p>
      <w:pPr>
        <w:spacing w:after="120" w:before="0" w:line="300"/>
        <w:jc w:val="both"/>
      </w:pPr>
      <w:r>
        <w:rPr>
          <w:rFonts w:ascii="Arial" w:cs="Arial" w:eastAsia="Arial" w:hAnsi="Arial"/>
          <w:sz w:val="22"/>
          <w:szCs w:val="22"/>
        </w:rPr>
        <w:t xml:space="preserve">As licenças copyleft clássicas (GPL v3, AGPL v3) tampouco resolvem o problema. A GPL não se estende ao uso em servidor, deixando íntegro o loophole SaaS: qualquer terceiro pode modificar o código e oferecer como serviço sem redistribuir as modificações. A AGPL corrige esse vácuo, mas permite ainda que o competidor ofereça SaaS competitivo desde que também esteja sob AGPL. Além disso, a AGPL é historicamente rejeitada por parte relevante do mercado corporativo, o que pode reduzir a adoção do Software por entes públicos e parceiros institucionais como o SEBRAE e o MGI. Não há mecanismo de Change Date em GPL ou AGPL, o que torna impossível oferecer compromisso crível de abertura futura no prazo de 4 anos.</w:t>
      </w:r>
    </w:p>
    <w:p>
      <w:pPr>
        <w:spacing w:after="120" w:before="0" w:line="300"/>
        <w:jc w:val="both"/>
      </w:pPr>
      <w:r>
        <w:rPr>
          <w:rFonts w:ascii="Arial" w:cs="Arial" w:eastAsia="Arial" w:hAnsi="Arial"/>
          <w:sz w:val="22"/>
          <w:szCs w:val="22"/>
        </w:rPr>
        <w:t xml:space="preserve">A SSPL, por sua vez, é excessiva e impraticável no contexto GovTech: obriga quem oferece o Software como serviço a também abrir todo o service stack circundante, e é rejeitada pela Open Source Initiative. Já a Business Source License 1.1, desenvolvida e mantida pelo MariaDB, oferece exatamente o equilíbrio desejado. A TPGL v1.1 adota a arquitetura BSL 1.1 e a adapta ao ordenamento brasileiro, com definições e cláusulas redigidas em português formal, referências expressas à legislação nacional, tratamento adequado da LGPD e da LAI, e ajustes que a tornam especialmente adequada à adoção por municípios.</w:t>
      </w:r>
    </w:p>
    <w:p>
      <w:pPr>
        <w:pStyle w:val="Heading2"/>
        <w:spacing w:after="140" w:before="240"/>
      </w:pPr>
      <w:r>
        <w:rPr>
          <w:rFonts w:ascii="Arial" w:cs="Arial" w:eastAsia="Arial" w:hAnsi="Arial"/>
          <w:b/>
          <w:bCs/>
          <w:color w:val="1F3864"/>
          <w:sz w:val="28"/>
          <w:szCs w:val="28"/>
        </w:rPr>
        <w:t xml:space="preserve">1.4 Benefícios para municípios</w:t>
      </w:r>
    </w:p>
    <w:p>
      <w:pPr>
        <w:spacing w:after="120" w:before="0" w:line="300"/>
        <w:jc w:val="both"/>
      </w:pPr>
      <w:r>
        <w:rPr>
          <w:rFonts w:ascii="Arial" w:cs="Arial" w:eastAsia="Arial" w:hAnsi="Arial"/>
          <w:sz w:val="22"/>
          <w:szCs w:val="22"/>
        </w:rPr>
        <w:t xml:space="preserve">Para o município, a TPGL v1.1 oferece quatro benefícios diretos:</w:t>
      </w:r>
    </w:p>
    <w:p>
      <w:pPr>
        <w:pStyle w:val="ListParagraph"/>
        <w:numPr>
          <w:ilvl w:val="0"/>
          <w:numId w:val="3"/>
        </w:numPr>
        <w:spacing w:after="80" w:line="280"/>
        <w:jc w:val="both"/>
      </w:pPr>
      <w:r>
        <w:rPr>
          <w:rFonts w:ascii="Arial" w:cs="Arial" w:eastAsia="Arial" w:hAnsi="Arial"/>
          <w:sz w:val="22"/>
          <w:szCs w:val="22"/>
        </w:rPr>
        <w:t xml:space="preserve">Acesso público permanente ao código-fonte, permitindo auditoria por controle interno, Tribunais de Contas e pelo próprio cidadão.</w:t>
      </w:r>
    </w:p>
    <w:p>
      <w:pPr>
        <w:pStyle w:val="ListParagraph"/>
        <w:numPr>
          <w:ilvl w:val="0"/>
          <w:numId w:val="3"/>
        </w:numPr>
        <w:spacing w:after="80" w:line="280"/>
        <w:jc w:val="both"/>
      </w:pPr>
      <w:r>
        <w:rPr>
          <w:rFonts w:ascii="Arial" w:cs="Arial" w:eastAsia="Arial" w:hAnsi="Arial"/>
          <w:sz w:val="22"/>
          <w:szCs w:val="22"/>
        </w:rPr>
        <w:t xml:space="preserve">Uso perpétuo e irrevogável do Software dentro da estrutura do município, enquanto observados os termos da licença, sem dependência de autorização comercial.</w:t>
      </w:r>
    </w:p>
    <w:p>
      <w:pPr>
        <w:pStyle w:val="ListParagraph"/>
        <w:numPr>
          <w:ilvl w:val="0"/>
          <w:numId w:val="3"/>
        </w:numPr>
        <w:spacing w:after="80" w:line="280"/>
        <w:jc w:val="both"/>
      </w:pPr>
      <w:r>
        <w:rPr>
          <w:rFonts w:ascii="Arial" w:cs="Arial" w:eastAsia="Arial" w:hAnsi="Arial"/>
          <w:sz w:val="22"/>
          <w:szCs w:val="22"/>
        </w:rPr>
        <w:t xml:space="preserve">Autorização expressa para modificação interna do Software, inclusive para integração com sistemas municipais existentes.</w:t>
      </w:r>
    </w:p>
    <w:p>
      <w:pPr>
        <w:pStyle w:val="ListParagraph"/>
        <w:numPr>
          <w:ilvl w:val="0"/>
          <w:numId w:val="3"/>
        </w:numPr>
        <w:spacing w:after="80" w:line="280"/>
        <w:jc w:val="both"/>
      </w:pPr>
      <w:r>
        <w:rPr>
          <w:rFonts w:ascii="Arial" w:cs="Arial" w:eastAsia="Arial" w:hAnsi="Arial"/>
          <w:sz w:val="22"/>
          <w:szCs w:val="22"/>
        </w:rPr>
        <w:t xml:space="preserve">Compromisso público de conversão integral para Apache License 2.0 em quatro anos após cada publicação de versão, o que elimina qualquer risco de vendor lock-in de longo prazo.</w:t>
      </w:r>
    </w:p>
    <w:p>
      <w:pPr>
        <w:pStyle w:val="Heading1"/>
        <w:pageBreakBefore/>
        <w:spacing w:after="200" w:before="360"/>
      </w:pPr>
      <w:r>
        <w:rPr>
          <w:rFonts w:ascii="Arial" w:cs="Arial" w:eastAsia="Arial" w:hAnsi="Arial"/>
          <w:b/>
          <w:bCs/>
          <w:color w:val="1F3864"/>
          <w:sz w:val="36"/>
          <w:szCs w:val="36"/>
        </w:rPr>
        <w:t xml:space="preserve">2. Fundamentação Técnico-Jurídica</w:t>
      </w:r>
    </w:p>
    <w:p>
      <w:pPr>
        <w:pStyle w:val="Heading2"/>
        <w:spacing w:after="140" w:before="240"/>
      </w:pPr>
      <w:r>
        <w:rPr>
          <w:rFonts w:ascii="Arial" w:cs="Arial" w:eastAsia="Arial" w:hAnsi="Arial"/>
          <w:b/>
          <w:bCs/>
          <w:color w:val="1F3864"/>
          <w:sz w:val="28"/>
          <w:szCs w:val="28"/>
        </w:rPr>
        <w:t xml:space="preserve">2.1 Base constitucional e infraconstitucional</w:t>
      </w:r>
    </w:p>
    <w:p>
      <w:pPr>
        <w:spacing w:after="120" w:before="0" w:line="300"/>
        <w:jc w:val="both"/>
      </w:pPr>
      <w:r>
        <w:rPr>
          <w:rFonts w:ascii="Arial" w:cs="Arial" w:eastAsia="Arial" w:hAnsi="Arial"/>
          <w:sz w:val="22"/>
          <w:szCs w:val="22"/>
        </w:rPr>
        <w:t xml:space="preserve">A TPGL v1.1 apoia-se, em primeiro plano, na tutela conferida ao autor de programa de computador pela Lei 9.609/98, conhecida como Lei de Software, e supletivamente pela Lei 9.610/98, que disciplina os direitos autorais. A Lei 9.609/98 equipara a proteção do programa de computador a regime semelhante ao das obras literárias e, em seu artigo 9, impõe que o uso de programa de computador no Brasil seja objeto de contrato de licença. A TPGL, portanto, não apenas é juridicamente admissível: é ferramenta contratual exigida pela própria legislação setorial.</w:t>
      </w:r>
    </w:p>
    <w:p>
      <w:pPr>
        <w:spacing w:after="120" w:before="0" w:line="300"/>
        <w:jc w:val="both"/>
      </w:pPr>
      <w:r>
        <w:rPr>
          <w:rFonts w:ascii="Arial" w:cs="Arial" w:eastAsia="Arial" w:hAnsi="Arial"/>
          <w:sz w:val="22"/>
          <w:szCs w:val="22"/>
        </w:rPr>
        <w:t xml:space="preserve">A Lei 9.610/98 disciplina em detalhe o regime de cessão e licenciamento dos direitos patrimoniais sobre a obra. O artigo 28 reserva ao autor a exclusividade do uso, fruição e disposição; o artigo 29 enumera as modalidades sujeitas a autorização prévia e expressa. A TPGL opera no interior desse regime, definindo com precisão quais modalidades são autorizadas (Inspeção pública, Uso Interno, Modificação para Uso Interno, Distribuição a Órgãos Autorizados) e quais permanecem reservadas (Uso Comercial, Uso Concorrente, oferta as-a-Service). O artigo 49, dispositivo-chave para o regime contratual, determina que a cessão de direitos patrimoniais seja feita por escrito e interpretada restritivamente; por essa razão, o Contributor License Agreement (CLA) anexo à TPGL é documento formal separado, com texto expresso de cessão das modalidades conhecidas, preservando os direitos morais do contribuinte nos termos do artigo 24 da mesma lei.</w:t>
      </w:r>
    </w:p>
    <w:p>
      <w:pPr>
        <w:spacing w:after="120" w:before="0" w:line="300"/>
        <w:jc w:val="both"/>
      </w:pPr>
      <w:r>
        <w:rPr>
          <w:rFonts w:ascii="Arial" w:cs="Arial" w:eastAsia="Arial" w:hAnsi="Arial"/>
          <w:sz w:val="22"/>
          <w:szCs w:val="22"/>
        </w:rPr>
        <w:t xml:space="preserve">A TPGL v1.1 também respeita os direitos cogentes da Lei 9.609/98 que não podem ser afastados por contrato. Em particular, o artigo 6, inciso I, permite expressamente a decompilação para fins de interoperabilidade, direito que a cláusula 4.3 da TPGL reconhece de forma explícita. Isto protege tanto o usuário, que mantém seu direito legal, quanto o Licenciante, que evita o risco de ter cláusulas declaradas nulas por tentarem restringir o que a lei não autoriza restringir.</w:t>
      </w:r>
    </w:p>
    <w:p>
      <w:pPr>
        <w:pStyle w:val="Heading2"/>
        <w:spacing w:after="140" w:before="240"/>
      </w:pPr>
      <w:r>
        <w:rPr>
          <w:rFonts w:ascii="Arial" w:cs="Arial" w:eastAsia="Arial" w:hAnsi="Arial"/>
          <w:b/>
          <w:bCs/>
          <w:color w:val="1F3864"/>
          <w:sz w:val="28"/>
          <w:szCs w:val="28"/>
        </w:rPr>
        <w:t xml:space="preserve">2.2 Compatibilidade com a Lei 14.133/2021 (Nova Lei de Licitações)</w:t>
      </w:r>
    </w:p>
    <w:p>
      <w:pPr>
        <w:spacing w:after="120" w:before="0" w:line="300"/>
        <w:jc w:val="both"/>
      </w:pPr>
      <w:r>
        <w:rPr>
          <w:rFonts w:ascii="Arial" w:cs="Arial" w:eastAsia="Arial" w:hAnsi="Arial"/>
          <w:sz w:val="22"/>
          <w:szCs w:val="22"/>
        </w:rPr>
        <w:t xml:space="preserve">A contratação de software pela administração pública direta e indireta no Brasil obedece ao regime da Lei 14.133/2021, que substituiu a Lei 8.666/93 e disciplina o processo licitatório e contratual do setor público. Para o caso da TPGL v1.1, em que o Software é doado ao uso dos municípios sem cobrança pelo produto em si, aplicam-se procedimentos simplificados de formalização, mas subsistem exigências materiais de coerência jurídica.</w:t>
      </w:r>
    </w:p>
    <w:p>
      <w:pPr>
        <w:spacing w:after="120" w:before="0" w:line="300"/>
        <w:jc w:val="both"/>
      </w:pPr>
      <w:r>
        <w:rPr>
          <w:rFonts w:ascii="Arial" w:cs="Arial" w:eastAsia="Arial" w:hAnsi="Arial"/>
          <w:sz w:val="22"/>
          <w:szCs w:val="22"/>
        </w:rPr>
        <w:t xml:space="preserve">Três exigências da Lei 14.133 merecem tratamento explícito. Primeiro, a segurança jurídica de continuidade: a administração pública precisa ter certeza de que o Software permanecerá disponível mesmo em caso de descontinuidade pelo mantenedor. A TPGL v1.1 atende esta exigência por via dupla: licença perpétua para usos permitidos enquanto observados os termos (cláusula 2.1), e conversão automática para Apache License 2.0 quatro anos após cada publicação de versão (cláusula 10). Em qualquer horizonte razoável de planejamento municipal, o Software estará protegido de abandono.</w:t>
      </w:r>
    </w:p>
    <w:p>
      <w:pPr>
        <w:spacing w:after="120" w:before="0" w:line="300"/>
        <w:jc w:val="both"/>
      </w:pPr>
      <w:r>
        <w:rPr>
          <w:rFonts w:ascii="Arial" w:cs="Arial" w:eastAsia="Arial" w:hAnsi="Arial"/>
          <w:sz w:val="22"/>
          <w:szCs w:val="22"/>
        </w:rPr>
        <w:t xml:space="preserve">Segundo, a vedação a cláusulas leoninas e ad nutum: licenças revogáveis unilateralmente pelo licenciante, sem justificativa ou prazo, são incompatíveis com a natureza da contratação pública. A TPGL v1.1 abandona integralmente a revogabilidade ad nutum presente em rascunhos anteriores e estabelece que a licença só é rescindida após violação não sanada no prazo de 30 dias, a contar de notificação escrita.</w:t>
      </w:r>
    </w:p>
    <w:p>
      <w:pPr>
        <w:spacing w:after="120" w:before="0" w:line="300"/>
        <w:jc w:val="both"/>
      </w:pPr>
      <w:r>
        <w:rPr>
          <w:rFonts w:ascii="Arial" w:cs="Arial" w:eastAsia="Arial" w:hAnsi="Arial"/>
          <w:sz w:val="22"/>
          <w:szCs w:val="22"/>
        </w:rPr>
        <w:t xml:space="preserve">Terceiro, a documentação contratual: a administração pública precisa poder arquivar e demonstrar, para fins de controle interno e externo, que o Software é usado sob termos claros. A TPGL v1.1 tem linguagem formal, cláusulas numeradas, definições expressas, versionamento da própria licença e referência cruzada a um Contributor License Agreement anexo. O pacote completo é pronto para integração a dossiê contratual municipal.</w:t>
      </w:r>
    </w:p>
    <w:p>
      <w:pPr>
        <w:pStyle w:val="Heading2"/>
        <w:spacing w:after="140" w:before="240"/>
      </w:pPr>
      <w:r>
        <w:rPr>
          <w:rFonts w:ascii="Arial" w:cs="Arial" w:eastAsia="Arial" w:hAnsi="Arial"/>
          <w:b/>
          <w:bCs/>
          <w:color w:val="1F3864"/>
          <w:sz w:val="28"/>
          <w:szCs w:val="28"/>
        </w:rPr>
        <w:t xml:space="preserve">2.3 Relação com a Lei 12.527/2011 (Lei de Acesso à Informação)</w:t>
      </w:r>
    </w:p>
    <w:p>
      <w:pPr>
        <w:spacing w:after="120" w:before="0" w:line="300"/>
        <w:jc w:val="both"/>
      </w:pPr>
      <w:r>
        <w:rPr>
          <w:rFonts w:ascii="Arial" w:cs="Arial" w:eastAsia="Arial" w:hAnsi="Arial"/>
          <w:sz w:val="22"/>
          <w:szCs w:val="22"/>
        </w:rPr>
        <w:t xml:space="preserve">A Lei de Acesso à Informação consagra o dever de transparência ativa e passiva dos órgãos públicos, o que inclui informações produzidas ou custodiadas pelo ente público no exercício de suas atribuições. Quando um software é utilizado por município no apoio direto à atividade pública, existe argumento relevante de que o código-fonte, na medida em que esclarece como decisões administrativas são tomadas ou mediadas, integra o conjunto de informações de interesse público.</w:t>
      </w:r>
    </w:p>
    <w:p>
      <w:pPr>
        <w:spacing w:after="120" w:before="0" w:line="300"/>
        <w:jc w:val="both"/>
      </w:pPr>
      <w:r>
        <w:rPr>
          <w:rFonts w:ascii="Arial" w:cs="Arial" w:eastAsia="Arial" w:hAnsi="Arial"/>
          <w:sz w:val="22"/>
          <w:szCs w:val="22"/>
        </w:rPr>
        <w:t xml:space="preserve">A TPGL v1.1 assimila essa possibilidade jurídica por três vias complementares. Primeiro, a cláusula 5.1 estabelece que o código-fonte é mantido publicamente disponível em repositório identificado, acessível para Inspeção por qualquer pessoa, sem necessidade de identificação prévia nem de aceite formal da licença para o ato de leitura. Segundo, a cláusula 5.3 reconhece expressamente que a auditoria por Órgãos Autorizados e pelo cidadão, no exercício do direito previsto na LAI, é permitida e não depende de autorização prévia do Licenciante. Terceiro, a cláusula 6.3 exige a rastreabilidade das contribuições, o que transforma o próprio histórico de evolução do Software em material auditável.</w:t>
      </w:r>
    </w:p>
    <w:p>
      <w:pPr>
        <w:spacing w:after="120" w:before="0" w:line="300"/>
        <w:jc w:val="both"/>
      </w:pPr>
      <w:r>
        <w:rPr>
          <w:rFonts w:ascii="Arial" w:cs="Arial" w:eastAsia="Arial" w:hAnsi="Arial"/>
          <w:sz w:val="22"/>
          <w:szCs w:val="22"/>
        </w:rPr>
        <w:t xml:space="preserve">O equilíbrio entre transparência ampla e controle sobre o Uso é juridicamente consistente. A Inspeção, que é leitura não executada do código, não requer licença nos termos da Lei 9.609/98 porque não constitui Uso na acepção do artigo 9. O Uso, que envolve instalação, execução, modificação ou distribuição, aí sim é modalidade sujeita a licença, e é sob esta modalidade que a TPGL v1.1 impõe aceite e define restrições. A engenharia jurídica da licença, portanto, preserva simultaneamente o direito de informação do cidadão (via Inspeção livre) e a reserva patrimonial do autor (via controle do Uso).</w:t>
      </w:r>
    </w:p>
    <w:p>
      <w:pPr>
        <w:pStyle w:val="Heading2"/>
        <w:spacing w:after="140" w:before="240"/>
      </w:pPr>
      <w:r>
        <w:rPr>
          <w:rFonts w:ascii="Arial" w:cs="Arial" w:eastAsia="Arial" w:hAnsi="Arial"/>
          <w:b/>
          <w:bCs/>
          <w:color w:val="1F3864"/>
          <w:sz w:val="28"/>
          <w:szCs w:val="28"/>
        </w:rPr>
        <w:t xml:space="preserve">2.4 Compatibilidade com a LGPD (Lei 13.709/2018)</w:t>
      </w:r>
    </w:p>
    <w:p>
      <w:pPr>
        <w:spacing w:after="120" w:before="0" w:line="300"/>
        <w:jc w:val="both"/>
      </w:pPr>
      <w:r>
        <w:rPr>
          <w:rFonts w:ascii="Arial" w:cs="Arial" w:eastAsia="Arial" w:hAnsi="Arial"/>
          <w:sz w:val="22"/>
          <w:szCs w:val="22"/>
        </w:rPr>
        <w:t xml:space="preserve">A TPGL v1.1 não é contrato de tratamento de dados pessoais e não cria obrigações de operador ou controlador ao Licenciante por força de licenciamento. A cláusula 9 da licença formaliza essa delimitação em três enunciados. Primeiro, o Software, em sua forma distribuída, não envia dados ao Licenciante; não há telemetria, coleta ou canal de dados automático. Segundo, cada Licenciado é o controlador, ou operador conforme o caso concreto, dos dados pessoais tratados com o Software; a responsabilidade pelo cumprimento da LGPD recai sobre quem efetivamente trata os dados, tipicamente o município. Terceiro, o Licenciante se compromete a cooperar, em condições razoáveis, com a elaboração de Relatórios de Impacto à Proteção de Dados e requisitos análogos.</w:t>
      </w:r>
    </w:p>
    <w:p>
      <w:pPr>
        <w:spacing w:after="120" w:before="0" w:line="300"/>
        <w:jc w:val="both"/>
      </w:pPr>
      <w:r>
        <w:rPr>
          <w:rFonts w:ascii="Arial" w:cs="Arial" w:eastAsia="Arial" w:hAnsi="Arial"/>
          <w:sz w:val="22"/>
          <w:szCs w:val="22"/>
        </w:rPr>
        <w:t xml:space="preserve">Esta delimitação é compatível com o artigo 5, incisos VI e VII, da LGPD, que definem controlador e operador, e com o Capítulo VI da mesma lei, que trata de agentes de tratamento e suas responsabilidades. O mantenedor de um software distribuído, que não acessa os dados do usuário, não se enquadra como operador nem como controlador do tratamento feito pelo município.</w:t>
      </w:r>
    </w:p>
    <w:p>
      <w:pPr>
        <w:pStyle w:val="Heading2"/>
        <w:spacing w:after="140" w:before="240"/>
      </w:pPr>
      <w:r>
        <w:rPr>
          <w:rFonts w:ascii="Arial" w:cs="Arial" w:eastAsia="Arial" w:hAnsi="Arial"/>
          <w:b/>
          <w:bCs/>
          <w:color w:val="1F3864"/>
          <w:sz w:val="28"/>
          <w:szCs w:val="28"/>
        </w:rPr>
        <w:t xml:space="preserve">2.5 Validade jurídica da restrição de uso concorrente</w:t>
      </w:r>
    </w:p>
    <w:p>
      <w:pPr>
        <w:spacing w:after="120" w:before="0" w:line="300"/>
        <w:jc w:val="both"/>
      </w:pPr>
      <w:r>
        <w:rPr>
          <w:rFonts w:ascii="Arial" w:cs="Arial" w:eastAsia="Arial" w:hAnsi="Arial"/>
          <w:sz w:val="22"/>
          <w:szCs w:val="22"/>
        </w:rPr>
        <w:t xml:space="preserve">A restrição ao Uso Concorrente é o mecanismo central de sustentabilidade da TPGL v1.1 e é, por isso mesmo, aquele que demanda a mais rigorosa ancoragem jurídica. A validade da restrição assenta-se em três pilares.</w:t>
      </w:r>
    </w:p>
    <w:p>
      <w:pPr>
        <w:spacing w:after="120" w:before="0" w:line="300"/>
        <w:jc w:val="both"/>
      </w:pPr>
      <w:r>
        <w:rPr>
          <w:rFonts w:ascii="Arial" w:cs="Arial" w:eastAsia="Arial" w:hAnsi="Arial"/>
          <w:sz w:val="22"/>
          <w:szCs w:val="22"/>
        </w:rPr>
        <w:t xml:space="preserve">Primeiro, a exclusividade legal dos direitos patrimoniais do autor, nos termos dos artigos 28 e 29 da Lei 9.610/98 e do artigo 2 da Lei 9.609/98. O autor pode, sem qualquer dúvida jurídica, condicionar o uso de seu software a termos contratuais, inclusive vedando usos específicos como a oferta as-a-Service para terceiros.</w:t>
      </w:r>
    </w:p>
    <w:p>
      <w:pPr>
        <w:spacing w:after="120" w:before="0" w:line="300"/>
        <w:jc w:val="both"/>
      </w:pPr>
      <w:r>
        <w:rPr>
          <w:rFonts w:ascii="Arial" w:cs="Arial" w:eastAsia="Arial" w:hAnsi="Arial"/>
          <w:sz w:val="22"/>
          <w:szCs w:val="22"/>
        </w:rPr>
        <w:t xml:space="preserve">Segundo, a precisão da definição contratual. A TPGL v1.1 define Uso Concorrente na cláusula 1.9 mediante três hipóteses objetivamente descritas: oferta mediante pagamento a terceiros de serviço que tenha o Software como componente material, inclusive em modelo as-a-Service; revenda, sublicenciamento ou distribuição mediante remuneração; e utilização do Software como base para criar produto substituto comercial das funcionalidades nucleares. Esta redação evita o conceito subjetivo e contestável de concorrência e opta por descrições factuais passíveis de verificação.</w:t>
      </w:r>
    </w:p>
    <w:p>
      <w:pPr>
        <w:spacing w:after="120" w:before="0" w:line="300"/>
        <w:jc w:val="both"/>
      </w:pPr>
      <w:r>
        <w:rPr>
          <w:rFonts w:ascii="Arial" w:cs="Arial" w:eastAsia="Arial" w:hAnsi="Arial"/>
          <w:sz w:val="22"/>
          <w:szCs w:val="22"/>
        </w:rPr>
        <w:t xml:space="preserve">Terceiro, a existência de alternativa comercial expressa. A cláusula 7 da TPGL v1.1 prevê que qualquer Uso fora do escopo da licença pode ser obtido mediante licença comercial específica, cujo canal formal e prazo de resposta estão definidos. Isto afasta o risco de a restrição ser interpretada como recusa indireta de licenciamento. O titular oferece uma via formal de acesso comercial; a restrição opera sobre quem não utiliza essa via, e é, portanto, proporcional e defensável.</w:t>
      </w:r>
    </w:p>
    <w:p>
      <w:pPr>
        <w:spacing w:after="120" w:before="0" w:line="300"/>
        <w:jc w:val="both"/>
      </w:pPr>
      <w:r>
        <w:rPr>
          <w:rFonts w:ascii="Arial" w:cs="Arial" w:eastAsia="Arial" w:hAnsi="Arial"/>
          <w:sz w:val="22"/>
          <w:szCs w:val="22"/>
        </w:rPr>
        <w:t xml:space="preserve">Há, por fim, um ponto de cautela que a cláusula 4.3 da TPGL v1.1 trata explicitamente: a restrição não pode alcançar direitos cogentes, como o direito de decompilação para interoperabilidade. Ao reconhecer esse limite de forma expressa, a licença reduz materialmente o risco de declaração judicial de nulidade parcial.</w:t>
      </w:r>
    </w:p>
    <w:p>
      <w:pPr>
        <w:pStyle w:val="Heading1"/>
        <w:pageBreakBefore/>
        <w:spacing w:after="200" w:before="360"/>
      </w:pPr>
      <w:r>
        <w:rPr>
          <w:rFonts w:ascii="Arial" w:cs="Arial" w:eastAsia="Arial" w:hAnsi="Arial"/>
          <w:b/>
          <w:bCs/>
          <w:color w:val="1F3864"/>
          <w:sz w:val="36"/>
          <w:szCs w:val="36"/>
        </w:rPr>
        <w:t xml:space="preserve">3. Comparação com Outras Licenças</w:t>
      </w:r>
    </w:p>
    <w:p>
      <w:pPr>
        <w:spacing w:after="120" w:before="0" w:line="300"/>
        <w:jc w:val="both"/>
      </w:pPr>
      <w:r>
        <w:rPr>
          <w:rFonts w:ascii="Arial" w:cs="Arial" w:eastAsia="Arial" w:hAnsi="Arial"/>
          <w:sz w:val="22"/>
          <w:szCs w:val="22"/>
        </w:rPr>
        <w:t xml:space="preserve">A presente seção compara a TPGL v1.1 com seis licenças de referência para o caso GovTech: MIT, Apache License 2.0, GNU General Public License v3, GNU Affero General Public License v3, Business Source License 1.1 e Server Side Public License. A comparação é feita em seguida por quadro sintético e por análise qualitativa por licença.</w:t>
      </w:r>
    </w:p>
    <w:p>
      <w:pPr>
        <w:pStyle w:val="Heading2"/>
        <w:spacing w:after="140" w:before="240"/>
      </w:pPr>
      <w:r>
        <w:rPr>
          <w:rFonts w:ascii="Arial" w:cs="Arial" w:eastAsia="Arial" w:hAnsi="Arial"/>
          <w:b/>
          <w:bCs/>
          <w:color w:val="1F3864"/>
          <w:sz w:val="28"/>
          <w:szCs w:val="28"/>
        </w:rPr>
        <w:t xml:space="preserve">3.1 Quadro comparativo sintético</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600"/>
        <w:gridCol w:w="1050"/>
        <w:gridCol w:w="1050"/>
        <w:gridCol w:w="1050"/>
        <w:gridCol w:w="1050"/>
        <w:gridCol w:w="1050"/>
        <w:gridCol w:w="1050"/>
        <w:gridCol w:w="105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Atributo</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MIT</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Apache 2.0</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GPL v3</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AGPL v3</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BSL 1.1</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SSPL</w:t>
            </w:r>
          </w:p>
        </w:tc>
        <w:tc>
          <w:tcPr>
            <w:tcW w:type="dxa" w:w="105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TPGL v1.1</w:t>
            </w:r>
          </w:p>
        </w:tc>
      </w:tr>
      <w:tr>
        <w:trPr>
          <w:tblHeader w:val="false"/>
        </w:trPr>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Fonte aberta para inspeção</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r>
      <w:tr>
        <w:trPr>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Aprovada pela OSI</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r>
      <w:tr>
        <w:trPr>
          <w:tblHeader w:val="false"/>
        </w:trPr>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Concessão de patente explícita</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r>
      <w:tr>
        <w:trPr>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Permite SaaS competitivo por terceiros</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Só se aberto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Só abrindo stack</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r>
      <w:tr>
        <w:trPr>
          <w:tblHeader w:val="false"/>
        </w:trPr>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Permite uso interno organizacional</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r>
      <w:tr>
        <w:trPr>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Cura antes de rescisão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Limitada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30-60 dias</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30-60 dias</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Imediata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Imediata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30 dias</w:t>
            </w:r>
          </w:p>
        </w:tc>
      </w:tr>
      <w:tr>
        <w:trPr>
          <w:tblHeader w:val="false"/>
        </w:trPr>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Compromisso de abertura futura</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N/A</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N/A</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N/A</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N/A</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Até 4 anos</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N/A</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4 anos por versão</w:t>
            </w:r>
          </w:p>
        </w:tc>
      </w:tr>
      <w:tr>
        <w:trPr>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Cláusula LGPD explícita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r>
      <w:tr>
        <w:trPr>
          <w:tblHeader w:val="false"/>
        </w:trPr>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Foro e mediação previstos</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Não</w:t>
            </w:r>
          </w:p>
        </w:tc>
        <w:tc>
          <w:tcPr>
            <w:tcW w:type="dxa" w:w="105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Sim</w:t>
            </w:r>
          </w:p>
        </w:tc>
      </w:tr>
      <w:tr>
        <w:trPr>
          <w:tblHeader w:val="false"/>
        </w:trP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Adequada à GovTech brasileira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Alta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Baixa</w:t>
            </w:r>
          </w:p>
        </w:tc>
        <w:tc>
          <w:tcPr>
            <w:tcW w:type="dxa" w:w="105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Alta</w:t>
            </w:r>
          </w:p>
        </w:tc>
      </w:tr>
    </w:tbl>
    <w:p>
      <w:pPr>
        <w:pStyle w:val="Heading2"/>
        <w:spacing w:after="140" w:before="240"/>
      </w:pPr>
      <w:r>
        <w:rPr>
          <w:rFonts w:ascii="Arial" w:cs="Arial" w:eastAsia="Arial" w:hAnsi="Arial"/>
          <w:b/>
          <w:bCs/>
          <w:color w:val="1F3864"/>
          <w:sz w:val="28"/>
          <w:szCs w:val="28"/>
        </w:rPr>
        <w:t xml:space="preserve">3.2 Análise qualitativa por licença</w:t>
      </w:r>
    </w:p>
    <w:p>
      <w:pPr>
        <w:pStyle w:val="Heading3"/>
        <w:spacing w:after="100" w:before="180"/>
      </w:pPr>
      <w:r>
        <w:rPr>
          <w:rFonts w:ascii="Arial" w:cs="Arial" w:eastAsia="Arial" w:hAnsi="Arial"/>
          <w:b/>
          <w:bCs/>
          <w:color w:val="2E75B6"/>
          <w:sz w:val="24"/>
          <w:szCs w:val="24"/>
        </w:rPr>
        <w:t xml:space="preserve">3.2.1 MIT</w:t>
      </w:r>
    </w:p>
    <w:p>
      <w:pPr>
        <w:spacing w:after="120" w:before="0" w:line="300"/>
        <w:jc w:val="both"/>
      </w:pPr>
      <w:r>
        <w:rPr>
          <w:rFonts w:ascii="Arial" w:cs="Arial" w:eastAsia="Arial" w:hAnsi="Arial"/>
          <w:sz w:val="22"/>
          <w:szCs w:val="22"/>
        </w:rPr>
        <w:t xml:space="preserve">A licença MIT é o exemplo clássico de permissividade máxima: autoriza qualquer uso, modificação, integração, redistribuição, inclusive para fins comerciais, mediante única obrigação de preservar o aviso de copyright. Possui apenas duas páginas, é universalmente compreendida, e tem adoção corporativa extensa. Para o caso GovTech da TPGL, porém, apresenta uma limitação fatal: não impede nenhuma forma de exploração comercial do Software. Qualquer prestador poderia clonar o produto, oferecer como SaaS competitivo, e privar o mantenedor da única fonte realista de sustentação. A MIT atende o requisito de transparência mas falha no requisito de sustentabilidade, resultando em modelo insustentável para GovTech de autor único.</w:t>
      </w:r>
    </w:p>
    <w:p>
      <w:pPr>
        <w:pStyle w:val="Heading3"/>
        <w:spacing w:after="100" w:before="180"/>
      </w:pPr>
      <w:r>
        <w:rPr>
          <w:rFonts w:ascii="Arial" w:cs="Arial" w:eastAsia="Arial" w:hAnsi="Arial"/>
          <w:b/>
          <w:bCs/>
          <w:color w:val="2E75B6"/>
          <w:sz w:val="24"/>
          <w:szCs w:val="24"/>
        </w:rPr>
        <w:t xml:space="preserve">3.2.2 Apache License 2.0</w:t>
      </w:r>
    </w:p>
    <w:p>
      <w:pPr>
        <w:spacing w:after="120" w:before="0" w:line="300"/>
        <w:jc w:val="both"/>
      </w:pPr>
      <w:r>
        <w:rPr>
          <w:rFonts w:ascii="Arial" w:cs="Arial" w:eastAsia="Arial" w:hAnsi="Arial"/>
          <w:sz w:val="22"/>
          <w:szCs w:val="22"/>
        </w:rPr>
        <w:t xml:space="preserve">A Apache 2.0 representa o padrão contemporâneo de licença permissiva robusta: traz concessão explícita de patente, cláusulas de indenização e de marca, e mecanismos de adaptação corporativa. Em termos de transparência, auditabilidade e segurança jurídica ela supera a MIT. No entanto, compartilha com a MIT a mesma limitação central: não restringe uso comercial nem oferta as-a-Service por terceiros. Isto torna a Apache 2.0 inadequada como licença primária para o modelo TPGL. Ela permanece, entretanto, a escolha ideal como Licença de Conversão após a Data de Conversão, pois é amplamente reconhecida, compatível com o mercado corporativo, e oferece proteção de patente a usuários do código já convertido. A TPGL v1.1 adota precisamente este arranjo na cláusula 10.</w:t>
      </w:r>
    </w:p>
    <w:p>
      <w:pPr>
        <w:pStyle w:val="Heading3"/>
        <w:spacing w:after="100" w:before="180"/>
      </w:pPr>
      <w:r>
        <w:rPr>
          <w:rFonts w:ascii="Arial" w:cs="Arial" w:eastAsia="Arial" w:hAnsi="Arial"/>
          <w:b/>
          <w:bCs/>
          <w:color w:val="2E75B6"/>
          <w:sz w:val="24"/>
          <w:szCs w:val="24"/>
        </w:rPr>
        <w:t xml:space="preserve">3.2.3 GNU General Public License v3</w:t>
      </w:r>
    </w:p>
    <w:p>
      <w:pPr>
        <w:spacing w:after="120" w:before="0" w:line="300"/>
        <w:jc w:val="both"/>
      </w:pPr>
      <w:r>
        <w:rPr>
          <w:rFonts w:ascii="Arial" w:cs="Arial" w:eastAsia="Arial" w:hAnsi="Arial"/>
          <w:sz w:val="22"/>
          <w:szCs w:val="22"/>
        </w:rPr>
        <w:t xml:space="preserve">A GPL v3 é a licença copyleft clássica, que impõe que todo trabalho derivado mantenha os mesmos termos. Em tese, isto oferece mais proteção ao código aberto que as licenças permissivas. Na prática, para o modelo GovTech da TPGL, a GPL v3 falha por um motivo específico e bem conhecido: o chamado loophole SaaS. A GPL se aciona quando há distribuição do código, mas não quando há apenas uso em servidor remoto. Um terceiro pode pegar o código GPL, modificá-lo, oferecer como SaaS competitivo e jamais redistribuir as modificações, porque não há distribuição. O resultado prático é o mesmo da MIT ou Apache quanto ao risco de SaaS competitivo. Além disso, a GPL impõe copyleft a qualquer integrador corporativo, o que pode dificultar parcerias legítimas com SEBRAE, MGI e outras entidades.</w:t>
      </w:r>
    </w:p>
    <w:p>
      <w:pPr>
        <w:pStyle w:val="Heading3"/>
        <w:spacing w:after="100" w:before="180"/>
      </w:pPr>
      <w:r>
        <w:rPr>
          <w:rFonts w:ascii="Arial" w:cs="Arial" w:eastAsia="Arial" w:hAnsi="Arial"/>
          <w:b/>
          <w:bCs/>
          <w:color w:val="2E75B6"/>
          <w:sz w:val="24"/>
          <w:szCs w:val="24"/>
        </w:rPr>
        <w:t xml:space="preserve">3.2.4 GNU Affero General Public License v3</w:t>
      </w:r>
    </w:p>
    <w:p>
      <w:pPr>
        <w:spacing w:after="120" w:before="0" w:line="300"/>
        <w:jc w:val="both"/>
      </w:pPr>
      <w:r>
        <w:rPr>
          <w:rFonts w:ascii="Arial" w:cs="Arial" w:eastAsia="Arial" w:hAnsi="Arial"/>
          <w:sz w:val="22"/>
          <w:szCs w:val="22"/>
        </w:rPr>
        <w:t xml:space="preserve">A AGPL v3 corrige o loophole SaaS da GPL: quando o código modificado é oferecido como serviço remoto, as modificações precisam ser disponibilizadas aos usuários do serviço. Para o caso TPGL, a AGPL v3 oferece proteção parcial, mas permanece insuficiente por duas razões. Primeiro, ela não impede que um competidor ofereça SaaS concorrente, desde que o competidor também coloque suas modificações sob AGPL; o mecanismo desincentiva mas não proíbe. Segundo, a AGPL tem reputação de ser hostil em ambientes corporativos, o que tem impacto direto na adoção por entidades parceiras do ecossistema GovTech (SEBRAE, MGI, consultorias privadas que integram municípios). Por fim, a AGPL não contempla mecanismo de Change Date, o que impede qualquer compromisso verificável de abertura futura.</w:t>
      </w:r>
    </w:p>
    <w:p>
      <w:pPr>
        <w:pStyle w:val="Heading3"/>
        <w:spacing w:after="100" w:before="180"/>
      </w:pPr>
      <w:r>
        <w:rPr>
          <w:rFonts w:ascii="Arial" w:cs="Arial" w:eastAsia="Arial" w:hAnsi="Arial"/>
          <w:b/>
          <w:bCs/>
          <w:color w:val="2E75B6"/>
          <w:sz w:val="24"/>
          <w:szCs w:val="24"/>
        </w:rPr>
        <w:t xml:space="preserve">3.2.5 Business Source License 1.1</w:t>
      </w:r>
    </w:p>
    <w:p>
      <w:pPr>
        <w:spacing w:after="120" w:before="0" w:line="300"/>
        <w:jc w:val="both"/>
      </w:pPr>
      <w:r>
        <w:rPr>
          <w:rFonts w:ascii="Arial" w:cs="Arial" w:eastAsia="Arial" w:hAnsi="Arial"/>
          <w:sz w:val="22"/>
          <w:szCs w:val="22"/>
        </w:rPr>
        <w:t xml:space="preserve">A BSL 1.1, mantida pela MariaDB Corporation, é o modelo conceitual do qual a TPGL v1.1 deriva. Seu arranjo central é elegante: a licença permite uso livre e amplo para todos os fins não restringidos pelo titular, reservando ao titular o direito de definir restrições específicas (tipicamente, a oferta comercial do próprio software como produto ou serviço). Em paralelo, estabelece uma Data de Conversão (Change Date), após a qual a licença se transforma em uma licença aberta pré-declarada, em geral Apache License 2.0. Este arranjo combina reserva comercial de curto prazo com abertura compromissada de longo prazo. Para a realidade brasileira, a BSL 1.1 precisa de adaptação terminológica, referência expressa à legislação local, e tratamento explícito da LGPD e da LAI. A TPGL v1.1 cumpre essa função de localização jurídica.</w:t>
      </w:r>
    </w:p>
    <w:p>
      <w:pPr>
        <w:pStyle w:val="Heading3"/>
        <w:spacing w:after="100" w:before="180"/>
      </w:pPr>
      <w:r>
        <w:rPr>
          <w:rFonts w:ascii="Arial" w:cs="Arial" w:eastAsia="Arial" w:hAnsi="Arial"/>
          <w:b/>
          <w:bCs/>
          <w:color w:val="2E75B6"/>
          <w:sz w:val="24"/>
          <w:szCs w:val="24"/>
        </w:rPr>
        <w:t xml:space="preserve">3.2.6 Server Side Public License</w:t>
      </w:r>
    </w:p>
    <w:p>
      <w:pPr>
        <w:spacing w:after="120" w:before="0" w:line="300"/>
        <w:jc w:val="both"/>
      </w:pPr>
      <w:r>
        <w:rPr>
          <w:rFonts w:ascii="Arial" w:cs="Arial" w:eastAsia="Arial" w:hAnsi="Arial"/>
          <w:sz w:val="22"/>
          <w:szCs w:val="22"/>
        </w:rPr>
        <w:t xml:space="preserve">A SSPL, publicada pela MongoDB Inc., é a reação mais agressiva ao free-riding de provedores de nuvem. Obriga quem oferece o software como serviço a abrir não apenas o próprio código modificado, mas todo o service stack circundante: orquestração, monitoramento, gerenciamento, interface administrativa. O escopo é de tal ordem que a Open Source Initiative recusou a aprovação da SSPL como licença open source. Para o caso TPGL, a SSPL é manifestamente excessiva: o objetivo da TPGL é preservar sustentabilidade sem sacrificar adoção, enquanto a SSPL impõe aos integradores legítimos um ônus que pode inviabilizar parcerias institucionais.</w:t>
      </w:r>
    </w:p>
    <w:p>
      <w:pPr>
        <w:pStyle w:val="Heading2"/>
        <w:spacing w:after="140" w:before="240"/>
      </w:pPr>
      <w:r>
        <w:rPr>
          <w:rFonts w:ascii="Arial" w:cs="Arial" w:eastAsia="Arial" w:hAnsi="Arial"/>
          <w:b/>
          <w:bCs/>
          <w:color w:val="1F3864"/>
          <w:sz w:val="28"/>
          <w:szCs w:val="28"/>
        </w:rPr>
        <w:t xml:space="preserve">3.3 Conclusão comparativa</w:t>
      </w:r>
    </w:p>
    <w:p>
      <w:pPr>
        <w:spacing w:after="120" w:before="0" w:line="300"/>
        <w:jc w:val="both"/>
      </w:pPr>
      <w:r>
        <w:rPr>
          <w:rFonts w:ascii="Arial" w:cs="Arial" w:eastAsia="Arial" w:hAnsi="Arial"/>
          <w:sz w:val="22"/>
          <w:szCs w:val="22"/>
        </w:rPr>
        <w:t xml:space="preserve">A TPGL v1.1 se diferencia das licenças comparadas em quatro dimensões essenciais: (i) combina fonte publicamente inspecionável com restrição objetiva e delimitada ao Uso Concorrente comercial; (ii) prevê conversão automática para Apache License 2.0 quatro anos após cada publicação de versão, consolidando compromisso público de abertura futura; (iii) incorpora cláusulas de LGPD, LAI, foro e mediação prévia que nenhuma das licenças internacionais traz de forma explícita; (iv) adota redação em português formal brasileiro, com referência cruzada à legislação nacional, o que facilita a homologação por setores jurídicos municipais.</w:t>
      </w:r>
    </w:p>
    <w:p>
      <w:pPr>
        <w:pStyle w:val="Heading1"/>
        <w:pageBreakBefore/>
        <w:spacing w:after="200" w:before="360"/>
      </w:pPr>
      <w:r>
        <w:rPr>
          <w:rFonts w:ascii="Arial" w:cs="Arial" w:eastAsia="Arial" w:hAnsi="Arial"/>
          <w:b/>
          <w:bCs/>
          <w:color w:val="1F3864"/>
          <w:sz w:val="36"/>
          <w:szCs w:val="36"/>
        </w:rPr>
        <w:t xml:space="preserve">4. Modelo Operacional</w:t>
      </w:r>
    </w:p>
    <w:p>
      <w:pPr>
        <w:spacing w:after="120" w:before="0" w:line="300"/>
        <w:jc w:val="both"/>
      </w:pPr>
      <w:r>
        <w:rPr>
          <w:rFonts w:ascii="Arial" w:cs="Arial" w:eastAsia="Arial" w:hAnsi="Arial"/>
          <w:sz w:val="22"/>
          <w:szCs w:val="22"/>
        </w:rPr>
        <w:t xml:space="preserve">Esta seção descreve, em linguagem operacional, como a TPGL v1.1 funciona na prática. O conteúdo jurídico formal está na seção 5 (Licença Completa). O objetivo aqui é tornar a mecânica da licença legível para gestores públicos, técnicos e contribuintes, sem redução do rigor conceitual.</w:t>
      </w:r>
    </w:p>
    <w:p>
      <w:pPr>
        <w:pStyle w:val="Heading2"/>
        <w:spacing w:after="140" w:before="240"/>
      </w:pPr>
      <w:r>
        <w:rPr>
          <w:rFonts w:ascii="Arial" w:cs="Arial" w:eastAsia="Arial" w:hAnsi="Arial"/>
          <w:b/>
          <w:bCs/>
          <w:color w:val="1F3864"/>
          <w:sz w:val="28"/>
          <w:szCs w:val="28"/>
        </w:rPr>
        <w:t xml:space="preserve">4.1 Inspeção e Uso: a distinção central</w:t>
      </w:r>
    </w:p>
    <w:p>
      <w:pPr>
        <w:spacing w:after="120" w:before="0" w:line="300"/>
        <w:jc w:val="both"/>
      </w:pPr>
      <w:r>
        <w:rPr>
          <w:rFonts w:ascii="Arial" w:cs="Arial" w:eastAsia="Arial" w:hAnsi="Arial"/>
          <w:sz w:val="22"/>
          <w:szCs w:val="22"/>
        </w:rPr>
        <w:t xml:space="preserve">A TPGL v1.1 distingue dois modos de interagir com o Software: Inspeção e Uso. Esta distinção é o fundamento operacional da licença.</w:t>
      </w:r>
    </w:p>
    <w:p>
      <w:pPr>
        <w:spacing w:after="120" w:before="0" w:line="300"/>
        <w:jc w:val="both"/>
      </w:pPr>
      <w:r>
        <w:rPr>
          <w:rFonts w:ascii="Arial" w:cs="Arial" w:eastAsia="Arial" w:hAnsi="Arial"/>
          <w:sz w:val="22"/>
          <w:szCs w:val="22"/>
        </w:rPr>
        <w:t xml:space="preserve">Inspeção, conforme a cláusula 1.4, é o ato de leitura, análise estática ou dinâmica não executada, e auditoria de conformidade do Software, sem instalação, execução ou distribuição. Inspeção inclui, por exemplo, ler o código no repositório público, analisar sua arquitetura, auditar algoritmos, verificar conformidade a padrões, discutir publicamente seus méritos técnicos. Inspeção não constitui Uso na acepção do artigo 9 da Lei 9.609/98 e, por consequência, não depende de aceite desta licença. Qualquer pessoa pode inspecionar o Software, a qualquer momento, sem qualquer formalidade.</w:t>
      </w:r>
    </w:p>
    <w:p>
      <w:pPr>
        <w:spacing w:after="120" w:before="0" w:line="300"/>
        <w:jc w:val="both"/>
      </w:pPr>
      <w:r>
        <w:rPr>
          <w:rFonts w:ascii="Arial" w:cs="Arial" w:eastAsia="Arial" w:hAnsi="Arial"/>
          <w:sz w:val="22"/>
          <w:szCs w:val="22"/>
        </w:rPr>
        <w:t xml:space="preserve">Uso, conforme a cláusula 1.3, é qualquer ato de instalação, execução, cópia, modificação, tradução, adaptação, derivação, distribuição ou disponibilização a terceiros do Software. Uso constitui modalidade de exploração econômica da obra na acepção da Lei 9.610/98 e exige aceite formal da TPGL v1.1. O aceite se dá, conforme cláusula 5.2, por clonagem do repositório para uso operacional, execução do Software, submissão formal de aceite eletrônico, ou atos inequívocos de uso.</w:t>
      </w:r>
    </w:p>
    <w:p>
      <w:pPr>
        <w:pStyle w:val="Heading2"/>
        <w:spacing w:after="140" w:before="240"/>
      </w:pPr>
      <w:r>
        <w:rPr>
          <w:rFonts w:ascii="Arial" w:cs="Arial" w:eastAsia="Arial" w:hAnsi="Arial"/>
          <w:b/>
          <w:bCs/>
          <w:color w:val="1F3864"/>
          <w:sz w:val="28"/>
          <w:szCs w:val="28"/>
        </w:rPr>
        <w:t xml:space="preserve">4.2 O que qualquer pessoa pode fazer</w:t>
      </w:r>
    </w:p>
    <w:p>
      <w:pPr>
        <w:spacing w:after="120" w:before="0" w:line="300"/>
        <w:jc w:val="both"/>
      </w:pPr>
      <w:r>
        <w:rPr>
          <w:rFonts w:ascii="Arial" w:cs="Arial" w:eastAsia="Arial" w:hAnsi="Arial"/>
          <w:sz w:val="22"/>
          <w:szCs w:val="22"/>
        </w:rPr>
        <w:t xml:space="preserve">Sem aceite formal, qualquer pessoa pode:</w:t>
      </w:r>
    </w:p>
    <w:p>
      <w:pPr>
        <w:pStyle w:val="ListParagraph"/>
        <w:numPr>
          <w:ilvl w:val="0"/>
          <w:numId w:val="2"/>
        </w:numPr>
        <w:spacing w:after="80" w:line="280"/>
        <w:jc w:val="both"/>
      </w:pPr>
      <w:r>
        <w:rPr>
          <w:rFonts w:ascii="Arial" w:cs="Arial" w:eastAsia="Arial" w:hAnsi="Arial"/>
          <w:sz w:val="22"/>
          <w:szCs w:val="22"/>
        </w:rPr>
        <w:t xml:space="preserve">Ler o código-fonte publicado no repositório oficial.</w:t>
      </w:r>
    </w:p>
    <w:p>
      <w:pPr>
        <w:pStyle w:val="ListParagraph"/>
        <w:numPr>
          <w:ilvl w:val="0"/>
          <w:numId w:val="2"/>
        </w:numPr>
        <w:spacing w:after="80" w:line="280"/>
        <w:jc w:val="both"/>
      </w:pPr>
      <w:r>
        <w:rPr>
          <w:rFonts w:ascii="Arial" w:cs="Arial" w:eastAsia="Arial" w:hAnsi="Arial"/>
          <w:sz w:val="22"/>
          <w:szCs w:val="22"/>
        </w:rPr>
        <w:t xml:space="preserve">Fazer análises estáticas de segurança e qualidade.</w:t>
      </w:r>
    </w:p>
    <w:p>
      <w:pPr>
        <w:pStyle w:val="ListParagraph"/>
        <w:numPr>
          <w:ilvl w:val="0"/>
          <w:numId w:val="2"/>
        </w:numPr>
        <w:spacing w:after="80" w:line="280"/>
        <w:jc w:val="both"/>
      </w:pPr>
      <w:r>
        <w:rPr>
          <w:rFonts w:ascii="Arial" w:cs="Arial" w:eastAsia="Arial" w:hAnsi="Arial"/>
          <w:sz w:val="22"/>
          <w:szCs w:val="22"/>
        </w:rPr>
        <w:t xml:space="preserve">Produzir pareceres técnicos sobre a qualidade do Software.</w:t>
      </w:r>
    </w:p>
    <w:p>
      <w:pPr>
        <w:pStyle w:val="ListParagraph"/>
        <w:numPr>
          <w:ilvl w:val="0"/>
          <w:numId w:val="2"/>
        </w:numPr>
        <w:spacing w:after="80" w:line="280"/>
        <w:jc w:val="both"/>
      </w:pPr>
      <w:r>
        <w:rPr>
          <w:rFonts w:ascii="Arial" w:cs="Arial" w:eastAsia="Arial" w:hAnsi="Arial"/>
          <w:sz w:val="22"/>
          <w:szCs w:val="22"/>
        </w:rPr>
        <w:t xml:space="preserve">Publicar artigos, trabalhos acadêmicos e materiais de imprensa sobre o Software, respeitando autoria.</w:t>
      </w:r>
    </w:p>
    <w:p>
      <w:pPr>
        <w:pStyle w:val="ListParagraph"/>
        <w:numPr>
          <w:ilvl w:val="0"/>
          <w:numId w:val="2"/>
        </w:numPr>
        <w:spacing w:after="80" w:line="280"/>
        <w:jc w:val="both"/>
      </w:pPr>
      <w:r>
        <w:rPr>
          <w:rFonts w:ascii="Arial" w:cs="Arial" w:eastAsia="Arial" w:hAnsi="Arial"/>
          <w:sz w:val="22"/>
          <w:szCs w:val="22"/>
        </w:rPr>
        <w:t xml:space="preserve">Baixar cópia local do repositório exclusivamente para leitura e estudo.</w:t>
      </w:r>
    </w:p>
    <w:p>
      <w:pPr>
        <w:pStyle w:val="ListParagraph"/>
        <w:numPr>
          <w:ilvl w:val="0"/>
          <w:numId w:val="2"/>
        </w:numPr>
        <w:spacing w:after="80" w:line="280"/>
        <w:jc w:val="both"/>
      </w:pPr>
      <w:r>
        <w:rPr>
          <w:rFonts w:ascii="Arial" w:cs="Arial" w:eastAsia="Arial" w:hAnsi="Arial"/>
          <w:sz w:val="22"/>
          <w:szCs w:val="22"/>
        </w:rPr>
        <w:t xml:space="preserve">Auditar em nome de órgãos públicos no exercício de suas competências, na forma da Lei 12.527/11.</w:t>
      </w:r>
    </w:p>
    <w:p>
      <w:pPr>
        <w:pStyle w:val="Heading2"/>
        <w:spacing w:after="140" w:before="240"/>
      </w:pPr>
      <w:r>
        <w:rPr>
          <w:rFonts w:ascii="Arial" w:cs="Arial" w:eastAsia="Arial" w:hAnsi="Arial"/>
          <w:b/>
          <w:bCs/>
          <w:color w:val="1F3864"/>
          <w:sz w:val="28"/>
          <w:szCs w:val="28"/>
        </w:rPr>
        <w:t xml:space="preserve">4.3 O que exige aceite da TPGL</w:t>
      </w:r>
    </w:p>
    <w:p>
      <w:pPr>
        <w:spacing w:after="120" w:before="0" w:line="300"/>
        <w:jc w:val="both"/>
      </w:pPr>
      <w:r>
        <w:rPr>
          <w:rFonts w:ascii="Arial" w:cs="Arial" w:eastAsia="Arial" w:hAnsi="Arial"/>
          <w:sz w:val="22"/>
          <w:szCs w:val="22"/>
        </w:rPr>
        <w:t xml:space="preserve">Com aceite da TPGL v1.1, além das atividades de Inspeção, é permitido:</w:t>
      </w:r>
    </w:p>
    <w:p>
      <w:pPr>
        <w:pStyle w:val="ListParagraph"/>
        <w:numPr>
          <w:ilvl w:val="0"/>
          <w:numId w:val="2"/>
        </w:numPr>
        <w:spacing w:after="80" w:line="280"/>
        <w:jc w:val="both"/>
      </w:pPr>
      <w:r>
        <w:rPr>
          <w:rFonts w:ascii="Arial" w:cs="Arial" w:eastAsia="Arial" w:hAnsi="Arial"/>
          <w:sz w:val="22"/>
          <w:szCs w:val="22"/>
        </w:rPr>
        <w:t xml:space="preserve">Instalar o Software em ambiente interno da organização Licenciada.</w:t>
      </w:r>
    </w:p>
    <w:p>
      <w:pPr>
        <w:pStyle w:val="ListParagraph"/>
        <w:numPr>
          <w:ilvl w:val="0"/>
          <w:numId w:val="2"/>
        </w:numPr>
        <w:spacing w:after="80" w:line="280"/>
        <w:jc w:val="both"/>
      </w:pPr>
      <w:r>
        <w:rPr>
          <w:rFonts w:ascii="Arial" w:cs="Arial" w:eastAsia="Arial" w:hAnsi="Arial"/>
          <w:sz w:val="22"/>
          <w:szCs w:val="22"/>
        </w:rPr>
        <w:t xml:space="preserve">Executar o Software em ambiente de produção para as próprias atividades da Licenciada ou do órgão público, na forma do Additional Use Grant (cláusula 3).</w:t>
      </w:r>
    </w:p>
    <w:p>
      <w:pPr>
        <w:pStyle w:val="ListParagraph"/>
        <w:numPr>
          <w:ilvl w:val="0"/>
          <w:numId w:val="2"/>
        </w:numPr>
        <w:spacing w:after="80" w:line="280"/>
        <w:jc w:val="both"/>
      </w:pPr>
      <w:r>
        <w:rPr>
          <w:rFonts w:ascii="Arial" w:cs="Arial" w:eastAsia="Arial" w:hAnsi="Arial"/>
          <w:sz w:val="22"/>
          <w:szCs w:val="22"/>
        </w:rPr>
        <w:t xml:space="preserve">Modificar o Software para adaptação ao próprio ambiente ou integração com outros sistemas internos.</w:t>
      </w:r>
    </w:p>
    <w:p>
      <w:pPr>
        <w:pStyle w:val="ListParagraph"/>
        <w:numPr>
          <w:ilvl w:val="0"/>
          <w:numId w:val="2"/>
        </w:numPr>
        <w:spacing w:after="80" w:line="280"/>
        <w:jc w:val="both"/>
      </w:pPr>
      <w:r>
        <w:rPr>
          <w:rFonts w:ascii="Arial" w:cs="Arial" w:eastAsia="Arial" w:hAnsi="Arial"/>
          <w:sz w:val="22"/>
          <w:szCs w:val="22"/>
        </w:rPr>
        <w:t xml:space="preserve">Distribuir cópias do Software, modificadas ou não, a outros Órgãos Autorizados, sob os mesmos termos da TPGL.</w:t>
      </w:r>
    </w:p>
    <w:p>
      <w:pPr>
        <w:pStyle w:val="ListParagraph"/>
        <w:numPr>
          <w:ilvl w:val="0"/>
          <w:numId w:val="2"/>
        </w:numPr>
        <w:spacing w:after="80" w:line="280"/>
        <w:jc w:val="both"/>
      </w:pPr>
      <w:r>
        <w:rPr>
          <w:rFonts w:ascii="Arial" w:cs="Arial" w:eastAsia="Arial" w:hAnsi="Arial"/>
          <w:sz w:val="22"/>
          <w:szCs w:val="22"/>
        </w:rPr>
        <w:t xml:space="preserve">Usar o Software para atividades acadêmicas, de pesquisa, ensino ou avaliação técnica, inclusive em ambiente de produção controlado.</w:t>
      </w:r>
    </w:p>
    <w:p>
      <w:pPr>
        <w:pStyle w:val="Heading2"/>
        <w:spacing w:after="140" w:before="240"/>
      </w:pPr>
      <w:r>
        <w:rPr>
          <w:rFonts w:ascii="Arial" w:cs="Arial" w:eastAsia="Arial" w:hAnsi="Arial"/>
          <w:b/>
          <w:bCs/>
          <w:color w:val="1F3864"/>
          <w:sz w:val="28"/>
          <w:szCs w:val="28"/>
        </w:rPr>
        <w:t xml:space="preserve">4.4 O que a licença proíbe sem contrato comercial</w:t>
      </w:r>
    </w:p>
    <w:p>
      <w:pPr>
        <w:spacing w:after="120" w:before="0" w:line="300"/>
        <w:jc w:val="both"/>
      </w:pPr>
      <w:r>
        <w:rPr>
          <w:rFonts w:ascii="Arial" w:cs="Arial" w:eastAsia="Arial" w:hAnsi="Arial"/>
          <w:sz w:val="22"/>
          <w:szCs w:val="22"/>
        </w:rPr>
        <w:t xml:space="preserve">Independentemente de aceite da TPGL v1.1, permanece proibido, sem licença comercial específica obtida segundo a cláusula 7:</w:t>
      </w:r>
    </w:p>
    <w:p>
      <w:pPr>
        <w:pStyle w:val="ListParagraph"/>
        <w:numPr>
          <w:ilvl w:val="0"/>
          <w:numId w:val="2"/>
        </w:numPr>
        <w:spacing w:after="80" w:line="280"/>
        <w:jc w:val="both"/>
      </w:pPr>
      <w:r>
        <w:rPr>
          <w:rFonts w:ascii="Arial" w:cs="Arial" w:eastAsia="Arial" w:hAnsi="Arial"/>
          <w:sz w:val="22"/>
          <w:szCs w:val="22"/>
        </w:rPr>
        <w:t xml:space="preserve">Oferecer a terceiros serviço que tenha o Software como componente material, mediante pagamento, incluindo modelos SaaS, PaaS ou qualquer variação as-a-Service, hospedados ou não.</w:t>
      </w:r>
    </w:p>
    <w:p>
      <w:pPr>
        <w:pStyle w:val="ListParagraph"/>
        <w:numPr>
          <w:ilvl w:val="0"/>
          <w:numId w:val="2"/>
        </w:numPr>
        <w:spacing w:after="80" w:line="280"/>
        <w:jc w:val="both"/>
      </w:pPr>
      <w:r>
        <w:rPr>
          <w:rFonts w:ascii="Arial" w:cs="Arial" w:eastAsia="Arial" w:hAnsi="Arial"/>
          <w:sz w:val="22"/>
          <w:szCs w:val="22"/>
        </w:rPr>
        <w:t xml:space="preserve">Revender, sublicenciar ou distribuir o Software mediante remuneração.</w:t>
      </w:r>
    </w:p>
    <w:p>
      <w:pPr>
        <w:pStyle w:val="ListParagraph"/>
        <w:numPr>
          <w:ilvl w:val="0"/>
          <w:numId w:val="2"/>
        </w:numPr>
        <w:spacing w:after="80" w:line="280"/>
        <w:jc w:val="both"/>
      </w:pPr>
      <w:r>
        <w:rPr>
          <w:rFonts w:ascii="Arial" w:cs="Arial" w:eastAsia="Arial" w:hAnsi="Arial"/>
          <w:sz w:val="22"/>
          <w:szCs w:val="22"/>
        </w:rPr>
        <w:t xml:space="preserve">Utilizar o Software como base para criar produto que substitua total ou parcialmente as funcionalidades nucleares do Software, com finalidade comercial.</w:t>
      </w:r>
    </w:p>
    <w:p>
      <w:pPr>
        <w:pStyle w:val="ListParagraph"/>
        <w:numPr>
          <w:ilvl w:val="0"/>
          <w:numId w:val="2"/>
        </w:numPr>
        <w:spacing w:after="80" w:line="280"/>
        <w:jc w:val="both"/>
      </w:pPr>
      <w:r>
        <w:rPr>
          <w:rFonts w:ascii="Arial" w:cs="Arial" w:eastAsia="Arial" w:hAnsi="Arial"/>
          <w:sz w:val="22"/>
          <w:szCs w:val="22"/>
        </w:rPr>
        <w:t xml:space="preserve">Distribuir o Software para terceiros que não se enquadrem na definição de Órgãos Autorizados.</w:t>
      </w:r>
    </w:p>
    <w:p>
      <w:pPr>
        <w:pStyle w:val="ListParagraph"/>
        <w:numPr>
          <w:ilvl w:val="0"/>
          <w:numId w:val="2"/>
        </w:numPr>
        <w:spacing w:after="80" w:line="280"/>
        <w:jc w:val="both"/>
      </w:pPr>
      <w:r>
        <w:rPr>
          <w:rFonts w:ascii="Arial" w:cs="Arial" w:eastAsia="Arial" w:hAnsi="Arial"/>
          <w:sz w:val="22"/>
          <w:szCs w:val="22"/>
        </w:rPr>
        <w:t xml:space="preserve">Remover, alterar ou ocultar avisos de copyright, atribuições de autoria, identificadores de versão ou notas de licença.</w:t>
      </w:r>
    </w:p>
    <w:p>
      <w:pPr>
        <w:pStyle w:val="ListParagraph"/>
        <w:numPr>
          <w:ilvl w:val="0"/>
          <w:numId w:val="2"/>
        </w:numPr>
        <w:spacing w:after="80" w:line="280"/>
        <w:jc w:val="both"/>
      </w:pPr>
      <w:r>
        <w:rPr>
          <w:rFonts w:ascii="Arial" w:cs="Arial" w:eastAsia="Arial" w:hAnsi="Arial"/>
          <w:sz w:val="22"/>
          <w:szCs w:val="22"/>
        </w:rPr>
        <w:t xml:space="preserve">Utilizar marca, logo, identidade visual ou nome do Licenciante sem autorização formal por escrito.</w:t>
      </w:r>
    </w:p>
    <w:p>
      <w:pPr>
        <w:pStyle w:val="Heading2"/>
        <w:spacing w:after="140" w:before="240"/>
      </w:pPr>
      <w:r>
        <w:rPr>
          <w:rFonts w:ascii="Arial" w:cs="Arial" w:eastAsia="Arial" w:hAnsi="Arial"/>
          <w:b/>
          <w:bCs/>
          <w:color w:val="1F3864"/>
          <w:sz w:val="28"/>
          <w:szCs w:val="28"/>
        </w:rPr>
        <w:t xml:space="preserve">4.5 Como obter licença comercial</w:t>
      </w:r>
    </w:p>
    <w:p>
      <w:pPr>
        <w:spacing w:after="120" w:before="0" w:line="300"/>
        <w:jc w:val="both"/>
      </w:pPr>
      <w:r>
        <w:rPr>
          <w:rFonts w:ascii="Arial" w:cs="Arial" w:eastAsia="Arial" w:hAnsi="Arial"/>
          <w:sz w:val="22"/>
          <w:szCs w:val="22"/>
        </w:rPr>
        <w:t xml:space="preserve">Atores que desejem operar fora dos limites da TPGL v1.1, em especial prestadores de SaaS, integradores comerciais, revendedores e reusos como produto próprio, devem solicitar licença comercial ao Licenciante. A cláusula 7.2 estabelece o canal formal e o prazo de resposta. A Licença Comercial, quando concedida, define em contrato específico o escopo autorizado, a duração e a contrapartida financeira eventual.</w:t>
      </w:r>
    </w:p>
    <w:p>
      <w:pPr>
        <w:pStyle w:val="Heading1"/>
        <w:pageBreakBefore/>
        <w:spacing w:after="200" w:before="360"/>
      </w:pPr>
      <w:r>
        <w:rPr>
          <w:rFonts w:ascii="Arial" w:cs="Arial" w:eastAsia="Arial" w:hAnsi="Arial"/>
          <w:b/>
          <w:bCs/>
          <w:color w:val="1F3864"/>
          <w:sz w:val="36"/>
          <w:szCs w:val="36"/>
        </w:rPr>
        <w:t xml:space="preserve">5. Licença Completa — TPGL v1.1</w:t>
      </w:r>
    </w:p>
    <w:p>
      <w:pPr>
        <w:spacing w:after="120" w:before="0" w:line="300"/>
        <w:jc w:val="both"/>
      </w:pPr>
      <w:r>
        <w:rPr>
          <w:rFonts w:ascii="Arial" w:cs="Arial" w:eastAsia="Arial" w:hAnsi="Arial"/>
          <w:sz w:val="22"/>
          <w:szCs w:val="22"/>
        </w:rPr>
        <w:t xml:space="preserve">A seguir é apresentado o texto integral da Transparent Public Governance License (TPGL), versão 1.1. Este texto tem valor formal e deve, após homologação por advogado(a) brasileiro(a), ser incorporado como arquivo LICENSE na raiz do repositório do Software, anexado ao pacote de distribuição, e referido nos documentos de formalização contratual com Órgãos Autorizados.</w:t>
      </w:r>
    </w:p>
    <w:p>
      <w:pPr>
        <w:pBdr>
          <w:bottom w:val="single" w:color="2E75B6" w:sz="8" w:space="1"/>
        </w:pBdr>
        <w:spacing w:after="160" w:before="80"/>
      </w:pPr>
      <w:r>
        <w:t xml:space="preserve"/>
      </w:r>
    </w:p>
    <w:p>
      <w:pPr>
        <w:spacing w:after="120" w:before="160"/>
        <w:jc w:val="center"/>
      </w:pPr>
      <w:r>
        <w:rPr>
          <w:rFonts w:ascii="Arial" w:cs="Arial" w:eastAsia="Arial" w:hAnsi="Arial"/>
          <w:b/>
          <w:bCs/>
          <w:color w:val="1F3864"/>
          <w:sz w:val="26"/>
          <w:szCs w:val="26"/>
        </w:rPr>
        <w:t xml:space="preserve">TRANSPARENT PUBLIC GOVERNANCE LICENSE (TPGL) — VERSÃO 1.1</w:t>
      </w:r>
    </w:p>
    <w:p>
      <w:pPr>
        <w:spacing w:after="200" w:before="80"/>
        <w:jc w:val="center"/>
      </w:pPr>
      <w:r>
        <w:rPr>
          <w:rFonts w:ascii="Arial" w:cs="Arial" w:eastAsia="Arial" w:hAnsi="Arial"/>
          <w:color w:val="595959"/>
          <w:sz w:val="22"/>
          <w:szCs w:val="22"/>
        </w:rPr>
        <w:t xml:space="preserve">Source-available license for public-interest software.</w:t>
      </w:r>
    </w:p>
    <w:p>
      <w:pPr>
        <w:spacing w:after="80" w:before="0"/>
        <w:jc w:val="center"/>
      </w:pPr>
      <w:r>
        <w:rPr>
          <w:rFonts w:ascii="Arial" w:cs="Arial" w:eastAsia="Arial" w:hAnsi="Arial"/>
          <w:color w:val="595959"/>
          <w:sz w:val="22"/>
          <w:szCs w:val="22"/>
        </w:rPr>
        <w:t xml:space="preserve">This is NOT an open source license per OSI definition.</w:t>
      </w:r>
    </w:p>
    <w:p>
      <w:pPr>
        <w:spacing w:after="200" w:before="0"/>
        <w:jc w:val="center"/>
      </w:pPr>
      <w:r>
        <w:rPr>
          <w:rFonts w:ascii="Arial" w:cs="Arial" w:eastAsia="Arial" w:hAnsi="Arial"/>
          <w:color w:val="595959"/>
          <w:sz w:val="22"/>
          <w:szCs w:val="22"/>
        </w:rPr>
        <w:t xml:space="preserve">This license converts to Apache License 2.0 four years after each release date.</w:t>
      </w:r>
    </w:p>
    <w:p>
      <w:pPr>
        <w:spacing w:after="200" w:before="0"/>
        <w:jc w:val="center"/>
      </w:pPr>
      <w:r>
        <w:rPr>
          <w:rFonts w:ascii="Arial" w:cs="Arial" w:eastAsia="Arial" w:hAnsi="Arial"/>
          <w:color w:val="595959"/>
          <w:sz w:val="20"/>
          <w:szCs w:val="20"/>
        </w:rPr>
        <w:t xml:space="preserve">Copyright (c) 2026 Luís Maurício Junqueira Zanin e contribuintes. Todos os direitos reservados.</w:t>
      </w:r>
    </w:p>
    <w:p>
      <w:pPr>
        <w:pBdr>
          <w:bottom w:val="single" w:color="2E75B6" w:sz="8" w:space="1"/>
        </w:pBdr>
        <w:spacing w:after="160" w:before="80"/>
      </w:pPr>
      <w:r>
        <w:t xml:space="preserve"/>
      </w:r>
    </w:p>
    <w:p>
      <w:pPr>
        <w:pStyle w:val="Heading2"/>
        <w:spacing w:after="140" w:before="240"/>
      </w:pPr>
      <w:r>
        <w:rPr>
          <w:rFonts w:ascii="Arial" w:cs="Arial" w:eastAsia="Arial" w:hAnsi="Arial"/>
          <w:b/>
          <w:bCs/>
          <w:color w:val="1F3864"/>
          <w:sz w:val="28"/>
          <w:szCs w:val="28"/>
        </w:rPr>
        <w:t xml:space="preserve">Preâmbulo</w:t>
      </w:r>
    </w:p>
    <w:p>
      <w:pPr>
        <w:spacing w:after="120" w:before="0" w:line="300"/>
        <w:jc w:val="both"/>
      </w:pPr>
      <w:r>
        <w:rPr>
          <w:rFonts w:ascii="Arial" w:cs="Arial" w:eastAsia="Arial" w:hAnsi="Arial"/>
          <w:sz w:val="22"/>
          <w:szCs w:val="22"/>
        </w:rPr>
        <w:t xml:space="preserve">Esta licença foi desenhada para um sistema de interesse público, voltado a municípios brasileiros, com três compromissos simultâneos: (i) transparência e auditabilidade pública do código, em alinhamento com a Lei 12.527/11 (Lei de Acesso à Informação); (ii) sustentabilidade econômica do mantenedor, mediante reserva de uso comercial competitivo; (iii) conversão automática para Apache License 2.0 quatro anos após cada publicação de versão, garantindo abertura futura. Esta licença é inspirada na Business Source License 1.1 (MariaDB), adaptada ao ordenamento jurídico brasileiro, notadamente às Leis 9.609/98 (Lei de Software) e 9.610/98 (Direitos Autorais).</w:t>
      </w:r>
    </w:p>
    <w:p>
      <w:pPr>
        <w:pStyle w:val="Heading2"/>
        <w:spacing w:after="140" w:before="240"/>
      </w:pPr>
      <w:r>
        <w:rPr>
          <w:rFonts w:ascii="Arial" w:cs="Arial" w:eastAsia="Arial" w:hAnsi="Arial"/>
          <w:b/>
          <w:bCs/>
          <w:color w:val="1F3864"/>
          <w:sz w:val="28"/>
          <w:szCs w:val="28"/>
        </w:rPr>
        <w:t xml:space="preserve">Cláusula 1 — Definições</w:t>
      </w:r>
    </w:p>
    <w:p>
      <w:pPr>
        <w:spacing w:after="120" w:before="0" w:line="300"/>
        <w:jc w:val="both"/>
      </w:pPr>
      <w:r>
        <w:rPr>
          <w:rFonts w:ascii="Arial" w:cs="Arial" w:eastAsia="Arial" w:hAnsi="Arial"/>
          <w:sz w:val="22"/>
          <w:szCs w:val="22"/>
        </w:rPr>
        <w:t xml:space="preserve">1.1 "Licenciante" significa o titular dos direitos patrimoniais sobre o Software, conforme identificado no aviso de copyright.</w:t>
      </w:r>
    </w:p>
    <w:p>
      <w:pPr>
        <w:spacing w:after="120" w:before="0" w:line="300"/>
        <w:jc w:val="both"/>
      </w:pPr>
      <w:r>
        <w:rPr>
          <w:rFonts w:ascii="Arial" w:cs="Arial" w:eastAsia="Arial" w:hAnsi="Arial"/>
          <w:sz w:val="22"/>
          <w:szCs w:val="22"/>
        </w:rPr>
        <w:t xml:space="preserve">1.2 "Software" ou "Obra Licenciada" significa o código-fonte, documentação, planilhas, esquemas de dados e demais artefatos técnicos identificados pelo identificador de versão (APP_RELEASE_VERSION) e respectivo hash de commit publicado pelo Licenciante. A presente licença aplica-se a cada versão isoladamente, com sua própria Data de Conversão.</w:t>
      </w:r>
    </w:p>
    <w:p>
      <w:pPr>
        <w:spacing w:after="120" w:before="0" w:line="300"/>
        <w:jc w:val="both"/>
      </w:pPr>
      <w:r>
        <w:rPr>
          <w:rFonts w:ascii="Arial" w:cs="Arial" w:eastAsia="Arial" w:hAnsi="Arial"/>
          <w:sz w:val="22"/>
          <w:szCs w:val="22"/>
        </w:rPr>
        <w:t xml:space="preserve">1.3 "Uso" significa qualquer ato de instalação, execução, cópia, modificação, tradução, adaptação, derivação, distribuição ou disponibilização a terceiros do Software.</w:t>
      </w:r>
    </w:p>
    <w:p>
      <w:pPr>
        <w:spacing w:after="120" w:before="0" w:line="300"/>
        <w:jc w:val="both"/>
      </w:pPr>
      <w:r>
        <w:rPr>
          <w:rFonts w:ascii="Arial" w:cs="Arial" w:eastAsia="Arial" w:hAnsi="Arial"/>
          <w:sz w:val="22"/>
          <w:szCs w:val="22"/>
        </w:rPr>
        <w:t xml:space="preserve">1.4 "Inspeção" significa o ato de leitura, análise estática ou dinâmica não executada, e auditoria de conformidade do Software, sem instalação, execução ou distribuição. Inspeção não depende de aceite desta licença.</w:t>
      </w:r>
    </w:p>
    <w:p>
      <w:pPr>
        <w:spacing w:after="120" w:before="0" w:line="300"/>
        <w:jc w:val="both"/>
      </w:pPr>
      <w:r>
        <w:rPr>
          <w:rFonts w:ascii="Arial" w:cs="Arial" w:eastAsia="Arial" w:hAnsi="Arial"/>
          <w:sz w:val="22"/>
          <w:szCs w:val="22"/>
        </w:rPr>
        <w:t xml:space="preserve">1.5 "Uso Interno" significa o Uso do Software pelo Licenciado ou por órgão público, dentro de sua própria estrutura organizacional, para gestão de suas próprias atividades.</w:t>
      </w:r>
    </w:p>
    <w:p>
      <w:pPr>
        <w:spacing w:after="120" w:before="0" w:line="300"/>
        <w:jc w:val="both"/>
      </w:pPr>
      <w:r>
        <w:rPr>
          <w:rFonts w:ascii="Arial" w:cs="Arial" w:eastAsia="Arial" w:hAnsi="Arial"/>
          <w:sz w:val="22"/>
          <w:szCs w:val="22"/>
        </w:rPr>
        <w:t xml:space="preserve">1.6 "Uso em Produção" significa o Uso Interno em ambiente operacional, processando dados reais.</w:t>
      </w:r>
    </w:p>
    <w:p>
      <w:pPr>
        <w:spacing w:after="120" w:before="0" w:line="300"/>
        <w:jc w:val="both"/>
      </w:pPr>
      <w:r>
        <w:rPr>
          <w:rFonts w:ascii="Arial" w:cs="Arial" w:eastAsia="Arial" w:hAnsi="Arial"/>
          <w:sz w:val="22"/>
          <w:szCs w:val="22"/>
        </w:rPr>
        <w:t xml:space="preserve">1.7 "Uso Comercial" significa o Uso do Software no qual o Licenciado, de forma direta, oferece, comercializa, licencia a terceiros, ou presta serviços a terceiros tendo o Software como componente material da oferta. Para evitar dúvidas, não se considera Uso Comercial: (a) o Uso Interno por órgão público, ainda que este órgão cobre taxas, emolumentos ou prestações administrativas pelos serviços públicos prestados a terceiros, desde que o Software em si não seja a oferta cobrada; (b) o Uso por organização privada para gestão interna de suas próprias atividades.</w:t>
      </w:r>
    </w:p>
    <w:p>
      <w:pPr>
        <w:spacing w:after="120" w:before="0" w:line="300"/>
        <w:jc w:val="both"/>
      </w:pPr>
      <w:r>
        <w:rPr>
          <w:rFonts w:ascii="Arial" w:cs="Arial" w:eastAsia="Arial" w:hAnsi="Arial"/>
          <w:sz w:val="22"/>
          <w:szCs w:val="22"/>
        </w:rPr>
        <w:t xml:space="preserve">1.8 "Uso Restrito" significa qualquer Uso fora do escopo expressamente concedido por esta licença, incluindo notadamente o Uso Comercial e o Uso Concorrente.</w:t>
      </w:r>
    </w:p>
    <w:p>
      <w:pPr>
        <w:spacing w:after="120" w:before="0" w:line="300"/>
        <w:jc w:val="both"/>
      </w:pPr>
      <w:r>
        <w:rPr>
          <w:rFonts w:ascii="Arial" w:cs="Arial" w:eastAsia="Arial" w:hAnsi="Arial"/>
          <w:sz w:val="22"/>
          <w:szCs w:val="22"/>
        </w:rPr>
        <w:t xml:space="preserve">1.9 "Uso Concorrente" significa qualquer dos seguintes: (a) oferecer a terceiros, mediante pagamento ou contrapartida econômica, serviço (incluindo SaaS, PaaS, hosting, ASP ou qualquer modelo as-a-Service, hospedado ou não) que tenha o Software como componente material; (b) revender, sublicenciar ou distribuir o Software a terceiros mediante remuneração; (c) utilizar o Software como base para criar, oferecer ou operar produto que substitua, total ou parcialmente, o Software ou suas funcionalidades nucleares (seleção de prestadores por rodízio, gestão de credenciamento, emissão de pré-ordens e ordens de serviço, e avaliação de prestadores), com finalidade comercial.</w:t>
      </w:r>
    </w:p>
    <w:p>
      <w:pPr>
        <w:spacing w:after="120" w:before="0" w:line="300"/>
        <w:jc w:val="both"/>
      </w:pPr>
      <w:r>
        <w:rPr>
          <w:rFonts w:ascii="Arial" w:cs="Arial" w:eastAsia="Arial" w:hAnsi="Arial"/>
          <w:sz w:val="22"/>
          <w:szCs w:val="22"/>
        </w:rPr>
        <w:t xml:space="preserve">1.10 "Órgãos Autorizados" significa os entes da administração pública direta ou indireta, nos três níveis federativos, no exercício de competência legal relacionada a contratações, credenciamento, ou fiscalização, incluindo notadamente municípios, Tribunais de Contas, Controladorias, Ministério Público, Ministério da Gestão e Inovação em Serviços Públicos (MGI), e o Serviço Brasileiro de Apoio às Micro e Pequenas Empresas (SEBRAE).</w:t>
      </w:r>
    </w:p>
    <w:p>
      <w:pPr>
        <w:spacing w:after="120" w:before="0" w:line="300"/>
        <w:jc w:val="both"/>
      </w:pPr>
      <w:r>
        <w:rPr>
          <w:rFonts w:ascii="Arial" w:cs="Arial" w:eastAsia="Arial" w:hAnsi="Arial"/>
          <w:sz w:val="22"/>
          <w:szCs w:val="22"/>
        </w:rPr>
        <w:t xml:space="preserve">1.11 "Data de Conversão" significa a data correspondente a quatro (4) anos após a publicação oficial de cada versão do Software pelo Licenciante.</w:t>
      </w:r>
    </w:p>
    <w:p>
      <w:pPr>
        <w:spacing w:after="120" w:before="0" w:line="300"/>
        <w:jc w:val="both"/>
      </w:pPr>
      <w:r>
        <w:rPr>
          <w:rFonts w:ascii="Arial" w:cs="Arial" w:eastAsia="Arial" w:hAnsi="Arial"/>
          <w:sz w:val="22"/>
          <w:szCs w:val="22"/>
        </w:rPr>
        <w:t xml:space="preserve">1.12 "Licença de Conversão" significa a Apache License, versão 2.0, conforme publicada pela Apache Software Foundation.</w:t>
      </w:r>
    </w:p>
    <w:p>
      <w:pPr>
        <w:pStyle w:val="Heading2"/>
        <w:spacing w:after="140" w:before="240"/>
      </w:pPr>
      <w:r>
        <w:rPr>
          <w:rFonts w:ascii="Arial" w:cs="Arial" w:eastAsia="Arial" w:hAnsi="Arial"/>
          <w:b/>
          <w:bCs/>
          <w:color w:val="1F3864"/>
          <w:sz w:val="28"/>
          <w:szCs w:val="28"/>
        </w:rPr>
        <w:t xml:space="preserve">Cláusula 2 — Concessão de Direitos</w:t>
      </w:r>
    </w:p>
    <w:p>
      <w:pPr>
        <w:spacing w:after="120" w:before="0" w:line="300"/>
        <w:jc w:val="both"/>
      </w:pPr>
      <w:r>
        <w:rPr>
          <w:rFonts w:ascii="Arial" w:cs="Arial" w:eastAsia="Arial" w:hAnsi="Arial"/>
          <w:sz w:val="22"/>
          <w:szCs w:val="22"/>
        </w:rPr>
        <w:t xml:space="preserve">2.1 O Licenciante concede ao Licenciado, sujeito ao cumprimento integral desta licença, uma licença mundial, não-exclusiva, não-transferível, gratuita, irrevogável enquanto cumpridas as condições desta licença, para: (a) inspecionar o Software publicamente, sem necessidade de aceite formal; (b) acessar o código-fonte completo; (c) realizar auditoria técnica, de segurança e de conformidade; (d) executar o Software para Uso Interno; (e) modificar o Software para Uso Interno; (f) distribuir o Software, modificado ou não, a Órgãos Autorizados, desde que cada destinatário aceite os termos desta licença.</w:t>
      </w:r>
    </w:p>
    <w:p>
      <w:pPr>
        <w:spacing w:after="120" w:before="0" w:line="300"/>
        <w:jc w:val="both"/>
      </w:pPr>
      <w:r>
        <w:rPr>
          <w:rFonts w:ascii="Arial" w:cs="Arial" w:eastAsia="Arial" w:hAnsi="Arial"/>
          <w:sz w:val="22"/>
          <w:szCs w:val="22"/>
        </w:rPr>
        <w:t xml:space="preserve">2.2 A presente licença opera por inheritance: cada distribuição do Software a terceiro autorizado se dá sob esta mesma TPGL, sem possibilidade de relicenciamento sob termos diferentes pelo Licenciado, até a Data de Conversão.</w:t>
      </w:r>
    </w:p>
    <w:p>
      <w:pPr>
        <w:spacing w:after="120" w:before="0" w:line="300"/>
        <w:jc w:val="both"/>
      </w:pPr>
      <w:r>
        <w:rPr>
          <w:rFonts w:ascii="Arial" w:cs="Arial" w:eastAsia="Arial" w:hAnsi="Arial"/>
          <w:sz w:val="22"/>
          <w:szCs w:val="22"/>
        </w:rPr>
        <w:t xml:space="preserve">2.3 Concessão de Patente. O Licenciante concede ao Licenciado uma licença perpétua, mundial, não-exclusiva, gratuita e irrevogável (exceto na forma do item 11.2) sobre todas as reivindicações patentárias do Licenciante necessariamente infringidas pelo Software em sua forma distribuída pelo Licenciante, exclusivamente para Uso permitido por esta licença. Esta concessão de patente é cessada automaticamente caso o Licenciado inicie ação judicial alegando que o Software, isoladamente ou em combinação, infringe patente do Licenciado.</w:t>
      </w:r>
    </w:p>
    <w:p>
      <w:pPr>
        <w:pStyle w:val="Heading2"/>
        <w:spacing w:after="140" w:before="240"/>
      </w:pPr>
      <w:r>
        <w:rPr>
          <w:rFonts w:ascii="Arial" w:cs="Arial" w:eastAsia="Arial" w:hAnsi="Arial"/>
          <w:b/>
          <w:bCs/>
          <w:color w:val="1F3864"/>
          <w:sz w:val="28"/>
          <w:szCs w:val="28"/>
        </w:rPr>
        <w:t xml:space="preserve">Cláusula 3 — Additional Use Grant</w:t>
      </w:r>
    </w:p>
    <w:p>
      <w:pPr>
        <w:spacing w:after="120" w:before="0" w:line="300"/>
        <w:jc w:val="both"/>
      </w:pPr>
      <w:r>
        <w:rPr>
          <w:rFonts w:ascii="Arial" w:cs="Arial" w:eastAsia="Arial" w:hAnsi="Arial"/>
          <w:sz w:val="22"/>
          <w:szCs w:val="22"/>
        </w:rPr>
        <w:t xml:space="preserve">3.1 Para fins de evitar qualquer dúvida sobre o escopo permitido em Uso em Produção, o Licenciante concede expressamente o direito de: (a) Uso em Produção por órgãos públicos, no exercício de suas atividades administrativas, ainda que estes órgãos cobrem taxas administrativas dos administrados pelos serviços públicos prestados; (b) Uso em Produção por organização privada exclusivamente para gestão interna de suas próprias atividades, sem oferta a terceiros; (c) Uso para fins acadêmicos, de pesquisa, de ensino e de avaliação técnica, ainda que em ambiente de produção controlado; (d) distribuição gratuita do Software, modificado ou não, entre Órgãos Autorizados.</w:t>
      </w:r>
    </w:p>
    <w:p>
      <w:pPr>
        <w:spacing w:after="120" w:before="0" w:line="300"/>
        <w:jc w:val="both"/>
      </w:pPr>
      <w:r>
        <w:rPr>
          <w:rFonts w:ascii="Arial" w:cs="Arial" w:eastAsia="Arial" w:hAnsi="Arial"/>
          <w:sz w:val="22"/>
          <w:szCs w:val="22"/>
        </w:rPr>
        <w:t xml:space="preserve">3.2 Qualquer Uso fora do escopo do item 3.1 constitui Uso Restrito e exige licença comercial específica conforme cláusula 7.</w:t>
      </w:r>
    </w:p>
    <w:p>
      <w:pPr>
        <w:pStyle w:val="Heading2"/>
        <w:spacing w:after="140" w:before="240"/>
      </w:pPr>
      <w:r>
        <w:rPr>
          <w:rFonts w:ascii="Arial" w:cs="Arial" w:eastAsia="Arial" w:hAnsi="Arial"/>
          <w:b/>
          <w:bCs/>
          <w:color w:val="1F3864"/>
          <w:sz w:val="28"/>
          <w:szCs w:val="28"/>
        </w:rPr>
        <w:t xml:space="preserve">Cláusula 4 — Restrições</w:t>
      </w:r>
    </w:p>
    <w:p>
      <w:pPr>
        <w:spacing w:after="120" w:before="0" w:line="300"/>
        <w:jc w:val="both"/>
      </w:pPr>
      <w:r>
        <w:rPr>
          <w:rFonts w:ascii="Arial" w:cs="Arial" w:eastAsia="Arial" w:hAnsi="Arial"/>
          <w:sz w:val="22"/>
          <w:szCs w:val="22"/>
        </w:rPr>
        <w:t xml:space="preserve">4.1 É expressamente vedado, sem licença comercial específica: (a) Uso Concorrente, conforme definido no item 1.9; (b) oferecer o Software como SaaS, PaaS ou qualquer modelo as-a-Service, hospedado ou não, a terceiros; (c) comercializar, sublicenciar ou revender o Software; (d) utilizar o Software como base para produto que substitua, total ou parcialmente, suas funcionalidades nucleares com finalidade comercial; (e) distribuir o Software a terceiros não autorizados; (f) remover, alterar ou ocultar avisos de copyright, notas de licença, atribuição de autoria, ou identificadores de versão; (g) utilizar marcas, logos, nomes ou identidade visual do Licenciante sem autorização formal e por escrito.</w:t>
      </w:r>
    </w:p>
    <w:p>
      <w:pPr>
        <w:spacing w:after="120" w:before="0" w:line="300"/>
        <w:jc w:val="both"/>
      </w:pPr>
      <w:r>
        <w:rPr>
          <w:rFonts w:ascii="Arial" w:cs="Arial" w:eastAsia="Arial" w:hAnsi="Arial"/>
          <w:sz w:val="22"/>
          <w:szCs w:val="22"/>
        </w:rPr>
        <w:t xml:space="preserve">4.2 As proibições do item 4.1 não se aplicam a usos expressamente permitidos pelo Additional Use Grant (cláusula 3) nem a usos para os quais foi obtida licença comercial específica (cláusula 7).</w:t>
      </w:r>
    </w:p>
    <w:p>
      <w:pPr>
        <w:spacing w:after="120" w:before="0" w:line="300"/>
        <w:jc w:val="both"/>
      </w:pPr>
      <w:r>
        <w:rPr>
          <w:rFonts w:ascii="Arial" w:cs="Arial" w:eastAsia="Arial" w:hAnsi="Arial"/>
          <w:sz w:val="22"/>
          <w:szCs w:val="22"/>
        </w:rPr>
        <w:t xml:space="preserve">4.3 Esta licença não restringe direitos garantidos por norma cogente brasileira, incluindo notadamente os direitos de decompilação para fins de interoperabilidade previstos no art. 6, I, da Lei 9.609/98.</w:t>
      </w:r>
    </w:p>
    <w:p>
      <w:pPr>
        <w:pStyle w:val="Heading2"/>
        <w:spacing w:after="140" w:before="240"/>
      </w:pPr>
      <w:r>
        <w:rPr>
          <w:rFonts w:ascii="Arial" w:cs="Arial" w:eastAsia="Arial" w:hAnsi="Arial"/>
          <w:b/>
          <w:bCs/>
          <w:color w:val="1F3864"/>
          <w:sz w:val="28"/>
          <w:szCs w:val="28"/>
        </w:rPr>
        <w:t xml:space="preserve">Cláusula 5 — Acesso ao Código-Fonte e Transparência</w:t>
      </w:r>
    </w:p>
    <w:p>
      <w:pPr>
        <w:spacing w:after="120" w:before="0" w:line="300"/>
        <w:jc w:val="both"/>
      </w:pPr>
      <w:r>
        <w:rPr>
          <w:rFonts w:ascii="Arial" w:cs="Arial" w:eastAsia="Arial" w:hAnsi="Arial"/>
          <w:sz w:val="22"/>
          <w:szCs w:val="22"/>
        </w:rPr>
        <w:t xml:space="preserve">5.1 O Licenciante mantém o Software publicamente disponível em repositório identificado, com código-fonte integral acessível para Inspeção por qualquer pessoa, sem necessidade de identificação prévia nem aceite formal desta licença para o ato de leitura.</w:t>
      </w:r>
    </w:p>
    <w:p>
      <w:pPr>
        <w:spacing w:after="120" w:before="0" w:line="300"/>
        <w:jc w:val="both"/>
      </w:pPr>
      <w:r>
        <w:rPr>
          <w:rFonts w:ascii="Arial" w:cs="Arial" w:eastAsia="Arial" w:hAnsi="Arial"/>
          <w:sz w:val="22"/>
          <w:szCs w:val="22"/>
        </w:rPr>
        <w:t xml:space="preserve">5.2 O aceite desta licença é necessário para qualquer Uso (instalação, execução, modificação, distribuição). O aceite se dá por: (a) clonagem ou download do repositório para uso operacional; (b) execução do Software; (c) submissão formal de aceite eletrônico; ou (d) atos inequívocos de uso.</w:t>
      </w:r>
    </w:p>
    <w:p>
      <w:pPr>
        <w:spacing w:after="120" w:before="0" w:line="300"/>
        <w:jc w:val="both"/>
      </w:pPr>
      <w:r>
        <w:rPr>
          <w:rFonts w:ascii="Arial" w:cs="Arial" w:eastAsia="Arial" w:hAnsi="Arial"/>
          <w:sz w:val="22"/>
          <w:szCs w:val="22"/>
        </w:rPr>
        <w:t xml:space="preserve">5.3 Auditoria por Órgãos Autorizados e por cidadãos no exercício do direito previsto na Lei 12.527/11 é expressamente permitida e não depende de autorização prévia do Licenciante.</w:t>
      </w:r>
    </w:p>
    <w:p>
      <w:pPr>
        <w:pStyle w:val="Heading2"/>
        <w:spacing w:after="140" w:before="240"/>
      </w:pPr>
      <w:r>
        <w:rPr>
          <w:rFonts w:ascii="Arial" w:cs="Arial" w:eastAsia="Arial" w:hAnsi="Arial"/>
          <w:b/>
          <w:bCs/>
          <w:color w:val="1F3864"/>
          <w:sz w:val="28"/>
          <w:szCs w:val="28"/>
        </w:rPr>
        <w:t xml:space="preserve">Cláusula 6 — Contribuições</w:t>
      </w:r>
    </w:p>
    <w:p>
      <w:pPr>
        <w:spacing w:after="120" w:before="0" w:line="300"/>
        <w:jc w:val="both"/>
      </w:pPr>
      <w:r>
        <w:rPr>
          <w:rFonts w:ascii="Arial" w:cs="Arial" w:eastAsia="Arial" w:hAnsi="Arial"/>
          <w:sz w:val="22"/>
          <w:szCs w:val="22"/>
        </w:rPr>
        <w:t xml:space="preserve">6.1 Toda contribuição ao Software, incluindo correções, novas funcionalidades, documentação e testes, é submetida sob os termos do Contributor License Agreement (CLA) anexo (CLA.md), o qual estabelece, no máximo permitido pela Lei 9.610/98 art. 49: (a) cessão das modalidades patrimoniais do contribuinte ao Licenciante para todas as modalidades conhecidas de uso; (b) garantia de autoria e originalidade; (c) concessão expressa de licença de patente do contribuinte ao Licenciante e usuários da TPGL.</w:t>
      </w:r>
    </w:p>
    <w:p>
      <w:pPr>
        <w:spacing w:after="120" w:before="0" w:line="300"/>
        <w:jc w:val="both"/>
      </w:pPr>
      <w:r>
        <w:rPr>
          <w:rFonts w:ascii="Arial" w:cs="Arial" w:eastAsia="Arial" w:hAnsi="Arial"/>
          <w:sz w:val="22"/>
          <w:szCs w:val="22"/>
        </w:rPr>
        <w:t xml:space="preserve">6.2 Direitos morais do contribuinte (autoria, integridade) são inalienáveis e expressamente preservados (Lei 9.610 art. 24).</w:t>
      </w:r>
    </w:p>
    <w:p>
      <w:pPr>
        <w:spacing w:after="120" w:before="0" w:line="300"/>
        <w:jc w:val="both"/>
      </w:pPr>
      <w:r>
        <w:rPr>
          <w:rFonts w:ascii="Arial" w:cs="Arial" w:eastAsia="Arial" w:hAnsi="Arial"/>
          <w:sz w:val="22"/>
          <w:szCs w:val="22"/>
        </w:rPr>
        <w:t xml:space="preserve">6.3 Contribuições sem CLA aceito por meio rastreável (signed-off-by no commit ou aceite eletrônico em pull request) não serão incorporadas ao Software.</w:t>
      </w:r>
    </w:p>
    <w:p>
      <w:pPr>
        <w:pStyle w:val="Heading2"/>
        <w:spacing w:after="140" w:before="240"/>
      </w:pPr>
      <w:r>
        <w:rPr>
          <w:rFonts w:ascii="Arial" w:cs="Arial" w:eastAsia="Arial" w:hAnsi="Arial"/>
          <w:b/>
          <w:bCs/>
          <w:color w:val="1F3864"/>
          <w:sz w:val="28"/>
          <w:szCs w:val="28"/>
        </w:rPr>
        <w:t xml:space="preserve">Cláusula 7 — Licença Comercial</w:t>
      </w:r>
    </w:p>
    <w:p>
      <w:pPr>
        <w:spacing w:after="120" w:before="0" w:line="300"/>
        <w:jc w:val="both"/>
      </w:pPr>
      <w:r>
        <w:rPr>
          <w:rFonts w:ascii="Arial" w:cs="Arial" w:eastAsia="Arial" w:hAnsi="Arial"/>
          <w:sz w:val="22"/>
          <w:szCs w:val="22"/>
        </w:rPr>
        <w:t xml:space="preserve">7.1 Qualquer uso fora do escopo desta licença, incluindo Uso Concorrente e Uso Comercial, requer licença comercial específica e expressa do Licenciante.</w:t>
      </w:r>
    </w:p>
    <w:p>
      <w:pPr>
        <w:spacing w:after="120" w:before="0" w:line="300"/>
        <w:jc w:val="both"/>
      </w:pPr>
      <w:r>
        <w:rPr>
          <w:rFonts w:ascii="Arial" w:cs="Arial" w:eastAsia="Arial" w:hAnsi="Arial"/>
          <w:sz w:val="22"/>
          <w:szCs w:val="22"/>
        </w:rPr>
        <w:t xml:space="preserve">7.2 Solicitações de licença comercial devem ser enviadas ao canal formal indicado em SECURITY.md e no README do repositório, com resposta do Licenciante em até quinze (15) dias úteis. A não-resposta no prazo não constitui aceite tácito.</w:t>
      </w:r>
    </w:p>
    <w:p>
      <w:pPr>
        <w:spacing w:after="120" w:before="0" w:line="300"/>
        <w:jc w:val="both"/>
      </w:pPr>
      <w:r>
        <w:rPr>
          <w:rFonts w:ascii="Arial" w:cs="Arial" w:eastAsia="Arial" w:hAnsi="Arial"/>
          <w:sz w:val="22"/>
          <w:szCs w:val="22"/>
        </w:rPr>
        <w:t xml:space="preserve">7.3 O Licenciante reserva-se o direito de definir condições comerciais (tabela de preços, escopo de uso permitido, duração) em cada caso.</w:t>
      </w:r>
    </w:p>
    <w:p>
      <w:pPr>
        <w:pStyle w:val="Heading2"/>
        <w:spacing w:after="140" w:before="240"/>
      </w:pPr>
      <w:r>
        <w:rPr>
          <w:rFonts w:ascii="Arial" w:cs="Arial" w:eastAsia="Arial" w:hAnsi="Arial"/>
          <w:b/>
          <w:bCs/>
          <w:color w:val="1F3864"/>
          <w:sz w:val="28"/>
          <w:szCs w:val="28"/>
        </w:rPr>
        <w:t xml:space="preserve">Cláusula 8 — Propriedade Intelectual e Marcas</w:t>
      </w:r>
    </w:p>
    <w:p>
      <w:pPr>
        <w:spacing w:after="120" w:before="0" w:line="300"/>
        <w:jc w:val="both"/>
      </w:pPr>
      <w:r>
        <w:rPr>
          <w:rFonts w:ascii="Arial" w:cs="Arial" w:eastAsia="Arial" w:hAnsi="Arial"/>
          <w:sz w:val="22"/>
          <w:szCs w:val="22"/>
        </w:rPr>
        <w:t xml:space="preserve">8.1 Esta licença não concede ao Licenciado: (a) qualquer direito sobre marcas, logos, identidade visual ou trade dress associados ao Software ou ao Licenciante; (b) qualquer direito sobre segredos comerciais ou know-how não publicado; (c) qualquer direito de uso do nome do Licenciante para fins de endosso ou promoção.</w:t>
      </w:r>
    </w:p>
    <w:p>
      <w:pPr>
        <w:spacing w:after="120" w:before="0" w:line="300"/>
        <w:jc w:val="both"/>
      </w:pPr>
      <w:r>
        <w:rPr>
          <w:rFonts w:ascii="Arial" w:cs="Arial" w:eastAsia="Arial" w:hAnsi="Arial"/>
          <w:sz w:val="22"/>
          <w:szCs w:val="22"/>
        </w:rPr>
        <w:t xml:space="preserve">8.2 O uso da marca ou identidade visual do Software e do Licenciante depende de autorização formal e por escrito.</w:t>
      </w:r>
    </w:p>
    <w:p>
      <w:pPr>
        <w:pStyle w:val="Heading2"/>
        <w:spacing w:after="140" w:before="240"/>
      </w:pPr>
      <w:r>
        <w:rPr>
          <w:rFonts w:ascii="Arial" w:cs="Arial" w:eastAsia="Arial" w:hAnsi="Arial"/>
          <w:b/>
          <w:bCs/>
          <w:color w:val="1F3864"/>
          <w:sz w:val="28"/>
          <w:szCs w:val="28"/>
        </w:rPr>
        <w:t xml:space="preserve">Cláusula 9 — Ausência de Tratamento de Dados Pessoais pelo Licenciante</w:t>
      </w:r>
    </w:p>
    <w:p>
      <w:pPr>
        <w:spacing w:after="120" w:before="0" w:line="300"/>
        <w:jc w:val="both"/>
      </w:pPr>
      <w:r>
        <w:rPr>
          <w:rFonts w:ascii="Arial" w:cs="Arial" w:eastAsia="Arial" w:hAnsi="Arial"/>
          <w:sz w:val="22"/>
          <w:szCs w:val="22"/>
        </w:rPr>
        <w:t xml:space="preserve">9.1 O Software, na sua forma distribuída, não envia dados ao Licenciante. O Licenciante não opera nem controla, em razão desta licença, qualquer tratamento de dados pessoais realizado pelos Licenciados.</w:t>
      </w:r>
    </w:p>
    <w:p>
      <w:pPr>
        <w:spacing w:after="120" w:before="0" w:line="300"/>
        <w:jc w:val="both"/>
      </w:pPr>
      <w:r>
        <w:rPr>
          <w:rFonts w:ascii="Arial" w:cs="Arial" w:eastAsia="Arial" w:hAnsi="Arial"/>
          <w:sz w:val="22"/>
          <w:szCs w:val="22"/>
        </w:rPr>
        <w:t xml:space="preserve">9.2 Cada Licenciado é o controlador (ou operador, conforme o caso) dos dados pessoais que tratar com o Software, sendo responsável pelo cumprimento integral da Lei 13.709/18 (LGPD) em sua operação.</w:t>
      </w:r>
    </w:p>
    <w:p>
      <w:pPr>
        <w:spacing w:after="120" w:before="0" w:line="300"/>
        <w:jc w:val="both"/>
      </w:pPr>
      <w:r>
        <w:rPr>
          <w:rFonts w:ascii="Arial" w:cs="Arial" w:eastAsia="Arial" w:hAnsi="Arial"/>
          <w:sz w:val="22"/>
          <w:szCs w:val="22"/>
        </w:rPr>
        <w:t xml:space="preserve">9.3 O Licenciante coopera com o Licenciado no atendimento de relatórios de impacto à proteção de dados (RIPD) e requisitos análogos, nas condições razoáveis a serem acordadas.</w:t>
      </w:r>
    </w:p>
    <w:p>
      <w:pPr>
        <w:pStyle w:val="Heading2"/>
        <w:spacing w:after="140" w:before="240"/>
      </w:pPr>
      <w:r>
        <w:rPr>
          <w:rFonts w:ascii="Arial" w:cs="Arial" w:eastAsia="Arial" w:hAnsi="Arial"/>
          <w:b/>
          <w:bCs/>
          <w:color w:val="1F3864"/>
          <w:sz w:val="28"/>
          <w:szCs w:val="28"/>
        </w:rPr>
        <w:t xml:space="preserve">Cláusula 10 — Data de Conversão e Licença de Conversão</w:t>
      </w:r>
    </w:p>
    <w:p>
      <w:pPr>
        <w:spacing w:after="120" w:before="0" w:line="300"/>
        <w:jc w:val="both"/>
      </w:pPr>
      <w:r>
        <w:rPr>
          <w:rFonts w:ascii="Arial" w:cs="Arial" w:eastAsia="Arial" w:hAnsi="Arial"/>
          <w:sz w:val="22"/>
          <w:szCs w:val="22"/>
        </w:rPr>
        <w:t xml:space="preserve">10.1 A partir da Data de Conversão de cada versão do Software (quatro anos após a respectiva publicação oficial pelo Licenciante), aquela versão específica será automaticamente disponibilizada sob a Licença de Conversão (Apache License 2.0).</w:t>
      </w:r>
    </w:p>
    <w:p>
      <w:pPr>
        <w:spacing w:after="120" w:before="0" w:line="300"/>
        <w:jc w:val="both"/>
      </w:pPr>
      <w:r>
        <w:rPr>
          <w:rFonts w:ascii="Arial" w:cs="Arial" w:eastAsia="Arial" w:hAnsi="Arial"/>
          <w:sz w:val="22"/>
          <w:szCs w:val="22"/>
        </w:rPr>
        <w:t xml:space="preserve">10.2 A partir da Data de Conversão de uma versão: (a) todas as restrições desta TPGL deixam de se aplicar a essa versão; (b) a versão passa a ser open source nos termos da Apache License 2.0; (c) versões posteriores ainda sob TPGL não são afetadas.</w:t>
      </w:r>
    </w:p>
    <w:p>
      <w:pPr>
        <w:spacing w:after="120" w:before="0" w:line="300"/>
        <w:jc w:val="both"/>
      </w:pPr>
      <w:r>
        <w:rPr>
          <w:rFonts w:ascii="Arial" w:cs="Arial" w:eastAsia="Arial" w:hAnsi="Arial"/>
          <w:sz w:val="22"/>
          <w:szCs w:val="22"/>
        </w:rPr>
        <w:t xml:space="preserve">10.3 O Licenciante mantém registro público das datas de publicação de cada versão, para fins de cálculo da Data de Conversão.</w:t>
      </w:r>
    </w:p>
    <w:p>
      <w:pPr>
        <w:pStyle w:val="Heading2"/>
        <w:spacing w:after="140" w:before="240"/>
      </w:pPr>
      <w:r>
        <w:rPr>
          <w:rFonts w:ascii="Arial" w:cs="Arial" w:eastAsia="Arial" w:hAnsi="Arial"/>
          <w:b/>
          <w:bCs/>
          <w:color w:val="1F3864"/>
          <w:sz w:val="28"/>
          <w:szCs w:val="28"/>
        </w:rPr>
        <w:t xml:space="preserve">Cláusula 11 — Rescisão e Cura</w:t>
      </w:r>
    </w:p>
    <w:p>
      <w:pPr>
        <w:spacing w:after="120" w:before="0" w:line="300"/>
        <w:jc w:val="both"/>
      </w:pPr>
      <w:r>
        <w:rPr>
          <w:rFonts w:ascii="Arial" w:cs="Arial" w:eastAsia="Arial" w:hAnsi="Arial"/>
          <w:sz w:val="22"/>
          <w:szCs w:val="22"/>
        </w:rPr>
        <w:t xml:space="preserve">11.1 Em caso de violação desta licença pelo Licenciado, o Licenciante notificará por escrito a violação identificada.</w:t>
      </w:r>
    </w:p>
    <w:p>
      <w:pPr>
        <w:spacing w:after="120" w:before="0" w:line="300"/>
        <w:jc w:val="both"/>
      </w:pPr>
      <w:r>
        <w:rPr>
          <w:rFonts w:ascii="Arial" w:cs="Arial" w:eastAsia="Arial" w:hAnsi="Arial"/>
          <w:sz w:val="22"/>
          <w:szCs w:val="22"/>
        </w:rPr>
        <w:t xml:space="preserve">11.2 O Licenciado terá prazo de trinta (30) dias corridos, contados do recebimento da notificação, para sanar a violação ou apresentar justificativa fundamentada.</w:t>
      </w:r>
    </w:p>
    <w:p>
      <w:pPr>
        <w:spacing w:after="120" w:before="0" w:line="300"/>
        <w:jc w:val="both"/>
      </w:pPr>
      <w:r>
        <w:rPr>
          <w:rFonts w:ascii="Arial" w:cs="Arial" w:eastAsia="Arial" w:hAnsi="Arial"/>
          <w:sz w:val="22"/>
          <w:szCs w:val="22"/>
        </w:rPr>
        <w:t xml:space="preserve">11.3 Saneada a violação no prazo, a licença permanece em vigor.</w:t>
      </w:r>
    </w:p>
    <w:p>
      <w:pPr>
        <w:spacing w:after="120" w:before="0" w:line="300"/>
        <w:jc w:val="both"/>
      </w:pPr>
      <w:r>
        <w:rPr>
          <w:rFonts w:ascii="Arial" w:cs="Arial" w:eastAsia="Arial" w:hAnsi="Arial"/>
          <w:sz w:val="22"/>
          <w:szCs w:val="22"/>
        </w:rPr>
        <w:t xml:space="preserve">11.4 Não saneada a violação no prazo, esta licença é automaticamente rescindida em relação ao Licenciado infrator, cessando todos os direitos concedidos, sem prejuízo da reparação civil cabível.</w:t>
      </w:r>
    </w:p>
    <w:p>
      <w:pPr>
        <w:spacing w:after="120" w:before="0" w:line="300"/>
        <w:jc w:val="both"/>
      </w:pPr>
      <w:r>
        <w:rPr>
          <w:rFonts w:ascii="Arial" w:cs="Arial" w:eastAsia="Arial" w:hAnsi="Arial"/>
          <w:sz w:val="22"/>
          <w:szCs w:val="22"/>
        </w:rPr>
        <w:t xml:space="preserve">11.5 O Licenciado que, antes de qualquer notificação, identificar uso em violação e cessar voluntariamente o uso violador, não será considerado em violação para fins desta cláusula.</w:t>
      </w:r>
    </w:p>
    <w:p>
      <w:pPr>
        <w:pStyle w:val="Heading2"/>
        <w:spacing w:after="140" w:before="240"/>
      </w:pPr>
      <w:r>
        <w:rPr>
          <w:rFonts w:ascii="Arial" w:cs="Arial" w:eastAsia="Arial" w:hAnsi="Arial"/>
          <w:b/>
          <w:bCs/>
          <w:color w:val="1F3864"/>
          <w:sz w:val="28"/>
          <w:szCs w:val="28"/>
        </w:rPr>
        <w:t xml:space="preserve">Cláusula 12 — Isenção de Garantia e Limitação de Responsabilidade</w:t>
      </w:r>
    </w:p>
    <w:p>
      <w:pPr>
        <w:spacing w:after="120" w:before="0" w:line="300"/>
        <w:jc w:val="both"/>
      </w:pPr>
      <w:r>
        <w:rPr>
          <w:rFonts w:ascii="Arial" w:cs="Arial" w:eastAsia="Arial" w:hAnsi="Arial"/>
          <w:sz w:val="22"/>
          <w:szCs w:val="22"/>
        </w:rPr>
        <w:t xml:space="preserve">12.1 O Software é fornecido "NO ESTADO EM QUE SE ENCONTRA", sem garantias de qualquer tipo, expressas ou implícitas, incluindo, sem limitação, garantias de comerciabilidade, adequação à finalidade específica, e não infração.</w:t>
      </w:r>
    </w:p>
    <w:p>
      <w:pPr>
        <w:spacing w:after="120" w:before="0" w:line="300"/>
        <w:jc w:val="both"/>
      </w:pPr>
      <w:r>
        <w:rPr>
          <w:rFonts w:ascii="Arial" w:cs="Arial" w:eastAsia="Arial" w:hAnsi="Arial"/>
          <w:sz w:val="22"/>
          <w:szCs w:val="22"/>
        </w:rPr>
        <w:t xml:space="preserve">12.2 Em nenhuma hipótese o Licenciante responderá por danos indiretos, incidentais, consequenciais, especiais ou punitivos decorrentes do Uso ou impossibilidade de Uso do Software, ainda que avisado da possibilidade de tais danos.</w:t>
      </w:r>
    </w:p>
    <w:p>
      <w:pPr>
        <w:spacing w:after="120" w:before="0" w:line="300"/>
        <w:jc w:val="both"/>
      </w:pPr>
      <w:r>
        <w:rPr>
          <w:rFonts w:ascii="Arial" w:cs="Arial" w:eastAsia="Arial" w:hAnsi="Arial"/>
          <w:sz w:val="22"/>
          <w:szCs w:val="22"/>
        </w:rPr>
        <w:t xml:space="preserve">12.3 A presente cláusula é aplicável no máximo permitido pelo direito brasileiro.</w:t>
      </w:r>
    </w:p>
    <w:p>
      <w:pPr>
        <w:pStyle w:val="Heading2"/>
        <w:spacing w:after="140" w:before="240"/>
      </w:pPr>
      <w:r>
        <w:rPr>
          <w:rFonts w:ascii="Arial" w:cs="Arial" w:eastAsia="Arial" w:hAnsi="Arial"/>
          <w:b/>
          <w:bCs/>
          <w:color w:val="1F3864"/>
          <w:sz w:val="28"/>
          <w:szCs w:val="28"/>
        </w:rPr>
        <w:t xml:space="preserve">Cláusula 13 — Legislação Aplicável e Foro</w:t>
      </w:r>
    </w:p>
    <w:p>
      <w:pPr>
        <w:spacing w:after="120" w:before="0" w:line="300"/>
        <w:jc w:val="both"/>
      </w:pPr>
      <w:r>
        <w:rPr>
          <w:rFonts w:ascii="Arial" w:cs="Arial" w:eastAsia="Arial" w:hAnsi="Arial"/>
          <w:sz w:val="22"/>
          <w:szCs w:val="22"/>
        </w:rPr>
        <w:t xml:space="preserve">13.1 Esta licença é regida pelas leis da República Federativa do Brasil, em especial pelas Leis 9.609/98, 9.610/98, 12.527/11 e 13.709/18.</w:t>
      </w:r>
    </w:p>
    <w:p>
      <w:pPr>
        <w:spacing w:after="120" w:before="0" w:line="300"/>
        <w:jc w:val="both"/>
      </w:pPr>
      <w:r>
        <w:rPr>
          <w:rFonts w:ascii="Arial" w:cs="Arial" w:eastAsia="Arial" w:hAnsi="Arial"/>
          <w:sz w:val="22"/>
          <w:szCs w:val="22"/>
        </w:rPr>
        <w:t xml:space="preserve">13.2 As partes elegem o foro da Comarca de [CIDADE/UF DO LICENCIANTE] para dirimir quaisquer controvérsias decorrentes desta licença, ressalvada a competência constitucional ou legal de outro foro quando o Licenciado for ente público.</w:t>
      </w:r>
    </w:p>
    <w:p>
      <w:pPr>
        <w:spacing w:after="120" w:before="0" w:line="300"/>
        <w:jc w:val="both"/>
      </w:pPr>
      <w:r>
        <w:rPr>
          <w:rFonts w:ascii="Arial" w:cs="Arial" w:eastAsia="Arial" w:hAnsi="Arial"/>
          <w:sz w:val="22"/>
          <w:szCs w:val="22"/>
        </w:rPr>
        <w:t xml:space="preserve">13.3 As partes podem, antes de propor ação judicial, submeter a controvérsia a mediação nos termos da Lei 13.140/15.</w:t>
      </w:r>
    </w:p>
    <w:p>
      <w:pPr>
        <w:pStyle w:val="Heading2"/>
        <w:spacing w:after="140" w:before="240"/>
      </w:pPr>
      <w:r>
        <w:rPr>
          <w:rFonts w:ascii="Arial" w:cs="Arial" w:eastAsia="Arial" w:hAnsi="Arial"/>
          <w:b/>
          <w:bCs/>
          <w:color w:val="1F3864"/>
          <w:sz w:val="28"/>
          <w:szCs w:val="28"/>
        </w:rPr>
        <w:t xml:space="preserve">Cláusula 14 — Disposições Finais</w:t>
      </w:r>
    </w:p>
    <w:p>
      <w:pPr>
        <w:spacing w:after="120" w:before="0" w:line="300"/>
        <w:jc w:val="both"/>
      </w:pPr>
      <w:r>
        <w:rPr>
          <w:rFonts w:ascii="Arial" w:cs="Arial" w:eastAsia="Arial" w:hAnsi="Arial"/>
          <w:sz w:val="22"/>
          <w:szCs w:val="22"/>
        </w:rPr>
        <w:t xml:space="preserve">14.1 Esta licença, juntamente com o CLA anexo, constitui o acordo integral entre as partes quanto ao licenciamento do Software.</w:t>
      </w:r>
    </w:p>
    <w:p>
      <w:pPr>
        <w:spacing w:after="120" w:before="0" w:line="300"/>
        <w:jc w:val="both"/>
      </w:pPr>
      <w:r>
        <w:rPr>
          <w:rFonts w:ascii="Arial" w:cs="Arial" w:eastAsia="Arial" w:hAnsi="Arial"/>
          <w:sz w:val="22"/>
          <w:szCs w:val="22"/>
        </w:rPr>
        <w:t xml:space="preserve">14.2 Caso qualquer cláusula desta licença seja declarada inválida ou inexequível, as demais permanecem em vigor.</w:t>
      </w:r>
    </w:p>
    <w:p>
      <w:pPr>
        <w:spacing w:after="120" w:before="0" w:line="300"/>
        <w:jc w:val="both"/>
      </w:pPr>
      <w:r>
        <w:rPr>
          <w:rFonts w:ascii="Arial" w:cs="Arial" w:eastAsia="Arial" w:hAnsi="Arial"/>
          <w:sz w:val="22"/>
          <w:szCs w:val="22"/>
        </w:rPr>
        <w:t xml:space="preserve">14.3 Em caso de divergência entre versões em diferentes idiomas, prevalece esta versão em português.</w:t>
      </w:r>
    </w:p>
    <w:p>
      <w:pPr>
        <w:spacing w:after="120" w:before="0" w:line="300"/>
        <w:jc w:val="both"/>
      </w:pPr>
      <w:r>
        <w:rPr>
          <w:rFonts w:ascii="Arial" w:cs="Arial" w:eastAsia="Arial" w:hAnsi="Arial"/>
          <w:sz w:val="22"/>
          <w:szCs w:val="22"/>
        </w:rPr>
        <w:t xml:space="preserve">14.4 O Licenciante pode publicar versões futuras desta licença com numeração crescente. Versões já publicadas do Software permanecem regidas pela versão da licença vigente na sua data de publicação.</w:t>
      </w:r>
    </w:p>
    <w:p>
      <w:pPr>
        <w:spacing w:after="120" w:before="0" w:line="300"/>
        <w:jc w:val="both"/>
      </w:pPr>
      <w:r>
        <w:rPr>
          <w:rFonts w:ascii="Arial" w:cs="Arial" w:eastAsia="Arial" w:hAnsi="Arial"/>
          <w:sz w:val="22"/>
          <w:szCs w:val="22"/>
        </w:rPr>
        <w:t xml:space="preserve">14.5 Esta licença não caracteriza software open source sob a definição da Open Source Initiative (OSI), embora se converta em open source (Apache License 2.0) na Data de Conversão de cada versão.</w:t>
      </w:r>
    </w:p>
    <w:p>
      <w:pPr>
        <w:pBdr>
          <w:bottom w:val="single" w:color="2E75B6" w:sz="8" w:space="1"/>
        </w:pBdr>
        <w:spacing w:after="160" w:before="80"/>
      </w:pPr>
      <w:r>
        <w:t xml:space="preserve"/>
      </w:r>
    </w:p>
    <w:p>
      <w:pPr>
        <w:spacing w:after="240" w:before="120"/>
        <w:jc w:val="center"/>
      </w:pPr>
      <w:r>
        <w:rPr>
          <w:rFonts w:ascii="Arial" w:cs="Arial" w:eastAsia="Arial" w:hAnsi="Arial"/>
          <w:b/>
          <w:bCs/>
          <w:color w:val="1F3864"/>
          <w:sz w:val="22"/>
          <w:szCs w:val="22"/>
        </w:rPr>
        <w:t xml:space="preserve">FIM DA TPGL v1.1</w:t>
      </w:r>
    </w:p>
    <w:p>
      <w:pPr>
        <w:pStyle w:val="Heading1"/>
        <w:pageBreakBefore/>
        <w:spacing w:after="200" w:before="360"/>
      </w:pPr>
      <w:r>
        <w:rPr>
          <w:rFonts w:ascii="Arial" w:cs="Arial" w:eastAsia="Arial" w:hAnsi="Arial"/>
          <w:b/>
          <w:bCs/>
          <w:color w:val="1F3864"/>
          <w:sz w:val="36"/>
          <w:szCs w:val="36"/>
        </w:rPr>
        <w:t xml:space="preserve">6. README Jurídico — Guia de Uso</w:t>
      </w:r>
    </w:p>
    <w:p>
      <w:pPr>
        <w:spacing w:after="120" w:before="0" w:line="300"/>
        <w:jc w:val="both"/>
      </w:pPr>
      <w:r>
        <w:rPr>
          <w:rFonts w:ascii="Arial" w:cs="Arial" w:eastAsia="Arial" w:hAnsi="Arial"/>
          <w:sz w:val="22"/>
          <w:szCs w:val="22"/>
        </w:rPr>
        <w:t xml:space="preserve">Este guia orienta gestores públicos, técnicos municipais e parceiros institucionais sobre a aplicação prática da TPGL v1.1. Não substitui o texto da licença apresentado na seção 5. Em caso de divergência entre este guia e a licença formal, prevalece o texto da licença.</w:t>
      </w:r>
    </w:p>
    <w:p>
      <w:pPr>
        <w:pStyle w:val="Heading2"/>
        <w:spacing w:after="140" w:before="240"/>
      </w:pPr>
      <w:r>
        <w:rPr>
          <w:rFonts w:ascii="Arial" w:cs="Arial" w:eastAsia="Arial" w:hAnsi="Arial"/>
          <w:b/>
          <w:bCs/>
          <w:color w:val="1F3864"/>
          <w:sz w:val="28"/>
          <w:szCs w:val="28"/>
        </w:rPr>
        <w:t xml:space="preserve">6.1 Como um município pode usar</w:t>
      </w:r>
    </w:p>
    <w:p>
      <w:pPr>
        <w:spacing w:after="120" w:before="0" w:line="300"/>
        <w:jc w:val="both"/>
      </w:pPr>
      <w:r>
        <w:rPr>
          <w:rFonts w:ascii="Arial" w:cs="Arial" w:eastAsia="Arial" w:hAnsi="Arial"/>
          <w:sz w:val="22"/>
          <w:szCs w:val="22"/>
        </w:rPr>
        <w:t xml:space="preserve">O município pode usar o Software dentro de sua própria estrutura administrativa, conforme o Additional Use Grant (cláusula 3). Os passos recomendados são: (i) aprovação interna pelo setor jurídico do município, com juntada do texto da TPGL v1.1 ao processo; (ii) aceite formal da licença pelo gestor responsável, registrado em ato administrativo; (iii) instalação do Software em ambiente controlado municipal; (iv) configuração conforme a realidade do município; (v) operação normal, com guarda de hash SHA-256 do binário instalado para fins de rastreabilidade futura; (vi) publicação da versão utilizada em página de transparência, quando aplicável, em alinhamento com a LAI.</w:t>
      </w:r>
    </w:p>
    <w:p>
      <w:pPr>
        <w:pStyle w:val="Heading2"/>
        <w:spacing w:after="140" w:before="240"/>
      </w:pPr>
      <w:r>
        <w:rPr>
          <w:rFonts w:ascii="Arial" w:cs="Arial" w:eastAsia="Arial" w:hAnsi="Arial"/>
          <w:b/>
          <w:bCs/>
          <w:color w:val="1F3864"/>
          <w:sz w:val="28"/>
          <w:szCs w:val="28"/>
        </w:rPr>
        <w:t xml:space="preserve">6.2 O que o município pode fazer</w:t>
      </w:r>
    </w:p>
    <w:p>
      <w:pPr>
        <w:pStyle w:val="ListParagraph"/>
        <w:numPr>
          <w:ilvl w:val="0"/>
          <w:numId w:val="2"/>
        </w:numPr>
        <w:spacing w:after="80" w:line="280"/>
        <w:jc w:val="both"/>
      </w:pPr>
      <w:r>
        <w:rPr>
          <w:rFonts w:ascii="Arial" w:cs="Arial" w:eastAsia="Arial" w:hAnsi="Arial"/>
          <w:sz w:val="22"/>
          <w:szCs w:val="22"/>
        </w:rPr>
        <w:t xml:space="preserve">Instalar, executar e modificar o Software para gestão interna de credenciamento, rodízio, ordens de serviço e avaliação de prestadores.</w:t>
      </w:r>
    </w:p>
    <w:p>
      <w:pPr>
        <w:pStyle w:val="ListParagraph"/>
        <w:numPr>
          <w:ilvl w:val="0"/>
          <w:numId w:val="2"/>
        </w:numPr>
        <w:spacing w:after="80" w:line="280"/>
        <w:jc w:val="both"/>
      </w:pPr>
      <w:r>
        <w:rPr>
          <w:rFonts w:ascii="Arial" w:cs="Arial" w:eastAsia="Arial" w:hAnsi="Arial"/>
          <w:sz w:val="22"/>
          <w:szCs w:val="22"/>
        </w:rPr>
        <w:t xml:space="preserve">Integrar o Software com outros sistemas municipais existentes, respeitando a delimitação de Uso Interno.</w:t>
      </w:r>
    </w:p>
    <w:p>
      <w:pPr>
        <w:pStyle w:val="ListParagraph"/>
        <w:numPr>
          <w:ilvl w:val="0"/>
          <w:numId w:val="2"/>
        </w:numPr>
        <w:spacing w:after="80" w:line="280"/>
        <w:jc w:val="both"/>
      </w:pPr>
      <w:r>
        <w:rPr>
          <w:rFonts w:ascii="Arial" w:cs="Arial" w:eastAsia="Arial" w:hAnsi="Arial"/>
          <w:sz w:val="22"/>
          <w:szCs w:val="22"/>
        </w:rPr>
        <w:t xml:space="preserve">Distribuir cópias, modificadas ou não, para outros municípios ou órgãos públicos (Órgãos Autorizados), sob a mesma TPGL v1.1.</w:t>
      </w:r>
    </w:p>
    <w:p>
      <w:pPr>
        <w:pStyle w:val="ListParagraph"/>
        <w:numPr>
          <w:ilvl w:val="0"/>
          <w:numId w:val="2"/>
        </w:numPr>
        <w:spacing w:after="80" w:line="280"/>
        <w:jc w:val="both"/>
      </w:pPr>
      <w:r>
        <w:rPr>
          <w:rFonts w:ascii="Arial" w:cs="Arial" w:eastAsia="Arial" w:hAnsi="Arial"/>
          <w:sz w:val="22"/>
          <w:szCs w:val="22"/>
        </w:rPr>
        <w:t xml:space="preserve">Disponibilizar o código para auditoria por Tribunal de Contas, Controladoria, Ministério Público ou cidadão, em atendimento à LAI.</w:t>
      </w:r>
    </w:p>
    <w:p>
      <w:pPr>
        <w:pStyle w:val="ListParagraph"/>
        <w:numPr>
          <w:ilvl w:val="0"/>
          <w:numId w:val="2"/>
        </w:numPr>
        <w:spacing w:after="80" w:line="280"/>
        <w:jc w:val="both"/>
      </w:pPr>
      <w:r>
        <w:rPr>
          <w:rFonts w:ascii="Arial" w:cs="Arial" w:eastAsia="Arial" w:hAnsi="Arial"/>
          <w:sz w:val="22"/>
          <w:szCs w:val="22"/>
        </w:rPr>
        <w:t xml:space="preserve">Cobrar taxas administrativas dos cidadãos pelos serviços públicos que o Software ajuda a operar, sem que isso configure Uso Comercial do Software.</w:t>
      </w:r>
    </w:p>
    <w:p>
      <w:pPr>
        <w:pStyle w:val="Heading2"/>
        <w:spacing w:after="140" w:before="240"/>
      </w:pPr>
      <w:r>
        <w:rPr>
          <w:rFonts w:ascii="Arial" w:cs="Arial" w:eastAsia="Arial" w:hAnsi="Arial"/>
          <w:b/>
          <w:bCs/>
          <w:color w:val="1F3864"/>
          <w:sz w:val="28"/>
          <w:szCs w:val="28"/>
        </w:rPr>
        <w:t xml:space="preserve">6.3 O que o município não pode fazer</w:t>
      </w:r>
    </w:p>
    <w:p>
      <w:pPr>
        <w:pStyle w:val="ListParagraph"/>
        <w:numPr>
          <w:ilvl w:val="0"/>
          <w:numId w:val="2"/>
        </w:numPr>
        <w:spacing w:after="80" w:line="280"/>
        <w:jc w:val="both"/>
      </w:pPr>
      <w:r>
        <w:rPr>
          <w:rFonts w:ascii="Arial" w:cs="Arial" w:eastAsia="Arial" w:hAnsi="Arial"/>
          <w:sz w:val="22"/>
          <w:szCs w:val="22"/>
        </w:rPr>
        <w:t xml:space="preserve">Oferecer o Software como serviço remunerado a outros municípios ou terceiros fora do escopo do Additional Use Grant.</w:t>
      </w:r>
    </w:p>
    <w:p>
      <w:pPr>
        <w:pStyle w:val="ListParagraph"/>
        <w:numPr>
          <w:ilvl w:val="0"/>
          <w:numId w:val="2"/>
        </w:numPr>
        <w:spacing w:after="80" w:line="280"/>
        <w:jc w:val="both"/>
      </w:pPr>
      <w:r>
        <w:rPr>
          <w:rFonts w:ascii="Arial" w:cs="Arial" w:eastAsia="Arial" w:hAnsi="Arial"/>
          <w:sz w:val="22"/>
          <w:szCs w:val="22"/>
        </w:rPr>
        <w:t xml:space="preserve">Sublicenciar o Software a empresa privada para operação comercial.</w:t>
      </w:r>
    </w:p>
    <w:p>
      <w:pPr>
        <w:pStyle w:val="ListParagraph"/>
        <w:numPr>
          <w:ilvl w:val="0"/>
          <w:numId w:val="2"/>
        </w:numPr>
        <w:spacing w:after="80" w:line="280"/>
        <w:jc w:val="both"/>
      </w:pPr>
      <w:r>
        <w:rPr>
          <w:rFonts w:ascii="Arial" w:cs="Arial" w:eastAsia="Arial" w:hAnsi="Arial"/>
          <w:sz w:val="22"/>
          <w:szCs w:val="22"/>
        </w:rPr>
        <w:t xml:space="preserve">Remover avisos de copyright ou identificadores de versão do Software.</w:t>
      </w:r>
    </w:p>
    <w:p>
      <w:pPr>
        <w:pStyle w:val="ListParagraph"/>
        <w:numPr>
          <w:ilvl w:val="0"/>
          <w:numId w:val="2"/>
        </w:numPr>
        <w:spacing w:after="80" w:line="280"/>
        <w:jc w:val="both"/>
      </w:pPr>
      <w:r>
        <w:rPr>
          <w:rFonts w:ascii="Arial" w:cs="Arial" w:eastAsia="Arial" w:hAnsi="Arial"/>
          <w:sz w:val="22"/>
          <w:szCs w:val="22"/>
        </w:rPr>
        <w:t xml:space="preserve">Usar a marca ou nome do Licenciante para endossar serviços municipais, sem autorização formal.</w:t>
      </w:r>
    </w:p>
    <w:p>
      <w:pPr>
        <w:pStyle w:val="Heading2"/>
        <w:spacing w:after="140" w:before="240"/>
      </w:pPr>
      <w:r>
        <w:rPr>
          <w:rFonts w:ascii="Arial" w:cs="Arial" w:eastAsia="Arial" w:hAnsi="Arial"/>
          <w:b/>
          <w:bCs/>
          <w:color w:val="1F3864"/>
          <w:sz w:val="28"/>
          <w:szCs w:val="28"/>
        </w:rPr>
        <w:t xml:space="preserve">6.4 Como auditar</w:t>
      </w:r>
    </w:p>
    <w:p>
      <w:pPr>
        <w:spacing w:after="120" w:before="0" w:line="300"/>
        <w:jc w:val="both"/>
      </w:pPr>
      <w:r>
        <w:rPr>
          <w:rFonts w:ascii="Arial" w:cs="Arial" w:eastAsia="Arial" w:hAnsi="Arial"/>
          <w:sz w:val="22"/>
          <w:szCs w:val="22"/>
        </w:rPr>
        <w:t xml:space="preserve">A auditoria pode ser conduzida pelo próprio município, por Tribunal de Contas, Controladoria, auditoria externa contratada ou cidadão interessado, em linha com a Lei 12.527/11. O Software está publicamente disponível para Inspeção no repositório oficial, sem necessidade de autorização prévia. Recomenda-se que a auditoria inclua: (i) leitura do código-fonte da versão específica em uso, referenciada por hash SHA-256; (ii) verificação da integridade do binário instalado; (iii) leitura da matriz mestre de testes publicada em auditoria/03; (iv) exame dos registros de audit log do Software em operação; (v) conferência dos relatórios de bateria oficial mais recentes, disponíveis no pacote de evidências da release correspondente.</w:t>
      </w:r>
    </w:p>
    <w:p>
      <w:pPr>
        <w:pStyle w:val="Heading2"/>
        <w:spacing w:after="140" w:before="240"/>
      </w:pPr>
      <w:r>
        <w:rPr>
          <w:rFonts w:ascii="Arial" w:cs="Arial" w:eastAsia="Arial" w:hAnsi="Arial"/>
          <w:b/>
          <w:bCs/>
          <w:color w:val="1F3864"/>
          <w:sz w:val="28"/>
          <w:szCs w:val="28"/>
        </w:rPr>
        <w:t xml:space="preserve">6.5 Como integrar ao SaaS do mantenedor</w:t>
      </w:r>
    </w:p>
    <w:p>
      <w:pPr>
        <w:spacing w:after="120" w:before="0" w:line="300"/>
        <w:jc w:val="both"/>
      </w:pPr>
      <w:r>
        <w:rPr>
          <w:rFonts w:ascii="Arial" w:cs="Arial" w:eastAsia="Arial" w:hAnsi="Arial"/>
          <w:sz w:val="22"/>
          <w:szCs w:val="22"/>
        </w:rPr>
        <w:t xml:space="preserve">Prestadores e parceiros que desejem integrar o Software a uma oferta SaaS comercial própria, ou construir sobre ele produtos derivados para mercado, devem solicitar licença comercial específica ao Licenciante, na forma da cláusula 7. O processo de solicitação deve conter: (i) identificação do solicitante e dos responsáveis legais; (ii) descrição técnica detalhada da integração pretendida; (iii) escopo geográfico e setorial; (iv) modelo de receita previsto; (v) prazo pretendido. O Licenciante responderá em até quinze (15) dias úteis com a decisão e, em caso de aceite, com a proposta de termos comerciais.</w:t>
      </w:r>
    </w:p>
    <w:p>
      <w:pPr>
        <w:pStyle w:val="Heading2"/>
        <w:spacing w:after="140" w:before="240"/>
      </w:pPr>
      <w:r>
        <w:rPr>
          <w:rFonts w:ascii="Arial" w:cs="Arial" w:eastAsia="Arial" w:hAnsi="Arial"/>
          <w:b/>
          <w:bCs/>
          <w:color w:val="1F3864"/>
          <w:sz w:val="28"/>
          <w:szCs w:val="28"/>
        </w:rPr>
        <w:t xml:space="preserve">6.6 Como cumprir a licença</w:t>
      </w:r>
    </w:p>
    <w:p>
      <w:pPr>
        <w:spacing w:after="120" w:before="0" w:line="300"/>
        <w:jc w:val="both"/>
      </w:pPr>
      <w:r>
        <w:rPr>
          <w:rFonts w:ascii="Arial" w:cs="Arial" w:eastAsia="Arial" w:hAnsi="Arial"/>
          <w:sz w:val="22"/>
          <w:szCs w:val="22"/>
        </w:rPr>
        <w:t xml:space="preserve">Para garantir conformidade continuada com a TPGL v1.1, o Licenciado (seja município, organização privada ou parceiro institucional) deve observar quatro práticas:</w:t>
      </w:r>
    </w:p>
    <w:p>
      <w:pPr>
        <w:pStyle w:val="ListParagraph"/>
        <w:numPr>
          <w:ilvl w:val="0"/>
          <w:numId w:val="3"/>
        </w:numPr>
        <w:spacing w:after="80" w:line="280"/>
        <w:jc w:val="both"/>
      </w:pPr>
      <w:r>
        <w:rPr>
          <w:rFonts w:ascii="Arial" w:cs="Arial" w:eastAsia="Arial" w:hAnsi="Arial"/>
          <w:sz w:val="22"/>
          <w:szCs w:val="22"/>
        </w:rPr>
        <w:t xml:space="preserve">Preservar, no próprio ambiente de uso, a integridade dos avisos de copyright, da atribuição de autoria e dos identificadores de versão do Software.</w:t>
      </w:r>
    </w:p>
    <w:p>
      <w:pPr>
        <w:pStyle w:val="ListParagraph"/>
        <w:numPr>
          <w:ilvl w:val="0"/>
          <w:numId w:val="3"/>
        </w:numPr>
        <w:spacing w:after="80" w:line="280"/>
        <w:jc w:val="both"/>
      </w:pPr>
      <w:r>
        <w:rPr>
          <w:rFonts w:ascii="Arial" w:cs="Arial" w:eastAsia="Arial" w:hAnsi="Arial"/>
          <w:sz w:val="22"/>
          <w:szCs w:val="22"/>
        </w:rPr>
        <w:t xml:space="preserve">Manter registro documental do aceite da TPGL v1.1, seja por meio de clickwrap em portal de download oficial, seja por ato administrativo interno no caso de municípios.</w:t>
      </w:r>
    </w:p>
    <w:p>
      <w:pPr>
        <w:pStyle w:val="ListParagraph"/>
        <w:numPr>
          <w:ilvl w:val="0"/>
          <w:numId w:val="3"/>
        </w:numPr>
        <w:spacing w:after="80" w:line="280"/>
        <w:jc w:val="both"/>
      </w:pPr>
      <w:r>
        <w:rPr>
          <w:rFonts w:ascii="Arial" w:cs="Arial" w:eastAsia="Arial" w:hAnsi="Arial"/>
          <w:sz w:val="22"/>
          <w:szCs w:val="22"/>
        </w:rPr>
        <w:t xml:space="preserve">Registrar, quando possível, o hash SHA-256 da versão efetivamente utilizada, para fins de rastreabilidade e auditoria.</w:t>
      </w:r>
    </w:p>
    <w:p>
      <w:pPr>
        <w:pStyle w:val="ListParagraph"/>
        <w:numPr>
          <w:ilvl w:val="0"/>
          <w:numId w:val="3"/>
        </w:numPr>
        <w:spacing w:after="80" w:line="280"/>
        <w:jc w:val="both"/>
      </w:pPr>
      <w:r>
        <w:rPr>
          <w:rFonts w:ascii="Arial" w:cs="Arial" w:eastAsia="Arial" w:hAnsi="Arial"/>
          <w:sz w:val="22"/>
          <w:szCs w:val="22"/>
        </w:rPr>
        <w:t xml:space="preserve">Observar o Additional Use Grant e as restrições da cláusula 4, consultando o Licenciante em caso de dúvida interpretativa antes de qualquer operação que possa configurar Uso Restrito.</w:t>
      </w:r>
    </w:p>
    <w:p>
      <w:pPr>
        <w:pStyle w:val="Heading1"/>
        <w:pageBreakBefore/>
        <w:spacing w:after="200" w:before="360"/>
      </w:pPr>
      <w:r>
        <w:rPr>
          <w:rFonts w:ascii="Arial" w:cs="Arial" w:eastAsia="Arial" w:hAnsi="Arial"/>
          <w:b/>
          <w:bCs/>
          <w:color w:val="1F3864"/>
          <w:sz w:val="36"/>
          <w:szCs w:val="36"/>
        </w:rPr>
        <w:t xml:space="preserve">7. Análise de Riscos</w:t>
      </w:r>
    </w:p>
    <w:p>
      <w:pPr>
        <w:spacing w:after="120" w:before="0" w:line="300"/>
        <w:jc w:val="both"/>
      </w:pPr>
      <w:r>
        <w:rPr>
          <w:rFonts w:ascii="Arial" w:cs="Arial" w:eastAsia="Arial" w:hAnsi="Arial"/>
          <w:sz w:val="22"/>
          <w:szCs w:val="22"/>
        </w:rPr>
        <w:t xml:space="preserve">Esta seção enumera os riscos associados à adoção da TPGL v1.1 e as mitigações previstas ou recomendadas. Os riscos são agrupados em quatro classes: jurídicos, concorrenciais, interpretativos e reputacionais.</w:t>
      </w:r>
    </w:p>
    <w:p>
      <w:pPr>
        <w:pStyle w:val="Heading2"/>
        <w:spacing w:after="140" w:before="240"/>
      </w:pPr>
      <w:r>
        <w:rPr>
          <w:rFonts w:ascii="Arial" w:cs="Arial" w:eastAsia="Arial" w:hAnsi="Arial"/>
          <w:b/>
          <w:bCs/>
          <w:color w:val="1F3864"/>
          <w:sz w:val="28"/>
          <w:szCs w:val="28"/>
        </w:rPr>
        <w:t xml:space="preserve">7.1 Matriz consolidada de riscos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1200"/>
        <w:gridCol w:w="296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Classe</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Risco</w:t>
            </w:r>
          </w:p>
        </w:tc>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Probabilidade</w:t>
            </w:r>
          </w:p>
        </w:tc>
        <w:tc>
          <w:tcPr>
            <w:tcW w:type="dxa" w:w="1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Impacto</w:t>
            </w:r>
          </w:p>
        </w:tc>
        <w:tc>
          <w:tcPr>
            <w:tcW w:type="dxa" w:w="2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40" w:line="260"/>
            </w:pPr>
            <w:r>
              <w:rPr>
                <w:rFonts w:ascii="Arial" w:cs="Arial" w:eastAsia="Arial" w:hAnsi="Arial"/>
                <w:b/>
                <w:bCs/>
                <w:color w:val="FFFFFF"/>
                <w:sz w:val="20"/>
                <w:szCs w:val="20"/>
              </w:rPr>
              <w:t xml:space="preserve">Mitigação</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Jurídico</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Declaração de nulidade parcial de cláusula restritiva em juízo</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Baixa</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Alto</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Redação objetiva de Uso Concorrente (1.9); preservação de direitos cogentes (4.3); alternativa comercial formal (cláusula 7)</w:t>
            </w:r>
          </w:p>
        </w:tc>
      </w:tr>
      <w:tr>
        <w:trPr>
          <w:tblHeader w:val="false"/>
        </w:trP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Jurídico</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Arguição de CLA inválido por generalidade em cessão de direitos autorais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Baixa</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CLA.md formal anexo, com texto expresso nos termos da Lei 9.610 art. 49, aceite rastreável em commit signed-off-by</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Jurídico</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Conflito com LAI em caso de uso municipal</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Muito baixa</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Baixo</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Cláusulas 5.1 e 5.3 reconhecem acesso público para inspeção e auditoria por cidadão</w:t>
            </w:r>
          </w:p>
        </w:tc>
      </w:tr>
      <w:tr>
        <w:trPr>
          <w:tblHeader w:val="false"/>
        </w:trP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Jurídico</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Incompatibilidade percebida com Lei 14.133/2021</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Baixa</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Licença perpétua para uso permitido (2.1); remoção da revogabilidade ad nutum; cure period de 30 dias (11.2)</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Concorrencial</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Terceiro oferece SaaS competitivo violando a licença</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Média</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Alto</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Definição objetiva em 1.9(a); caminho formal de licença comercial em 7; cure period de 30 dias permite ação de conformidade antes de ação judicial</w:t>
            </w:r>
          </w:p>
        </w:tc>
      </w:tr>
      <w:tr>
        <w:trPr>
          <w:tblHeader w:val="false"/>
        </w:trP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Concorrencial</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Fork acadêmico ou municipal usado comercialmente no futuro</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Média</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Licença opera por inheritance (2.2); distribuição a Órgãos Autorizados mantém os mesmos termos</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Concorrencial</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Competidor reconstruir o sistema por engenharia limpa a partir da leitura pública</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Média</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Médio</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Risco residual inevitável em qualquer licença source-available; mitigado pela velocidade de evolução do produto e pela Change Date conservadora (4 anos)</w:t>
            </w:r>
          </w:p>
        </w:tc>
      </w:tr>
      <w:tr>
        <w:trPr>
          <w:tblHeader w:val="false"/>
        </w:trP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Interpretativo</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Dúvida de município sobre o que configura Uso Comercial</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Alta no início</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Definição 1.7 com exceção explícita de taxas administrativas; guia operacional na seção 4 e no README jurídico (seção 6)</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Interpretativo</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Divergência sobre abrangência de Órgãos Autorizados</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Média</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Baixo</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Definição 1.10 enumerativa e critério funcional (competência legal relacionada a contratações)</w:t>
            </w:r>
          </w:p>
        </w:tc>
      </w:tr>
      <w:tr>
        <w:trPr>
          <w:tblHeader w:val="false"/>
        </w:trP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Interpretativo</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Confusão entre Inspeção e Uso</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Alta no início</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Definições 1.3 e 1.4 distintas; seção 4 do documento institucional detalha a distinção</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Reputacional</w:t>
            </w:r>
          </w:p>
        </w:tc>
        <w:tc>
          <w:tcPr>
            <w:tcW w:type="dxa" w:w="2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Crítica da comunidade open source por não ser OSI-approved</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Média</w:t>
            </w:r>
          </w:p>
        </w:tc>
        <w:tc>
          <w:tcPr>
            <w:tcW w:type="dxa" w:w="1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Baixo</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Nome e preâmbulo explícitos quanto à natureza source-available; Change Date factível de 4 anos reforça credibilidade</w:t>
            </w:r>
          </w:p>
        </w:tc>
      </w:tr>
      <w:tr>
        <w:trPr>
          <w:tblHeader w:val="false"/>
        </w:trP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Reputacional</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Rejeição por órgãos públicos com preferência por licenças OSI</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Média</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Médio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40" w:line="260"/>
            </w:pPr>
            <w:r>
              <w:rPr>
                <w:rFonts w:ascii="Arial" w:cs="Arial" w:eastAsia="Arial" w:hAnsi="Arial"/>
                <w:b w:val="false"/>
                <w:bCs w:val="false"/>
                <w:color w:val="000000"/>
                <w:sz w:val="20"/>
                <w:szCs w:val="20"/>
              </w:rPr>
              <w:t xml:space="preserve">Pacote institucional com memorando jurídico e comparativo; compromisso explícito de abertura futura</w:t>
            </w:r>
          </w:p>
        </w:tc>
      </w:tr>
    </w:tbl>
    <w:p>
      <w:pPr>
        <w:pStyle w:val="Heading2"/>
        <w:spacing w:after="140" w:before="240"/>
      </w:pPr>
      <w:r>
        <w:rPr>
          <w:rFonts w:ascii="Arial" w:cs="Arial" w:eastAsia="Arial" w:hAnsi="Arial"/>
          <w:b/>
          <w:bCs/>
          <w:color w:val="1F3864"/>
          <w:sz w:val="28"/>
          <w:szCs w:val="28"/>
        </w:rPr>
        <w:t xml:space="preserve">7.2 Risco jurídico</w:t>
      </w:r>
    </w:p>
    <w:p>
      <w:pPr>
        <w:spacing w:after="120" w:before="0" w:line="300"/>
        <w:jc w:val="both"/>
      </w:pPr>
      <w:r>
        <w:rPr>
          <w:rFonts w:ascii="Arial" w:cs="Arial" w:eastAsia="Arial" w:hAnsi="Arial"/>
          <w:sz w:val="22"/>
          <w:szCs w:val="22"/>
        </w:rPr>
        <w:t xml:space="preserve">O risco jurídico principal é o de um juiz, em litígio concreto, declarar parte da cláusula 4 inválida por excesso de restrição. A mitigação é tripla: redação objetiva (sem referência a "concorrência" subjetiva); reconhecimento expresso de direitos cogentes (cláusula 4.3); e existência de canal formal de licença comercial (cláusula 7), que afasta a caracterização de recusa indireta de licenciamento. A probabilidade de materialização é considerada baixa, dado o alinhamento com a BSL 1.1 (que já foi aplicada em vários precedentes internacionais sem nulidade parcial) e a ancoragem expressa em dispositivos da Lei 9.609/98 e da Lei 9.610/98.</w:t>
      </w:r>
    </w:p>
    <w:p>
      <w:pPr>
        <w:pStyle w:val="Heading2"/>
        <w:spacing w:after="140" w:before="240"/>
      </w:pPr>
      <w:r>
        <w:rPr>
          <w:rFonts w:ascii="Arial" w:cs="Arial" w:eastAsia="Arial" w:hAnsi="Arial"/>
          <w:b/>
          <w:bCs/>
          <w:color w:val="1F3864"/>
          <w:sz w:val="28"/>
          <w:szCs w:val="28"/>
        </w:rPr>
        <w:t xml:space="preserve">7.3 Risco de concorrência</w:t>
      </w:r>
    </w:p>
    <w:p>
      <w:pPr>
        <w:spacing w:after="120" w:before="0" w:line="300"/>
        <w:jc w:val="both"/>
      </w:pPr>
      <w:r>
        <w:rPr>
          <w:rFonts w:ascii="Arial" w:cs="Arial" w:eastAsia="Arial" w:hAnsi="Arial"/>
          <w:sz w:val="22"/>
          <w:szCs w:val="22"/>
        </w:rPr>
        <w:t xml:space="preserve">O risco concorrencial central é o de um ator terceiro oferecer SaaS competitivo construído sobre o código, em violação da cláusula 4.1(b). Este risco não é diferente do risco que existe em qualquer licença source-available; a TPGL v1.1 apenas o endereça com máxima precisão, permitindo detecção rápida e via formal de regularização. Um risco correlato é o de engenharia limpa: um competidor pode, em tese, ler o código público e reimplementar a solução de forma independente, o que nenhuma licença pode impedir. A contramedida estrutural é a velocidade do mantenedor e a credibilidade da narrativa institucional junto a municípios, que tendem a preferir a implementação oficial mantida.</w:t>
      </w:r>
    </w:p>
    <w:p>
      <w:pPr>
        <w:pStyle w:val="Heading2"/>
        <w:spacing w:after="140" w:before="240"/>
      </w:pPr>
      <w:r>
        <w:rPr>
          <w:rFonts w:ascii="Arial" w:cs="Arial" w:eastAsia="Arial" w:hAnsi="Arial"/>
          <w:b/>
          <w:bCs/>
          <w:color w:val="1F3864"/>
          <w:sz w:val="28"/>
          <w:szCs w:val="28"/>
        </w:rPr>
        <w:t xml:space="preserve">7.4 Risco de interpretação equivocada</w:t>
      </w:r>
    </w:p>
    <w:p>
      <w:pPr>
        <w:spacing w:after="120" w:before="0" w:line="300"/>
        <w:jc w:val="both"/>
      </w:pPr>
      <w:r>
        <w:rPr>
          <w:rFonts w:ascii="Arial" w:cs="Arial" w:eastAsia="Arial" w:hAnsi="Arial"/>
          <w:sz w:val="22"/>
          <w:szCs w:val="22"/>
        </w:rPr>
        <w:t xml:space="preserve">No início do ciclo de adoção, o maior risco real não é jurídico, e sim interpretativo. Gestores municipais sem familiaridade com licenças source-available podem confundir Inspeção com Uso, superestimar restrições, ou hesitar em adotar por receio de litígio. A TPGL v1.1 mitiga este risco por três vias: definições explícitas (cláusulas 1.3 e 1.4); exceção clara para taxas administrativas (cláusula 1.7(a)); e material institucional de acompanhamento (este próprio documento, mais o memorando jurídico recomendado). A seção 6 do presente documento (README jurídico) foi pensada precisamente para reduzir a curva de interpretação.</w:t>
      </w:r>
    </w:p>
    <w:p>
      <w:pPr>
        <w:pStyle w:val="Heading2"/>
        <w:spacing w:after="140" w:before="240"/>
      </w:pPr>
      <w:r>
        <w:rPr>
          <w:rFonts w:ascii="Arial" w:cs="Arial" w:eastAsia="Arial" w:hAnsi="Arial"/>
          <w:b/>
          <w:bCs/>
          <w:color w:val="1F3864"/>
          <w:sz w:val="28"/>
          <w:szCs w:val="28"/>
        </w:rPr>
        <w:t xml:space="preserve">7.5 Risco reputacional</w:t>
      </w:r>
    </w:p>
    <w:p>
      <w:pPr>
        <w:spacing w:after="120" w:before="0" w:line="300"/>
        <w:jc w:val="both"/>
      </w:pPr>
      <w:r>
        <w:rPr>
          <w:rFonts w:ascii="Arial" w:cs="Arial" w:eastAsia="Arial" w:hAnsi="Arial"/>
          <w:sz w:val="22"/>
          <w:szCs w:val="22"/>
        </w:rPr>
        <w:t xml:space="preserve">Há risco reputacional médio na comunidade open source internacional, que tende a criticar licenças não aprovadas pela OSI. A TPGL v1.1 responde de forma honesta: declara-se source-available, não open source, e compromete-se à conversão real para Apache License 2.0 em quatro anos por versão. Este compromisso é o elemento factível que a diferencia de tentativas mal recebidas como a SSPL. No ambiente GovTech brasileiro, a credibilidade vem menos da chancela OSI e mais da combinação de transparência efetiva, compromisso público de abertura e estabilidade jurídica operacional, três elementos que a TPGL v1.1 entrega.</w:t>
      </w:r>
    </w:p>
    <w:p>
      <w:pPr>
        <w:pStyle w:val="Heading2"/>
        <w:spacing w:after="140" w:before="240"/>
      </w:pPr>
      <w:r>
        <w:rPr>
          <w:rFonts w:ascii="Arial" w:cs="Arial" w:eastAsia="Arial" w:hAnsi="Arial"/>
          <w:b/>
          <w:bCs/>
          <w:color w:val="1F3864"/>
          <w:sz w:val="28"/>
          <w:szCs w:val="28"/>
        </w:rPr>
        <w:t xml:space="preserve">7.6 Como mitigar</w:t>
      </w:r>
    </w:p>
    <w:p>
      <w:pPr>
        <w:spacing w:after="120" w:before="0" w:line="300"/>
        <w:jc w:val="both"/>
      </w:pPr>
      <w:r>
        <w:rPr>
          <w:rFonts w:ascii="Arial" w:cs="Arial" w:eastAsia="Arial" w:hAnsi="Arial"/>
          <w:sz w:val="22"/>
          <w:szCs w:val="22"/>
        </w:rPr>
        <w:t xml:space="preserve">Recomenda-se, como pacote mínimo de mitigação operacional:</w:t>
      </w:r>
    </w:p>
    <w:p>
      <w:pPr>
        <w:pStyle w:val="ListParagraph"/>
        <w:numPr>
          <w:ilvl w:val="0"/>
          <w:numId w:val="3"/>
        </w:numPr>
        <w:spacing w:after="80" w:line="280"/>
        <w:jc w:val="both"/>
      </w:pPr>
      <w:r>
        <w:rPr>
          <w:rFonts w:ascii="Arial" w:cs="Arial" w:eastAsia="Arial" w:hAnsi="Arial"/>
          <w:sz w:val="22"/>
          <w:szCs w:val="22"/>
        </w:rPr>
        <w:t xml:space="preserve">Homologar o texto final com advogado(a) brasileiro(a) em PI/software antes de publicação oficial.</w:t>
      </w:r>
    </w:p>
    <w:p>
      <w:pPr>
        <w:pStyle w:val="ListParagraph"/>
        <w:numPr>
          <w:ilvl w:val="0"/>
          <w:numId w:val="3"/>
        </w:numPr>
        <w:spacing w:after="80" w:line="280"/>
        <w:jc w:val="both"/>
      </w:pPr>
      <w:r>
        <w:rPr>
          <w:rFonts w:ascii="Arial" w:cs="Arial" w:eastAsia="Arial" w:hAnsi="Arial"/>
          <w:sz w:val="22"/>
          <w:szCs w:val="22"/>
        </w:rPr>
        <w:t xml:space="preserve">Publicar, junto com a licença, o presente documento institucional e um memorando jurídico específico para órgãos públicos.</w:t>
      </w:r>
    </w:p>
    <w:p>
      <w:pPr>
        <w:pStyle w:val="ListParagraph"/>
        <w:numPr>
          <w:ilvl w:val="0"/>
          <w:numId w:val="3"/>
        </w:numPr>
        <w:spacing w:after="80" w:line="280"/>
        <w:jc w:val="both"/>
      </w:pPr>
      <w:r>
        <w:rPr>
          <w:rFonts w:ascii="Arial" w:cs="Arial" w:eastAsia="Arial" w:hAnsi="Arial"/>
          <w:sz w:val="22"/>
          <w:szCs w:val="22"/>
        </w:rPr>
        <w:t xml:space="preserve">Manter canal formal de licença comercial ativo e com resposta em prazo.</w:t>
      </w:r>
    </w:p>
    <w:p>
      <w:pPr>
        <w:pStyle w:val="ListParagraph"/>
        <w:numPr>
          <w:ilvl w:val="0"/>
          <w:numId w:val="3"/>
        </w:numPr>
        <w:spacing w:after="80" w:line="280"/>
        <w:jc w:val="both"/>
      </w:pPr>
      <w:r>
        <w:rPr>
          <w:rFonts w:ascii="Arial" w:cs="Arial" w:eastAsia="Arial" w:hAnsi="Arial"/>
          <w:sz w:val="22"/>
          <w:szCs w:val="22"/>
        </w:rPr>
        <w:t xml:space="preserve">Registrar a licença em Cartório de Títulos e Documentos para conferir data certa, recurso adicional de prova em eventual litígio.</w:t>
      </w:r>
    </w:p>
    <w:p>
      <w:pPr>
        <w:pStyle w:val="ListParagraph"/>
        <w:numPr>
          <w:ilvl w:val="0"/>
          <w:numId w:val="3"/>
        </w:numPr>
        <w:spacing w:after="80" w:line="280"/>
        <w:jc w:val="both"/>
      </w:pPr>
      <w:r>
        <w:rPr>
          <w:rFonts w:ascii="Arial" w:cs="Arial" w:eastAsia="Arial" w:hAnsi="Arial"/>
          <w:sz w:val="22"/>
          <w:szCs w:val="22"/>
        </w:rPr>
        <w:t xml:space="preserve">Publicar FAQ e notas de esclarecimento conforme surjam dúvidas recorrentes em municípios adotantes.</w:t>
      </w:r>
    </w:p>
    <w:p>
      <w:pPr>
        <w:pStyle w:val="ListParagraph"/>
        <w:numPr>
          <w:ilvl w:val="0"/>
          <w:numId w:val="3"/>
        </w:numPr>
        <w:spacing w:after="80" w:line="280"/>
        <w:jc w:val="both"/>
      </w:pPr>
      <w:r>
        <w:rPr>
          <w:rFonts w:ascii="Arial" w:cs="Arial" w:eastAsia="Arial" w:hAnsi="Arial"/>
          <w:sz w:val="22"/>
          <w:szCs w:val="22"/>
        </w:rPr>
        <w:t xml:space="preserve">Documentar, a cada release, a Data de Conversão correspondente, e disponibilizar registro público histórico.</w:t>
      </w:r>
    </w:p>
    <w:p>
      <w:pPr>
        <w:pStyle w:val="Heading1"/>
        <w:pageBreakBefore/>
        <w:spacing w:after="200" w:before="360"/>
      </w:pPr>
      <w:r>
        <w:rPr>
          <w:rFonts w:ascii="Arial" w:cs="Arial" w:eastAsia="Arial" w:hAnsi="Arial"/>
          <w:b/>
          <w:bCs/>
          <w:color w:val="1F3864"/>
          <w:sz w:val="36"/>
          <w:szCs w:val="36"/>
        </w:rPr>
        <w:t xml:space="preserve">8. Justificativa Final</w:t>
      </w:r>
    </w:p>
    <w:p>
      <w:pPr>
        <w:pStyle w:val="Heading2"/>
        <w:spacing w:after="140" w:before="240"/>
      </w:pPr>
      <w:r>
        <w:rPr>
          <w:rFonts w:ascii="Arial" w:cs="Arial" w:eastAsia="Arial" w:hAnsi="Arial"/>
          <w:b/>
          <w:bCs/>
          <w:color w:val="1F3864"/>
          <w:sz w:val="28"/>
          <w:szCs w:val="28"/>
        </w:rPr>
        <w:t xml:space="preserve">8.1 Equilíbrio entre transparência e sustentabilidade</w:t>
      </w:r>
    </w:p>
    <w:p>
      <w:pPr>
        <w:spacing w:after="120" w:before="0" w:line="300"/>
        <w:jc w:val="both"/>
      </w:pPr>
      <w:r>
        <w:rPr>
          <w:rFonts w:ascii="Arial" w:cs="Arial" w:eastAsia="Arial" w:hAnsi="Arial"/>
          <w:sz w:val="22"/>
          <w:szCs w:val="22"/>
        </w:rPr>
        <w:t xml:space="preserve">A TPGL v1.1 responde a uma equação que o mercado internacional ainda não resolveu de forma satisfatória para o contexto GovTech: como conjugar o dever público de transparência e auditabilidade com a necessidade econômica do mantenedor de sustentar o produto no tempo. Licenças permissivas atendem o primeiro compromisso e falham no segundo; licenças copyleft clássicas atendem parcialmente ambos; licenças source-available internacionais (BSL, SSPL) atendem os dois, mas sem adaptação ao ordenamento brasileiro.</w:t>
      </w:r>
    </w:p>
    <w:p>
      <w:pPr>
        <w:spacing w:after="120" w:before="0" w:line="300"/>
        <w:jc w:val="both"/>
      </w:pPr>
      <w:r>
        <w:rPr>
          <w:rFonts w:ascii="Arial" w:cs="Arial" w:eastAsia="Arial" w:hAnsi="Arial"/>
          <w:sz w:val="22"/>
          <w:szCs w:val="22"/>
        </w:rPr>
        <w:t xml:space="preserve">A TPGL v1.1 assume o arranjo BSL como espinha dorsal conceitual e aplica, sobre ele, cinco ajustes decisivos para a realidade brasileira: adaptação terminológica para português jurídico; referência cruzada à Lei 9.609/98, Lei 9.610/98, Lei 12.527/11, Lei 13.709/18 e Lei 14.133/2021; Additional Use Grant que reconhece expressamente a operação pública com cobrança de taxas administrativas; cláusula 5 que reconcilia código publicamente inspecionável com aceite para Uso; período de cura de 30 dias alinhado à boa-fé objetiva do Código Civil.</w:t>
      </w:r>
    </w:p>
    <w:p>
      <w:pPr>
        <w:pStyle w:val="Heading2"/>
        <w:spacing w:after="140" w:before="240"/>
      </w:pPr>
      <w:r>
        <w:rPr>
          <w:rFonts w:ascii="Arial" w:cs="Arial" w:eastAsia="Arial" w:hAnsi="Arial"/>
          <w:b/>
          <w:bCs/>
          <w:color w:val="1F3864"/>
          <w:sz w:val="28"/>
          <w:szCs w:val="28"/>
        </w:rPr>
        <w:t xml:space="preserve">8.2 Adequação a políticas públicas</w:t>
      </w:r>
    </w:p>
    <w:p>
      <w:pPr>
        <w:spacing w:after="120" w:before="0" w:line="300"/>
        <w:jc w:val="both"/>
      </w:pPr>
      <w:r>
        <w:rPr>
          <w:rFonts w:ascii="Arial" w:cs="Arial" w:eastAsia="Arial" w:hAnsi="Arial"/>
          <w:sz w:val="22"/>
          <w:szCs w:val="22"/>
        </w:rPr>
        <w:t xml:space="preserve">A TPGL v1.1 é adequada a políticas públicas por três razões estruturais. Primeiro, oferece ao município garantia contratual de uso perpétuo para fins permitidos, afastando o risco de dependência comercial intransponível (vendor lock-in). Segundo, garante, via Data de Conversão de quatro anos, que nenhum município ficará preso a uma versão descontinuada: se o mantenedor sair do mercado, a versão usada pelo município se tornará Apache License 2.0 no horizonte máximo de quatro anos. Terceiro, oferece ao Tribunal de Contas, Controladoria, Ministério Público e cidadão, a qualquer momento, a possibilidade de inspeção integral do código, em alinhamento com os princípios de publicidade e moralidade administrativa.</w:t>
      </w:r>
    </w:p>
    <w:p>
      <w:pPr>
        <w:spacing w:after="120" w:before="0" w:line="300"/>
        <w:jc w:val="both"/>
      </w:pPr>
      <w:r>
        <w:rPr>
          <w:rFonts w:ascii="Arial" w:cs="Arial" w:eastAsia="Arial" w:hAnsi="Arial"/>
          <w:sz w:val="22"/>
          <w:szCs w:val="22"/>
        </w:rPr>
        <w:t xml:space="preserve">Em termos operacionais, o pacote documental da TPGL v1.1 se integra naturalmente ao dossiê contratual municipal exigido pela Lei 14.133/2021, pode ser anexado ao processo administrativo que autoriza o uso, e se presta a controle interno e externo sem necessidade de ajustes adicionais.</w:t>
      </w:r>
    </w:p>
    <w:p>
      <w:pPr>
        <w:pStyle w:val="Heading2"/>
        <w:spacing w:after="140" w:before="240"/>
      </w:pPr>
      <w:r>
        <w:rPr>
          <w:rFonts w:ascii="Arial" w:cs="Arial" w:eastAsia="Arial" w:hAnsi="Arial"/>
          <w:b/>
          <w:bCs/>
          <w:color w:val="1F3864"/>
          <w:sz w:val="28"/>
          <w:szCs w:val="28"/>
        </w:rPr>
        <w:t xml:space="preserve">8.3 Potencial de padrão nacional</w:t>
      </w:r>
    </w:p>
    <w:p>
      <w:pPr>
        <w:spacing w:after="120" w:before="0" w:line="300"/>
        <w:jc w:val="both"/>
      </w:pPr>
      <w:r>
        <w:rPr>
          <w:rFonts w:ascii="Arial" w:cs="Arial" w:eastAsia="Arial" w:hAnsi="Arial"/>
          <w:sz w:val="22"/>
          <w:szCs w:val="22"/>
        </w:rPr>
        <w:t xml:space="preserve">A TPGL v1.1 tem potencial para se tornar referência nacional em licenciamento de software GovTech por cinco características que nenhuma licença internacional oferece em conjunto: (i) redação em português jurídico formal brasileiro; (ii) ancoragem expressa na legislação nacional aplicável; (iii) Additional Use Grant construído para o caso de uso público municipal; (iv) compatibilidade simultânea com LAI e LGPD; (v) cláusula de patente e cure period alinhados ao padrão contemporâneo de boas práticas.</w:t>
      </w:r>
    </w:p>
    <w:p>
      <w:pPr>
        <w:spacing w:after="120" w:before="0" w:line="300"/>
        <w:jc w:val="both"/>
      </w:pPr>
      <w:r>
        <w:rPr>
          <w:rFonts w:ascii="Arial" w:cs="Arial" w:eastAsia="Arial" w:hAnsi="Arial"/>
          <w:sz w:val="22"/>
          <w:szCs w:val="22"/>
        </w:rPr>
        <w:t xml:space="preserve">Sua adoção inicial pelo Sistema de Credenciamento e Rodízio de Pequenos Reparos (V12.0.0202) estabelece o precedente de referência. Outros produtos GovTech municipais, estaduais ou federais podem adotar a mesma licença com adequação mínima ao seu próprio caso, preservando a arquitetura jurídica central. A consolidação de um padrão nacional de licença source-available de interesse público, com compromisso de conversão para Apache License 2.0, aumenta simultaneamente a segurança jurídica dos municípios, a sustentabilidade econômica dos mantenedores, e a transparência do ecossistema público brasileiro.</w:t>
      </w:r>
    </w:p>
    <w:p>
      <w:pPr>
        <w:pStyle w:val="Heading2"/>
        <w:spacing w:after="140" w:before="240"/>
      </w:pPr>
      <w:r>
        <w:rPr>
          <w:rFonts w:ascii="Arial" w:cs="Arial" w:eastAsia="Arial" w:hAnsi="Arial"/>
          <w:b/>
          <w:bCs/>
          <w:color w:val="1F3864"/>
          <w:sz w:val="28"/>
          <w:szCs w:val="28"/>
        </w:rPr>
        <w:t xml:space="preserve">8.4 Considerações finais</w:t>
      </w:r>
    </w:p>
    <w:p>
      <w:pPr>
        <w:spacing w:after="120" w:before="0" w:line="300"/>
        <w:jc w:val="both"/>
      </w:pPr>
      <w:r>
        <w:rPr>
          <w:rFonts w:ascii="Arial" w:cs="Arial" w:eastAsia="Arial" w:hAnsi="Arial"/>
          <w:sz w:val="22"/>
          <w:szCs w:val="22"/>
        </w:rPr>
        <w:t xml:space="preserve">A TPGL v1.1 não é licença definitiva. Como qualquer instrumento jurídico, deve ser submetida à homologação formal por advogado(a) brasileiro(a), à revisão periódica, e à adaptação conforme surjam jurisprudência e prática. A versão 1.1 representa, neste momento, o melhor equilíbrio identificável entre transparência pública, sustentabilidade econômica e compromisso de abertura futura, especificamente calibrado para o contexto brasileiro. Sua adoção deve ser acompanhada de material institucional de suporte (este documento, memorandos jurídicos, FAQs), de canal comercial ativo, e de processo continuado de observação do seu funcionamento prático.</w:t>
      </w:r>
    </w:p>
    <w:p>
      <w:pPr>
        <w:spacing w:after="120" w:before="0" w:line="300"/>
        <w:jc w:val="both"/>
      </w:pPr>
      <w:r>
        <w:rPr>
          <w:rFonts w:ascii="Arial" w:cs="Arial" w:eastAsia="Arial" w:hAnsi="Arial"/>
          <w:sz w:val="22"/>
          <w:szCs w:val="22"/>
        </w:rPr>
        <w:t xml:space="preserve">Recomenda-se, após a primeira geração de adoções, a publicação de um relatório anual de licenciamento, com número de aceites, número de auditorias realizadas, licenças comerciais concedidas e eventuais controvérsias tratadas. Este relatório servirá tanto de instrumento de accountability do próprio projeto, quanto de base empírica para a evolução da TPGL em versões futuras.</w:t>
      </w:r>
    </w:p>
    <w:p>
      <w:pPr>
        <w:spacing w:after="120"/>
      </w:pPr>
      <w:r>
        <w:t xml:space="preserve"/>
      </w:r>
    </w:p>
    <w:p>
      <w:pPr>
        <w:spacing w:after="80" w:before="200"/>
        <w:jc w:val="center"/>
      </w:pPr>
      <w:r>
        <w:rPr>
          <w:rFonts w:ascii="Arial" w:cs="Arial" w:eastAsia="Arial" w:hAnsi="Arial"/>
          <w:color w:val="595959"/>
          <w:sz w:val="22"/>
          <w:szCs w:val="22"/>
        </w:rPr>
        <w:t xml:space="preserve">— Fim do documento institucional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8"/>
        <w:szCs w:val="18"/>
      </w:rPr>
      <w:t xml:space="preserve">Transparent Public Governance License (TPGL) v1.1  |  20 abril 2026</w:t>
    </w:r>
    <w:r>
      <w:rPr>
        <w:rFonts w:ascii="Arial" w:cs="Arial" w:eastAsia="Arial" w:hAnsi="Arial"/>
        <w:color w:val="595959"/>
        <w:sz w:val="18"/>
        <w:szCs w:val="18"/>
      </w:rPr>
      <w:t xml:space="preserve">	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8"/>
        <w:szCs w:val="18"/>
      </w:rPr>
      <w:t xml:space="preserve">TPGL v1.1  |  Documento Institucional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2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TPGL v1.1 — Documento Institucional</dc:title>
  <dc:creator>Luís Maurício Junqueira Zanin</dc:creator>
  <dc:description>Documento institucional da Transparent Public Governance License (TPGL) v1.1</dc:description>
  <cp:lastModifiedBy>Un-named</cp:lastModifiedBy>
  <cp:revision>1</cp:revision>
  <dcterms:created xsi:type="dcterms:W3CDTF">2026-04-20T03:53:37.155Z</dcterms:created>
  <dcterms:modified xsi:type="dcterms:W3CDTF">2026-04-20T03:53:37.156Z</dcterms:modified>
</cp:coreProperties>
</file>

<file path=docProps/custom.xml><?xml version="1.0" encoding="utf-8"?>
<Properties xmlns="http://schemas.openxmlformats.org/officeDocument/2006/custom-properties" xmlns:vt="http://schemas.openxmlformats.org/officeDocument/2006/docPropsVTypes"/>
</file>