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Regras de Negócio V12.0.0204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regras-de-negócio-v204"/>
    <w:p>
      <w:pPr>
        <w:pStyle w:val="Heading1"/>
      </w:pPr>
      <w:r>
        <w:t xml:space="preserve">Regras de Negócio V204</w:t>
      </w:r>
    </w:p>
    <w:p>
      <w:pPr>
        <w:pStyle w:val="FirstParagraph"/>
      </w:pPr>
      <w:r>
        <w:t xml:space="preserve">Este é o documento público canônico das regras de negócio da V12.0.0204. Ele</w:t>
      </w:r>
      <w:r>
        <w:t xml:space="preserve"> </w:t>
      </w:r>
      <w:r>
        <w:t xml:space="preserve">separa as regras funcionais do sistema das regras operacionais do HBN e indica</w:t>
      </w:r>
      <w:r>
        <w:t xml:space="preserve"> </w:t>
      </w:r>
      <w:r>
        <w:t xml:space="preserve">como a bateria de testes garante cada comportamento.</w:t>
      </w:r>
    </w:p>
    <w:p>
      <w:pPr>
        <w:pStyle w:val="BodyText"/>
      </w:pPr>
      <w:r>
        <w:t xml:space="preserve">O contrato completo de teste da release está em: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Matriz de Cobertura Regras de Negócio V204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Matriz de Rastreabilidade de Testes V204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Roteiro de Teste Manual V204</w:t>
        </w:r>
      </w:hyperlink>
    </w:p>
    <w:bookmarkStart w:id="12" w:name="X71f50021987b53b143f4535e9fe507aabc261aa"/>
    <w:p>
      <w:pPr>
        <w:pStyle w:val="Heading2"/>
      </w:pPr>
      <w:r>
        <w:t xml:space="preserve">Regra RN-01 — Credenciamento depende de empresa, entidade, atividade e serviço válidos</w:t>
      </w:r>
    </w:p>
    <w:p>
      <w:pPr>
        <w:pStyle w:val="FirstParagraph"/>
      </w:pPr>
      <w:r>
        <w:t xml:space="preserve">Uma empresa só pode participar do rodízio quando estiver cadastrada, ativa e</w:t>
      </w:r>
      <w:r>
        <w:t xml:space="preserve"> </w:t>
      </w:r>
      <w:r>
        <w:t xml:space="preserve">credenciada para uma atividade/serviço existente.</w:t>
      </w:r>
    </w:p>
    <w:p>
      <w:pPr>
        <w:pStyle w:val="BodyText"/>
      </w:pPr>
      <w:r>
        <w:t xml:space="preserve">Garantia V204: V1, V2 Canônica, roteiro M-02 a M-06 e IntegridadeBase.</w:t>
      </w:r>
    </w:p>
    <w:bookmarkEnd w:id="12"/>
    <w:bookmarkStart w:id="13" w:name="Xbc02306b0e06049cbbd84857959fa6e3513a869"/>
    <w:p>
      <w:pPr>
        <w:pStyle w:val="Heading2"/>
      </w:pPr>
      <w:r>
        <w:t xml:space="preserve">Regra RN-02 — Rodízio escolhe empresa apta da vez</w:t>
      </w:r>
    </w:p>
    <w:p>
      <w:pPr>
        <w:pStyle w:val="FirstParagraph"/>
      </w:pPr>
      <w:r>
        <w:t xml:space="preserve">O sistema deve selecionar a empresa apta da vez dentro da fila do serviço,</w:t>
      </w:r>
      <w:r>
        <w:t xml:space="preserve"> </w:t>
      </w:r>
      <w:r>
        <w:t xml:space="preserve">sem favorecer manualmente uma empresa específica.</w:t>
      </w:r>
    </w:p>
    <w:p>
      <w:pPr>
        <w:pStyle w:val="BodyText"/>
      </w:pPr>
      <w:r>
        <w:t xml:space="preserve">Garantia V204: V2 Canônica, E2E Strikes e roteiro M-07.</w:t>
      </w:r>
    </w:p>
    <w:bookmarkEnd w:id="13"/>
    <w:bookmarkStart w:id="14" w:name="Xe04895e633ec88f12642bc713e8bc38593d7ff8"/>
    <w:p>
      <w:pPr>
        <w:pStyle w:val="Heading2"/>
      </w:pPr>
      <w:r>
        <w:t xml:space="preserve">Regra RN-03 — Empresas impedidas são puladas sem quebrar a fila</w:t>
      </w:r>
    </w:p>
    <w:p>
      <w:pPr>
        <w:pStyle w:val="FirstParagraph"/>
      </w:pPr>
      <w:r>
        <w:t xml:space="preserve">Empresa inativa, suspensa, com OS aberta ou com Pré-OS pendente não deve ser</w:t>
      </w:r>
      <w:r>
        <w:t xml:space="preserve"> </w:t>
      </w:r>
      <w:r>
        <w:t xml:space="preserve">selecionada enquanto o impedimento existir.</w:t>
      </w:r>
    </w:p>
    <w:p>
      <w:pPr>
        <w:pStyle w:val="BodyText"/>
      </w:pPr>
      <w:r>
        <w:t xml:space="preserve">Garantia V204: V2 Canônica, E2E Strikes, IntegridadeBase e roteiro M-07/M-10.</w:t>
      </w:r>
    </w:p>
    <w:bookmarkEnd w:id="14"/>
    <w:bookmarkStart w:id="15" w:name="X6ef64e5864c7d6676aa8841534a7d05d607134f"/>
    <w:p>
      <w:pPr>
        <w:pStyle w:val="Heading2"/>
      </w:pPr>
      <w:r>
        <w:t xml:space="preserve">Regra RN-04 — Recusa e expiração de Pré-OS têm efeito operacional auditável</w:t>
      </w:r>
    </w:p>
    <w:p>
      <w:pPr>
        <w:pStyle w:val="FirstParagraph"/>
      </w:pPr>
      <w:r>
        <w:t xml:space="preserve">Quando uma Pré-OS é recusada ou expira, o avanço da fila deve ser registrado e</w:t>
      </w:r>
      <w:r>
        <w:t xml:space="preserve"> </w:t>
      </w:r>
      <w:r>
        <w:t xml:space="preserve">o sistema deve continuar apto a selecionar a próxima empresa elegível.</w:t>
      </w:r>
    </w:p>
    <w:p>
      <w:pPr>
        <w:pStyle w:val="BodyText"/>
      </w:pPr>
      <w:r>
        <w:t xml:space="preserve">Garantia V204: E2E Strikes e trilha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bookmarkEnd w:id="15"/>
    <w:bookmarkStart w:id="16" w:name="X5c28c00789835eeba828f01c80e6edbcb36705c"/>
    <w:p>
      <w:pPr>
        <w:pStyle w:val="Heading2"/>
      </w:pPr>
      <w:r>
        <w:t xml:space="preserve">Regra RN-05 — Pré-OS aceita gera OS de forma rastreável</w:t>
      </w:r>
    </w:p>
    <w:p>
      <w:pPr>
        <w:pStyle w:val="FirstParagraph"/>
      </w:pPr>
      <w:r>
        <w:t xml:space="preserve">Aceitar uma Pré-OS deve produzir uma OS vinculada à mesma demanda e à mesma</w:t>
      </w:r>
      <w:r>
        <w:t xml:space="preserve"> </w:t>
      </w:r>
      <w:r>
        <w:t xml:space="preserve">empresa, preservando rastreabilidade operacional.</w:t>
      </w:r>
    </w:p>
    <w:p>
      <w:pPr>
        <w:pStyle w:val="BodyText"/>
      </w:pPr>
      <w:r>
        <w:t xml:space="preserve">Garantia V204: V2 Canônica, E2E Strikes e roteiro M-08.</w:t>
      </w:r>
    </w:p>
    <w:bookmarkEnd w:id="16"/>
    <w:bookmarkStart w:id="17" w:name="X954f7037cbc1c3ca54453e7ed7dc0d8707bcf7e"/>
    <w:p>
      <w:pPr>
        <w:pStyle w:val="Heading2"/>
      </w:pPr>
      <w:r>
        <w:t xml:space="preserve">Regra RN-06 — OS aberta bloqueia nova indicação no mesmo contexto</w:t>
      </w:r>
    </w:p>
    <w:p>
      <w:pPr>
        <w:pStyle w:val="FirstParagraph"/>
      </w:pPr>
      <w:r>
        <w:t xml:space="preserve">Empresa com OS aberta no contexto operacional testado não deve receber nova</w:t>
      </w:r>
      <w:r>
        <w:t xml:space="preserve"> </w:t>
      </w:r>
      <w:r>
        <w:t xml:space="preserve">indicação que viole a fila e a pendência existente.</w:t>
      </w:r>
    </w:p>
    <w:p>
      <w:pPr>
        <w:pStyle w:val="BodyText"/>
      </w:pPr>
      <w:r>
        <w:t xml:space="preserve">Garantia V204: V2 Canônica, E2E Strikes e IntegridadeBase.</w:t>
      </w:r>
    </w:p>
    <w:bookmarkEnd w:id="17"/>
    <w:bookmarkStart w:id="18" w:name="Xca84eca6da55642274e4872faf00da1fc91d251"/>
    <w:p>
      <w:pPr>
        <w:pStyle w:val="Heading2"/>
      </w:pPr>
      <w:r>
        <w:t xml:space="preserve">Regra RN-07 — Avaliação negativa registra justificativa e strike</w:t>
      </w:r>
    </w:p>
    <w:p>
      <w:pPr>
        <w:pStyle w:val="FirstParagraph"/>
      </w:pPr>
      <w:r>
        <w:t xml:space="preserve">Avaliação abaixo da nota mínima deve exigir justificativa, registrar strike e</w:t>
      </w:r>
      <w:r>
        <w:t xml:space="preserve"> </w:t>
      </w:r>
      <w:r>
        <w:t xml:space="preserve">manter evidência auditável.</w:t>
      </w:r>
    </w:p>
    <w:p>
      <w:pPr>
        <w:pStyle w:val="BodyText"/>
      </w:pPr>
      <w:r>
        <w:t xml:space="preserve">Garantia V204: E2E Strikes, Smoke</w:t>
      </w:r>
      <w:r>
        <w:t xml:space="preserve"> </w:t>
      </w:r>
      <w:r>
        <w:rPr>
          <w:rStyle w:val="VerbatimChar"/>
        </w:rPr>
        <w:t xml:space="preserve">MIG_008</w:t>
      </w:r>
      <w:r>
        <w:t xml:space="preserve"> </w:t>
      </w:r>
      <w:r>
        <w:t xml:space="preserve">e roteiro M-09.</w:t>
      </w:r>
    </w:p>
    <w:bookmarkEnd w:id="18"/>
    <w:bookmarkStart w:id="19" w:name="Xd07ddbbd3a0a9745daf3fe6caf56fb4dabc5b62"/>
    <w:p>
      <w:pPr>
        <w:pStyle w:val="Heading2"/>
      </w:pPr>
      <w:r>
        <w:t xml:space="preserve">Regra RN-08 — Três strikes suspendem conforme configuração vigente</w:t>
      </w:r>
    </w:p>
    <w:p>
      <w:pPr>
        <w:pStyle w:val="FirstParagraph"/>
      </w:pPr>
      <w:r>
        <w:t xml:space="preserve">Quando a configuração de strikes é atingida, a empresa deve ser suspensa pelo</w:t>
      </w:r>
      <w:r>
        <w:t xml:space="preserve"> </w:t>
      </w:r>
      <w:r>
        <w:t xml:space="preserve">prazo configurado.</w:t>
      </w:r>
    </w:p>
    <w:p>
      <w:pPr>
        <w:pStyle w:val="BodyText"/>
      </w:pPr>
      <w:r>
        <w:t xml:space="preserve">Garantia V204: E2E Strikes, Smoke</w:t>
      </w:r>
      <w:r>
        <w:t xml:space="preserve"> </w:t>
      </w:r>
      <w:r>
        <w:rPr>
          <w:rStyle w:val="VerbatimChar"/>
        </w:rPr>
        <w:t xml:space="preserve">MIG_008</w:t>
      </w:r>
      <w:r>
        <w:t xml:space="preserve"> </w:t>
      </w:r>
      <w:r>
        <w:t xml:space="preserve">e Boundary Dates.</w:t>
      </w:r>
    </w:p>
    <w:bookmarkEnd w:id="19"/>
    <w:bookmarkStart w:id="20" w:name="Xdcbe16ad6b2ec80820b32c9aa30eb29fde3ffa9"/>
    <w:p>
      <w:pPr>
        <w:pStyle w:val="Heading2"/>
      </w:pPr>
      <w:r>
        <w:t xml:space="preserve">Regra RN-09 — Suspensão não deve penalizar duas vezes a empresa</w:t>
      </w:r>
    </w:p>
    <w:p>
      <w:pPr>
        <w:pStyle w:val="FirstParagraph"/>
      </w:pPr>
      <w:r>
        <w:t xml:space="preserve">Após cumprir suspensão ou ser reativada conforme regra operacional, a empresa</w:t>
      </w:r>
      <w:r>
        <w:t xml:space="preserve"> </w:t>
      </w:r>
      <w:r>
        <w:t xml:space="preserve">deve retornar sem perder seu histórico total e sem punição duplicada por perda</w:t>
      </w:r>
      <w:r>
        <w:t xml:space="preserve"> </w:t>
      </w:r>
      <w:r>
        <w:t xml:space="preserve">artificial de turno.</w:t>
      </w:r>
    </w:p>
    <w:p>
      <w:pPr>
        <w:pStyle w:val="BodyText"/>
      </w:pPr>
      <w:r>
        <w:t xml:space="preserve">Garantia V204: E2E Strikes,</w:t>
      </w:r>
      <w:r>
        <w:t xml:space="preserve"> </w:t>
      </w:r>
      <w:r>
        <w:rPr>
          <w:rStyle w:val="VerbatimChar"/>
        </w:rPr>
        <w:t xml:space="preserve">CS_REATIV_AUDIT_DUAL_COUNTER</w:t>
      </w:r>
      <w:r>
        <w:t xml:space="preserve">, Boundary Dates e</w:t>
      </w:r>
      <w:r>
        <w:t xml:space="preserve"> </w:t>
      </w:r>
      <w:r>
        <w:t xml:space="preserve">roteiro M-11.</w:t>
      </w:r>
    </w:p>
    <w:bookmarkEnd w:id="20"/>
    <w:bookmarkStart w:id="21" w:name="X6c2cee9e8672c8c1d2707e291cb0e5bcdfc7851"/>
    <w:p>
      <w:pPr>
        <w:pStyle w:val="Heading2"/>
      </w:pPr>
      <w:r>
        <w:t xml:space="preserve">Regra RN-10 — Reativação preserva histórico total e janela punitiva correta</w:t>
      </w:r>
    </w:p>
    <w:p>
      <w:pPr>
        <w:pStyle w:val="FirstParagraph"/>
      </w:pPr>
      <w:r>
        <w:t xml:space="preserve">A reativação deve diferenciar histórico total de strikes e contador ativo da</w:t>
      </w:r>
      <w:r>
        <w:t xml:space="preserve"> </w:t>
      </w:r>
      <w:r>
        <w:t xml:space="preserve">janela punitiva.</w:t>
      </w:r>
    </w:p>
    <w:p>
      <w:pPr>
        <w:pStyle w:val="BodyText"/>
      </w:pPr>
      <w:r>
        <w:t xml:space="preserve">Garantia V204: MICRO48, E2E Strikes, Boundary Dates e roteiro M-11.</w:t>
      </w:r>
    </w:p>
    <w:bookmarkEnd w:id="21"/>
    <w:bookmarkStart w:id="22" w:name="X3933176788f5acb5150c478e92c6d6077af6826"/>
    <w:p>
      <w:pPr>
        <w:pStyle w:val="Heading2"/>
      </w:pPr>
      <w:r>
        <w:t xml:space="preserve">Regra RN-11 — Auditoria registra ações com efeito de estado</w:t>
      </w:r>
    </w:p>
    <w:p>
      <w:pPr>
        <w:pStyle w:val="FirstParagraph"/>
      </w:pPr>
      <w:r>
        <w:t xml:space="preserve">Cadastros, emissão de Pré-OS, aceite, OS, avaliação, suspensão, reativação e</w:t>
      </w:r>
      <w:r>
        <w:t xml:space="preserve"> </w:t>
      </w:r>
      <w:r>
        <w:t xml:space="preserve">limpeza administrativa devem deixar evidência em trilha auditável.</w:t>
      </w:r>
    </w:p>
    <w:p>
      <w:pPr>
        <w:pStyle w:val="BodyText"/>
      </w:pPr>
      <w:r>
        <w:t xml:space="preserve">Garantia V204: V1, V2 Canônica, E2E Strikes, IntegridadeBase e roteiro manual.</w:t>
      </w:r>
    </w:p>
    <w:bookmarkEnd w:id="22"/>
    <w:bookmarkStart w:id="23" w:name="X17c6bc75d6168ba92801e4f0fe50f23b1cd30ae"/>
    <w:p>
      <w:pPr>
        <w:pStyle w:val="Heading2"/>
      </w:pPr>
      <w:r>
        <w:t xml:space="preserve">Regra RN-12 — Integridade estrutural deve detectar resíduos relevantes</w:t>
      </w:r>
    </w:p>
    <w:p>
      <w:pPr>
        <w:pStyle w:val="FirstParagraph"/>
      </w:pPr>
      <w:r>
        <w:t xml:space="preserve">Referências órfãs, dados legados sem chave e inconsistências estruturais não</w:t>
      </w:r>
      <w:r>
        <w:t xml:space="preserve"> </w:t>
      </w:r>
      <w:r>
        <w:t xml:space="preserve">devem passar silenciosamente quando forem relevantes para a operação.</w:t>
      </w:r>
    </w:p>
    <w:p>
      <w:pPr>
        <w:pStyle w:val="BodyText"/>
      </w:pPr>
      <w:r>
        <w:t xml:space="preserve">Garantia V204: IntegridadeBase, MICRO37, MICRO38 e MICRO39.</w:t>
      </w:r>
    </w:p>
    <w:bookmarkEnd w:id="23"/>
    <w:bookmarkStart w:id="24" w:name="X2271ed090a9778d4a94e9945398a3050a7593ef"/>
    <w:p>
      <w:pPr>
        <w:pStyle w:val="Heading2"/>
      </w:pPr>
      <w:r>
        <w:t xml:space="preserve">Regra RN-13 — Interface não deve aceitar reentrada mutadora insegura</w:t>
      </w:r>
    </w:p>
    <w:p>
      <w:pPr>
        <w:pStyle w:val="FirstParagraph"/>
      </w:pPr>
      <w:r>
        <w:t xml:space="preserve">Cliques repetidos ou duplo clique em fluxos mutadores não devem corromper</w:t>
      </w:r>
      <w:r>
        <w:t xml:space="preserve"> </w:t>
      </w:r>
      <w:r>
        <w:t xml:space="preserve">estado nem duplicar efeitos críticos.</w:t>
      </w:r>
    </w:p>
    <w:p>
      <w:pPr>
        <w:pStyle w:val="BodyText"/>
      </w:pPr>
      <w:r>
        <w:t xml:space="preserve">Garantia V204: Onda23Adv</w:t>
      </w:r>
      <w:r>
        <w:t xml:space="preserve"> </w:t>
      </w:r>
      <w:r>
        <w:rPr>
          <w:rStyle w:val="VerbatimChar"/>
        </w:rPr>
        <w:t xml:space="preserve">ADVERSARIAL_UI</w:t>
      </w:r>
      <w:r>
        <w:t xml:space="preserve">.</w:t>
      </w:r>
    </w:p>
    <w:bookmarkEnd w:id="24"/>
    <w:bookmarkStart w:id="25" w:name="X89328c4b60e1f5b8c3f3863807cfe8a3f5fd4e3"/>
    <w:p>
      <w:pPr>
        <w:pStyle w:val="Heading2"/>
      </w:pPr>
      <w:r>
        <w:t xml:space="preserve">Regra RN-14 — Transação interrompida não pode deixar estado parcial</w:t>
      </w:r>
    </w:p>
    <w:p>
      <w:pPr>
        <w:pStyle w:val="FirstParagraph"/>
      </w:pPr>
      <w:r>
        <w:t xml:space="preserve">Fluxo transacional interrompido deve rejeitar estado parcial e preservar a</w:t>
      </w:r>
      <w:r>
        <w:t xml:space="preserve"> </w:t>
      </w:r>
      <w:r>
        <w:t xml:space="preserve">consistência da base.</w:t>
      </w:r>
    </w:p>
    <w:p>
      <w:pPr>
        <w:pStyle w:val="BodyText"/>
      </w:pPr>
      <w:r>
        <w:t xml:space="preserve">Garantia V204: Onda23Adv</w:t>
      </w:r>
      <w:r>
        <w:t xml:space="preserve"> </w:t>
      </w:r>
      <w:r>
        <w:rPr>
          <w:rStyle w:val="VerbatimChar"/>
        </w:rPr>
        <w:t xml:space="preserve">TRANSACAO_INTERRUPT</w:t>
      </w:r>
      <w:r>
        <w:t xml:space="preserve">.</w:t>
      </w:r>
    </w:p>
    <w:bookmarkEnd w:id="25"/>
    <w:bookmarkStart w:id="26" w:name="X70f094cb3b8692fb660b3b02f6167bc9fafd2c3"/>
    <w:p>
      <w:pPr>
        <w:pStyle w:val="Heading2"/>
      </w:pPr>
      <w:r>
        <w:t xml:space="preserve">Regra RN-15 — Bordas temporais devem preservar coerência de avaliação e suspensão</w:t>
      </w:r>
    </w:p>
    <w:p>
      <w:pPr>
        <w:pStyle w:val="FirstParagraph"/>
      </w:pPr>
      <w:r>
        <w:t xml:space="preserve">Datas em bordas operacionais, inclusive virada de período e datas especiais,</w:t>
      </w:r>
      <w:r>
        <w:t xml:space="preserve"> </w:t>
      </w:r>
      <w:r>
        <w:t xml:space="preserve">não devem quebrar cálculo de suspensão, avaliação ou elegibilidade.</w:t>
      </w:r>
    </w:p>
    <w:p>
      <w:pPr>
        <w:pStyle w:val="BodyText"/>
      </w:pPr>
      <w:r>
        <w:t xml:space="preserve">Garantia V204: Onda23Adv</w:t>
      </w:r>
      <w:r>
        <w:t xml:space="preserve"> </w:t>
      </w:r>
      <w:r>
        <w:rPr>
          <w:rStyle w:val="VerbatimChar"/>
        </w:rPr>
        <w:t xml:space="preserve">BOUNDARY_DATES</w:t>
      </w:r>
      <w:r>
        <w:t xml:space="preserve">.</w:t>
      </w:r>
    </w:p>
    <w:bookmarkEnd w:id="26"/>
    <w:bookmarkStart w:id="27" w:name="X4086db407cc2e2c935f10cefd4348cc8d323db6"/>
    <w:p>
      <w:pPr>
        <w:pStyle w:val="Heading2"/>
      </w:pPr>
      <w:r>
        <w:t xml:space="preserve">Regra RN-16 — Limpar Base prepara a planilha para outro município</w:t>
      </w:r>
    </w:p>
    <w:p>
      <w:pPr>
        <w:pStyle w:val="FirstParagraph"/>
      </w:pPr>
      <w:r>
        <w:t xml:space="preserve">Limpar Base deve remover dados operacionais, preservar</w:t>
      </w:r>
      <w:r>
        <w:t xml:space="preserve"> </w:t>
      </w:r>
      <w:r>
        <w:rPr>
          <w:rStyle w:val="VerbatimChar"/>
        </w:rPr>
        <w:t xml:space="preserve">ATIVIDADES</w:t>
      </w:r>
      <w:r>
        <w:t xml:space="preserve">/CNAE 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 zerar</w:t>
      </w:r>
      <w:r>
        <w:t xml:space="preserve"> </w:t>
      </w:r>
      <w:r>
        <w:rPr>
          <w:rStyle w:val="VerbatimChar"/>
        </w:rPr>
        <w:t xml:space="preserve">CAD_SERV</w:t>
      </w:r>
      <w:r>
        <w:t xml:space="preserve"> </w:t>
      </w:r>
      <w:r>
        <w:t xml:space="preserve">com cabeçalho preservado e permitir novo cadastro de</w:t>
      </w:r>
      <w:r>
        <w:t xml:space="preserve"> </w:t>
      </w:r>
      <w:r>
        <w:t xml:space="preserve">serviços após a limpeza.</w:t>
      </w:r>
    </w:p>
    <w:p>
      <w:pPr>
        <w:pStyle w:val="BodyText"/>
      </w:pPr>
      <w:r>
        <w:t xml:space="preserve">Garantia V204: Smoke</w:t>
      </w:r>
      <w:r>
        <w:t xml:space="preserve"> </w:t>
      </w:r>
      <w:r>
        <w:rPr>
          <w:rStyle w:val="VerbatimChar"/>
        </w:rPr>
        <w:t xml:space="preserve">MIG_009</w:t>
      </w:r>
      <w:r>
        <w:t xml:space="preserve">, roteiro M-12/M-13/M-14 e validação manual do</w:t>
      </w:r>
      <w:r>
        <w:t xml:space="preserve"> </w:t>
      </w:r>
      <w:r>
        <w:t xml:space="preserve">operador em MICRO53-fix2.</w:t>
      </w:r>
    </w:p>
    <w:bookmarkEnd w:id="27"/>
    <w:bookmarkStart w:id="28" w:name="Xac1f66a22066b8c6c84adcb56ef00e302638741"/>
    <w:p>
      <w:pPr>
        <w:pStyle w:val="Heading2"/>
      </w:pPr>
      <w:r>
        <w:t xml:space="preserve">Regra RN-17 — A planilha validada deve ser testável por interface</w:t>
      </w:r>
    </w:p>
    <w:p>
      <w:pPr>
        <w:pStyle w:val="FirstParagraph"/>
      </w:pPr>
      <w:r>
        <w:t xml:space="preserve">O testador humano externo deve conseguir validar a release pela tela inicial,</w:t>
      </w:r>
      <w:r>
        <w:t xml:space="preserve"> </w:t>
      </w:r>
      <w:r>
        <w:t xml:space="preserve">botão</w:t>
      </w:r>
      <w:r>
        <w:t xml:space="preserve"> </w:t>
      </w:r>
      <w:r>
        <w:rPr>
          <w:b/>
          <w:bCs/>
        </w:rPr>
        <w:t xml:space="preserve">Central de Testes</w:t>
      </w:r>
      <w:r>
        <w:t xml:space="preserve">, botão</w:t>
      </w:r>
      <w:r>
        <w:t xml:space="preserve"> </w:t>
      </w:r>
      <w:r>
        <w:rPr>
          <w:b/>
          <w:bCs/>
        </w:rPr>
        <w:t xml:space="preserve">Sobre</w:t>
      </w:r>
      <w:r>
        <w:t xml:space="preserve"> </w:t>
      </w:r>
      <w:r>
        <w:t xml:space="preserve">e formulários da planilha, sem</w:t>
      </w:r>
      <w:r>
        <w:t xml:space="preserve"> </w:t>
      </w:r>
      <w:r>
        <w:t xml:space="preserve">abrir Editor VBA ou Janela Imediata.</w:t>
      </w:r>
    </w:p>
    <w:p>
      <w:pPr>
        <w:pStyle w:val="BodyText"/>
      </w:pPr>
      <w:r>
        <w:t xml:space="preserve">Garantia V204: MICRO56, MICRO57, guia humano V204 e roteiro manual V204.</w:t>
      </w:r>
    </w:p>
    <w:bookmarkEnd w:id="28"/>
    <w:bookmarkStart w:id="29" w:name="matriz-resumida-de-garantia"/>
    <w:p>
      <w:pPr>
        <w:pStyle w:val="Heading2"/>
      </w:pPr>
      <w:r>
        <w:t xml:space="preserve">Matriz resumida de garantia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Automático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Evidência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RN-01</w:t>
            </w:r>
          </w:p>
        </w:tc>
        <w:tc>
          <w:tcPr/>
          <w:p>
            <w:pPr>
              <w:pStyle w:val="Compact"/>
            </w:pPr>
            <w:r>
              <w:t xml:space="preserve">V1, V2 Canônica, IntegridadeBase</w:t>
            </w:r>
          </w:p>
        </w:tc>
        <w:tc>
          <w:tcPr/>
          <w:p>
            <w:pPr>
              <w:pStyle w:val="Compact"/>
            </w:pPr>
            <w:r>
              <w:t xml:space="preserve">M-02 a M-06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RN-02</w:t>
            </w:r>
          </w:p>
        </w:tc>
        <w:tc>
          <w:tcPr/>
          <w:p>
            <w:pPr>
              <w:pStyle w:val="Compact"/>
            </w:pPr>
            <w:r>
              <w:t xml:space="preserve">V2 Canônica, E2E Strikes</w:t>
            </w:r>
          </w:p>
        </w:tc>
        <w:tc>
          <w:tcPr/>
          <w:p>
            <w:pPr>
              <w:pStyle w:val="Compact"/>
            </w:pPr>
            <w:r>
              <w:t xml:space="preserve">M-07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RN-03</w:t>
            </w:r>
          </w:p>
        </w:tc>
        <w:tc>
          <w:tcPr/>
          <w:p>
            <w:pPr>
              <w:pStyle w:val="Compact"/>
            </w:pPr>
            <w:r>
              <w:t xml:space="preserve">V2 Canônica, E2E Strikes</w:t>
            </w:r>
          </w:p>
        </w:tc>
        <w:tc>
          <w:tcPr/>
          <w:p>
            <w:pPr>
              <w:pStyle w:val="Compact"/>
            </w:pPr>
            <w:r>
              <w:t xml:space="preserve">M-07/M-10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RN-04</w:t>
            </w:r>
          </w:p>
        </w:tc>
        <w:tc>
          <w:tcPr/>
          <w:p>
            <w:pPr>
              <w:pStyle w:val="Compact"/>
            </w:pPr>
            <w:r>
              <w:t xml:space="preserve">E2E Strikes</w:t>
            </w:r>
          </w:p>
        </w:tc>
        <w:tc>
          <w:tcPr/>
          <w:p>
            <w:pPr>
              <w:pStyle w:val="Compact"/>
            </w:pPr>
            <w:r>
              <w:t xml:space="preserve">M-08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RN-05</w:t>
            </w:r>
          </w:p>
        </w:tc>
        <w:tc>
          <w:tcPr/>
          <w:p>
            <w:pPr>
              <w:pStyle w:val="Compact"/>
            </w:pPr>
            <w:r>
              <w:t xml:space="preserve">V2 Canônica, E2E Strikes</w:t>
            </w:r>
          </w:p>
        </w:tc>
        <w:tc>
          <w:tcPr/>
          <w:p>
            <w:pPr>
              <w:pStyle w:val="Compact"/>
            </w:pPr>
            <w:r>
              <w:t xml:space="preserve">M-08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RN-06</w:t>
            </w:r>
          </w:p>
        </w:tc>
        <w:tc>
          <w:tcPr/>
          <w:p>
            <w:pPr>
              <w:pStyle w:val="Compact"/>
            </w:pPr>
            <w:r>
              <w:t xml:space="preserve">V2 Canônica, IntegridadeBase</w:t>
            </w:r>
          </w:p>
        </w:tc>
        <w:tc>
          <w:tcPr/>
          <w:p>
            <w:pPr>
              <w:pStyle w:val="Compact"/>
            </w:pPr>
            <w:r>
              <w:t xml:space="preserve">M-07/M-08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RN-07</w:t>
            </w:r>
          </w:p>
        </w:tc>
        <w:tc>
          <w:tcPr/>
          <w:p>
            <w:pPr>
              <w:pStyle w:val="Compact"/>
            </w:pPr>
            <w:r>
              <w:t xml:space="preserve">E2E Strikes, Smoke</w:t>
            </w:r>
          </w:p>
        </w:tc>
        <w:tc>
          <w:tcPr/>
          <w:p>
            <w:pPr>
              <w:pStyle w:val="Compact"/>
            </w:pPr>
            <w:r>
              <w:t xml:space="preserve">M-09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RN-08</w:t>
            </w:r>
          </w:p>
        </w:tc>
        <w:tc>
          <w:tcPr/>
          <w:p>
            <w:pPr>
              <w:pStyle w:val="Compact"/>
            </w:pPr>
            <w:r>
              <w:t xml:space="preserve">E2E Strikes, Boundary Dates</w:t>
            </w:r>
          </w:p>
        </w:tc>
        <w:tc>
          <w:tcPr/>
          <w:p>
            <w:pPr>
              <w:pStyle w:val="Compact"/>
            </w:pPr>
            <w:r>
              <w:t xml:space="preserve">M-10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RN-09</w:t>
            </w:r>
          </w:p>
        </w:tc>
        <w:tc>
          <w:tcPr/>
          <w:p>
            <w:pPr>
              <w:pStyle w:val="Compact"/>
            </w:pPr>
            <w:r>
              <w:t xml:space="preserve">E2E Strikes, Dual Counter</w:t>
            </w:r>
          </w:p>
        </w:tc>
        <w:tc>
          <w:tcPr/>
          <w:p>
            <w:pPr>
              <w:pStyle w:val="Compact"/>
            </w:pPr>
            <w:r>
              <w:t xml:space="preserve">M-11</w:t>
            </w:r>
          </w:p>
        </w:tc>
        <w:tc>
          <w:tcPr/>
          <w:p>
            <w:pPr>
              <w:pStyle w:val="Compact"/>
            </w:pPr>
            <w:r>
              <w:t xml:space="preserve">MICRO48 + Sexteto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RN-10</w:t>
            </w:r>
          </w:p>
        </w:tc>
        <w:tc>
          <w:tcPr/>
          <w:p>
            <w:pPr>
              <w:pStyle w:val="Compact"/>
            </w:pPr>
            <w:r>
              <w:t xml:space="preserve">E2E Strikes, Boundary Dates</w:t>
            </w:r>
          </w:p>
        </w:tc>
        <w:tc>
          <w:tcPr/>
          <w:p>
            <w:pPr>
              <w:pStyle w:val="Compact"/>
            </w:pPr>
            <w:r>
              <w:t xml:space="preserve">M-11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RN-11</w:t>
            </w:r>
          </w:p>
        </w:tc>
        <w:tc>
          <w:tcPr/>
          <w:p>
            <w:pPr>
              <w:pStyle w:val="Compact"/>
            </w:pPr>
            <w:r>
              <w:t xml:space="preserve">V1, V2, E2E</w:t>
            </w:r>
          </w:p>
        </w:tc>
        <w:tc>
          <w:tcPr/>
          <w:p>
            <w:pPr>
              <w:pStyle w:val="Compact"/>
            </w:pPr>
            <w:r>
              <w:t xml:space="preserve">Roteiro completo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RN-12</w:t>
            </w:r>
          </w:p>
        </w:tc>
        <w:tc>
          <w:tcPr/>
          <w:p>
            <w:pPr>
              <w:pStyle w:val="Compact"/>
            </w:pPr>
            <w:r>
              <w:t xml:space="preserve">IntegridadeBase</w:t>
            </w:r>
          </w:p>
        </w:tc>
        <w:tc>
          <w:tcPr/>
          <w:p>
            <w:pPr>
              <w:pStyle w:val="Compact"/>
            </w:pPr>
            <w:r>
              <w:t xml:space="preserve">Revisão de relatório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RN-13</w:t>
            </w:r>
          </w:p>
        </w:tc>
        <w:tc>
          <w:tcPr/>
          <w:p>
            <w:pPr>
              <w:pStyle w:val="Compact"/>
            </w:pPr>
            <w:r>
              <w:t xml:space="preserve">Onda23Adv</w:t>
            </w:r>
          </w:p>
        </w:tc>
        <w:tc>
          <w:tcPr/>
          <w:p>
            <w:pPr>
              <w:pStyle w:val="Compact"/>
            </w:pPr>
            <w:r>
              <w:t xml:space="preserve">Observação de UI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RN-14</w:t>
            </w:r>
          </w:p>
        </w:tc>
        <w:tc>
          <w:tcPr/>
          <w:p>
            <w:pPr>
              <w:pStyle w:val="Compact"/>
            </w:pPr>
            <w:r>
              <w:t xml:space="preserve">Onda23Adv</w:t>
            </w:r>
          </w:p>
        </w:tc>
        <w:tc>
          <w:tcPr/>
          <w:p>
            <w:pPr>
              <w:pStyle w:val="Compact"/>
            </w:pPr>
            <w:r>
              <w:t xml:space="preserve">Não exigido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RN-15</w:t>
            </w:r>
          </w:p>
        </w:tc>
        <w:tc>
          <w:tcPr/>
          <w:p>
            <w:pPr>
              <w:pStyle w:val="Compact"/>
            </w:pPr>
            <w:r>
              <w:t xml:space="preserve">Onda23Adv</w:t>
            </w:r>
          </w:p>
        </w:tc>
        <w:tc>
          <w:tcPr/>
          <w:p>
            <w:pPr>
              <w:pStyle w:val="Compact"/>
            </w:pPr>
            <w:r>
              <w:t xml:space="preserve">Não exigido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RN-16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  <w:r>
              <w:t xml:space="preserve"> </w:t>
            </w:r>
            <w:r>
              <w:rPr>
                <w:rStyle w:val="VerbatimChar"/>
              </w:rPr>
              <w:t xml:space="preserve">MIG_009</w:t>
            </w:r>
          </w:p>
        </w:tc>
        <w:tc>
          <w:tcPr/>
          <w:p>
            <w:pPr>
              <w:pStyle w:val="Compact"/>
            </w:pPr>
            <w:r>
              <w:t xml:space="preserve">M-12 a M-14</w:t>
            </w:r>
          </w:p>
        </w:tc>
        <w:tc>
          <w:tcPr/>
          <w:p>
            <w:pPr>
              <w:pStyle w:val="Compact"/>
            </w:pPr>
            <w:r>
              <w:t xml:space="preserve">MICRO53-fix2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RN-17</w:t>
            </w:r>
          </w:p>
        </w:tc>
        <w:tc>
          <w:tcPr/>
          <w:p>
            <w:pPr>
              <w:pStyle w:val="Compact"/>
            </w:pPr>
            <w:r>
              <w:t xml:space="preserve">Documental</w:t>
            </w:r>
          </w:p>
        </w:tc>
        <w:tc>
          <w:tcPr/>
          <w:p>
            <w:pPr>
              <w:pStyle w:val="Compact"/>
            </w:pPr>
            <w:r>
              <w:t xml:space="preserve">Guia humano</w:t>
            </w:r>
          </w:p>
        </w:tc>
        <w:tc>
          <w:tcPr/>
          <w:p>
            <w:pPr>
              <w:pStyle w:val="Compact"/>
            </w:pPr>
            <w:r>
              <w:t xml:space="preserve">MICRO56/MICRO57</w:t>
            </w:r>
          </w:p>
        </w:tc>
      </w:tr>
    </w:tbl>
    <w:bookmarkEnd w:id="29"/>
    <w:bookmarkStart w:id="30" w:name="débitos-explícitos-para-v12.0.0205"/>
    <w:p>
      <w:pPr>
        <w:pStyle w:val="Heading2"/>
      </w:pPr>
      <w:r>
        <w:t xml:space="preserve">Débitos explícitos para V12.0.0205</w:t>
      </w:r>
    </w:p>
    <w:p>
      <w:pPr>
        <w:pStyle w:val="Compact"/>
        <w:numPr>
          <w:ilvl w:val="0"/>
          <w:numId w:val="1002"/>
        </w:numPr>
      </w:pPr>
      <w:r>
        <w:t xml:space="preserve">Renomear a taxonomia pública</w:t>
      </w:r>
      <w:r>
        <w:t xml:space="preserve"> </w:t>
      </w:r>
      <w:r>
        <w:t xml:space="preserve">“Sexteto”</w:t>
      </w:r>
      <w:r>
        <w:t xml:space="preserve">,</w:t>
      </w:r>
      <w:r>
        <w:t xml:space="preserve"> </w:t>
      </w:r>
      <w:r>
        <w:t xml:space="preserve">“Quinteto”</w:t>
      </w:r>
      <w:r>
        <w:t xml:space="preserve"> </w:t>
      </w:r>
      <w:r>
        <w:t xml:space="preserve">e</w:t>
      </w:r>
      <w:r>
        <w:t xml:space="preserve"> </w:t>
      </w:r>
      <w:r>
        <w:t xml:space="preserve">“Quarteto”</w:t>
      </w:r>
      <w:r>
        <w:t xml:space="preserve"> </w:t>
      </w:r>
      <w:r>
        <w:t xml:space="preserve">para nomes</w:t>
      </w:r>
      <w:r>
        <w:t xml:space="preserve"> </w:t>
      </w:r>
      <w:r>
        <w:t xml:space="preserve">profissionais de engenharia de software.</w:t>
      </w:r>
    </w:p>
    <w:p>
      <w:pPr>
        <w:pStyle w:val="Compact"/>
        <w:numPr>
          <w:ilvl w:val="0"/>
          <w:numId w:val="1002"/>
        </w:numPr>
      </w:pPr>
      <w:r>
        <w:t xml:space="preserve">Reordenar a Central de Testes para que a validação completa de release seja</w:t>
      </w:r>
      <w:r>
        <w:t xml:space="preserve"> </w:t>
      </w:r>
      <w:r>
        <w:t xml:space="preserve">a primeira opção clara para humanos.</w:t>
      </w:r>
    </w:p>
    <w:p>
      <w:pPr>
        <w:pStyle w:val="Compact"/>
        <w:numPr>
          <w:ilvl w:val="0"/>
          <w:numId w:val="1002"/>
        </w:numPr>
      </w:pPr>
      <w:r>
        <w:t xml:space="preserve">Migrar a pasta técnica</w:t>
      </w:r>
      <w:r>
        <w:t xml:space="preserve"> </w:t>
      </w:r>
      <w:r>
        <w:rPr>
          <w:rStyle w:val="VerbatimChar"/>
        </w:rPr>
        <w:t xml:space="preserve">doc/</w:t>
      </w:r>
      <w:r>
        <w:t xml:space="preserve"> </w:t>
      </w:r>
      <w:r>
        <w:t xml:space="preserve">para uma arquitetura de dados mais clara, sem</w:t>
      </w:r>
      <w:r>
        <w:t xml:space="preserve"> </w:t>
      </w:r>
      <w:r>
        <w:t xml:space="preserve">quebrar os caminhos CNAE usados pelo VBA.</w:t>
      </w:r>
    </w:p>
    <w:p>
      <w:pPr>
        <w:pStyle w:val="Compact"/>
        <w:numPr>
          <w:ilvl w:val="0"/>
          <w:numId w:val="1002"/>
        </w:numPr>
      </w:pPr>
      <w:r>
        <w:t xml:space="preserve">Reavaliar MD-24.4 sem reaproveitar os artefatos MICRO49.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testes/04_MATRIZ_COBERTURA_REGRAS_NEGOCIO_V204.md" TargetMode="External" /><Relationship Type="http://schemas.openxmlformats.org/officeDocument/2006/relationships/hyperlink" Id="rId10" Target="../testes/06_MATRIZ_RASTREABILIDADE_TESTES_V204.md" TargetMode="External" /><Relationship Type="http://schemas.openxmlformats.org/officeDocument/2006/relationships/hyperlink" Id="rId11" Target="../testes/07_ROTEIRO_TESTE_MANUAL_V204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testes/04_MATRIZ_COBERTURA_REGRAS_NEGOCIO_V204.md" TargetMode="External" /><Relationship Type="http://schemas.openxmlformats.org/officeDocument/2006/relationships/hyperlink" Id="rId10" Target="../testes/06_MATRIZ_RASTREABILIDADE_TESTES_V204.md" TargetMode="External" /><Relationship Type="http://schemas.openxmlformats.org/officeDocument/2006/relationships/hyperlink" Id="rId11" Target="../testes/07_ROTEIRO_TESTE_MANUAL_V204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de Negócio V12.0.0204</dc:title>
  <dc:creator/>
  <dc:language>pt-BR</dc:language>
  <cp:keywords/>
  <dcterms:created xsi:type="dcterms:W3CDTF">2026-05-12T18:45:52Z</dcterms:created>
  <dcterms:modified xsi:type="dcterms:W3CDTF">2026-05-12T18:45:52Z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ia">
    <vt:lpwstr>ambos</vt:lpwstr>
  </property>
  <property fmtid="{D5CDD505-2E9C-101B-9397-08002B2CF9AE}" pid="3" name="data">
    <vt:lpwstr>2026-05-12</vt:lpwstr>
  </property>
  <property fmtid="{D5CDD505-2E9C-101B-9397-08002B2CF9AE}" pid="4" name="date">
    <vt:lpwstr>2026-05-12</vt:lpwstr>
  </property>
  <property fmtid="{D5CDD505-2E9C-101B-9397-08002B2CF9AE}" pid="5" name="diataxis">
    <vt:lpwstr>reference</vt:lpwstr>
  </property>
  <property fmtid="{D5CDD505-2E9C-101B-9397-08002B2CF9AE}" pid="6" name="hbn-status">
    <vt:lpwstr>active</vt:lpwstr>
  </property>
  <property fmtid="{D5CDD505-2E9C-101B-9397-08002B2CF9AE}" pid="7" name="hbn-track">
    <vt:lpwstr>safe_track</vt:lpwstr>
  </property>
  <property fmtid="{D5CDD505-2E9C-101B-9397-08002B2CF9AE}" pid="8" name="titulo">
    <vt:lpwstr>Regras de Negócio V204</vt:lpwstr>
  </property>
  <property fmtid="{D5CDD505-2E9C-101B-9397-08002B2CF9AE}" pid="9" name="versao-sistema">
    <vt:lpwstr>V12.0.0204</vt:lpwstr>
  </property>
</Properties>
</file>