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Como Rodar o Sexteto de Validação V12.0.0204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aa84dffc1ddc6f42dac212748a9a1e7181cc166"/>
    <w:p>
      <w:pPr>
        <w:pStyle w:val="Heading1"/>
      </w:pPr>
      <w:r>
        <w:t xml:space="preserve">Como Rodar o Sexteto de Validação da Release</w:t>
      </w:r>
    </w:p>
    <w:p>
      <w:pPr>
        <w:pStyle w:val="FirstParagraph"/>
      </w:pPr>
      <w:r>
        <w:t xml:space="preserve">Este é o procedimento canônico da V12.0.0204 para reproduzir o gate</w:t>
      </w:r>
      <w:r>
        <w:t xml:space="preserve"> </w:t>
      </w:r>
      <w:r>
        <w:t xml:space="preserve">automatizado da release em uma máquina Windows com Excel Desktop, usando apenas</w:t>
      </w:r>
      <w:r>
        <w:t xml:space="preserve"> </w:t>
      </w:r>
      <w:r>
        <w:t xml:space="preserve">a interface da planilha.</w:t>
      </w:r>
    </w:p>
    <w:bookmarkStart w:id="10" w:name="pré-requisitos"/>
    <w:p>
      <w:pPr>
        <w:pStyle w:val="Heading2"/>
      </w:pPr>
      <w:r>
        <w:t xml:space="preserve">Pré-requisitos</w:t>
      </w:r>
    </w:p>
    <w:p>
      <w:pPr>
        <w:pStyle w:val="Compact"/>
        <w:numPr>
          <w:ilvl w:val="0"/>
          <w:numId w:val="1001"/>
        </w:numPr>
      </w:pPr>
      <w:r>
        <w:t xml:space="preserve">A planilha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está salva localmente.</w:t>
      </w:r>
    </w:p>
    <w:p>
      <w:pPr>
        <w:pStyle w:val="Compact"/>
        <w:numPr>
          <w:ilvl w:val="0"/>
          <w:numId w:val="1001"/>
        </w:numPr>
      </w:pPr>
      <w:r>
        <w:t xml:space="preserve">As macros foram liberadas conforme</w:t>
      </w:r>
      <w:r>
        <w:t xml:space="preserve"> </w:t>
      </w:r>
      <w:hyperlink r:id="rId9">
        <w:r>
          <w:rPr>
            <w:rStyle w:val="Hyperlink"/>
          </w:rPr>
          <w:t xml:space="preserve">Como Liberar Macros no Windows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tela inicial do sistema abre normalmente.</w:t>
      </w:r>
    </w:p>
    <w:p>
      <w:pPr>
        <w:pStyle w:val="Compact"/>
        <w:numPr>
          <w:ilvl w:val="0"/>
          <w:numId w:val="1001"/>
        </w:numPr>
      </w:pPr>
      <w:r>
        <w:t xml:space="preserve">O botão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confirma V12.0.0204, status VALIDADO e build final</w:t>
      </w:r>
      <w:r>
        <w:t xml:space="preserve"> </w:t>
      </w:r>
      <w:r>
        <w:t xml:space="preserve">homologado.</w:t>
      </w:r>
    </w:p>
    <w:bookmarkEnd w:id="10"/>
    <w:bookmarkStart w:id="11" w:name="caminho-pela-interface"/>
    <w:p>
      <w:pPr>
        <w:pStyle w:val="Heading2"/>
      </w:pPr>
      <w:r>
        <w:t xml:space="preserve">Caminho pela interface</w:t>
      </w:r>
    </w:p>
    <w:p>
      <w:pPr>
        <w:pStyle w:val="Compact"/>
        <w:numPr>
          <w:ilvl w:val="0"/>
          <w:numId w:val="1002"/>
        </w:numPr>
      </w:pPr>
      <w:r>
        <w:t xml:space="preserve">Na tela inicial, clique em</w:t>
      </w:r>
      <w:r>
        <w:t xml:space="preserve"> </w:t>
      </w:r>
      <w:r>
        <w:rPr>
          <w:b/>
          <w:bCs/>
        </w:rPr>
        <w:t xml:space="preserve">Central de Testes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 aparecer a mensagem</w:t>
      </w:r>
      <w:r>
        <w:t xml:space="preserve"> </w:t>
      </w:r>
      <w:r>
        <w:rPr>
          <w:b/>
          <w:bCs/>
        </w:rPr>
        <w:t xml:space="preserve">Modo Treinamento</w:t>
      </w:r>
      <w:r>
        <w:t xml:space="preserve">, clique em</w:t>
      </w:r>
      <w:r>
        <w:t xml:space="preserve"> </w:t>
      </w:r>
      <w:r>
        <w:rPr>
          <w:b/>
          <w:bCs/>
        </w:rPr>
        <w:t xml:space="preserve">Sim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 aparecer a janela</w:t>
      </w:r>
      <w:r>
        <w:t xml:space="preserve"> </w:t>
      </w:r>
      <w:r>
        <w:rPr>
          <w:b/>
          <w:bCs/>
        </w:rPr>
        <w:t xml:space="preserve">Central de Testes V12 / Transição</w:t>
      </w:r>
      <w:r>
        <w:t xml:space="preserve">, escolha:</w:t>
      </w:r>
    </w:p>
    <w:p>
      <w:pPr>
        <w:pStyle w:val="SourceCode"/>
      </w:pPr>
      <w:r>
        <w:rPr>
          <w:rStyle w:val="VerbatimChar"/>
        </w:rPr>
        <w:t xml:space="preserve">[2] Central de Testes V2</w:t>
      </w:r>
    </w:p>
    <w:p>
      <w:pPr>
        <w:pStyle w:val="Compact"/>
        <w:numPr>
          <w:ilvl w:val="0"/>
          <w:numId w:val="1003"/>
        </w:numPr>
      </w:pPr>
      <w:r>
        <w:t xml:space="preserve">Na janela</w:t>
      </w:r>
      <w:r>
        <w:t xml:space="preserve"> </w:t>
      </w:r>
      <w:r>
        <w:rPr>
          <w:b/>
          <w:bCs/>
        </w:rPr>
        <w:t xml:space="preserve">Central de Testes V2</w:t>
      </w:r>
      <w:r>
        <w:t xml:space="preserve">, escolha:</w:t>
      </w:r>
    </w:p>
    <w:p>
      <w:pPr>
        <w:pStyle w:val="SourceCode"/>
      </w:pPr>
      <w:r>
        <w:rPr>
          <w:rStyle w:val="VerbatimChar"/>
        </w:rPr>
        <w:t xml:space="preserve">[1] Sexteto Mínimo</w:t>
      </w:r>
    </w:p>
    <w:p>
      <w:pPr>
        <w:pStyle w:val="Compact"/>
        <w:numPr>
          <w:ilvl w:val="0"/>
          <w:numId w:val="1004"/>
        </w:numPr>
      </w:pPr>
      <w:r>
        <w:t xml:space="preserve">Aguarde a execução terminar.</w:t>
      </w:r>
    </w:p>
    <w:p>
      <w:pPr>
        <w:pStyle w:val="Compact"/>
        <w:numPr>
          <w:ilvl w:val="0"/>
          <w:numId w:val="1004"/>
        </w:numPr>
      </w:pPr>
      <w:r>
        <w:t xml:space="preserve">Ao final, confira a mensagem de conclusão e a aba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.</w:t>
      </w:r>
    </w:p>
    <w:p>
      <w:pPr>
        <w:pStyle w:val="FirstParagraph"/>
      </w:pPr>
      <w:r>
        <w:t xml:space="preserve">O Excel deve preencher a aba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, exibir uma mensagem de</w:t>
      </w:r>
      <w:r>
        <w:t xml:space="preserve"> </w:t>
      </w:r>
      <w:r>
        <w:t xml:space="preserve">conclusão e gerar um CSV de resumo em:</w:t>
      </w:r>
    </w:p>
    <w:p>
      <w:pPr>
        <w:pStyle w:val="SourceCode"/>
      </w:pPr>
      <w:r>
        <w:rPr>
          <w:rStyle w:val="VerbatimChar"/>
        </w:rPr>
        <w:t xml:space="preserve">auditoria/evidencias/V12.0.0204/</w:t>
      </w:r>
    </w:p>
    <w:bookmarkEnd w:id="11"/>
    <w:bookmarkStart w:id="12" w:name="resultado-esperado"/>
    <w:p>
      <w:pPr>
        <w:pStyle w:val="Heading2"/>
      </w:pPr>
      <w:r>
        <w:t xml:space="preserve">Resultado esperado</w:t>
      </w:r>
    </w:p>
    <w:p>
      <w:pPr>
        <w:pStyle w:val="FirstParagraph"/>
      </w:pPr>
      <w:r>
        <w:t xml:space="preserve">Para a V12.0.0204 validada, a sintaxe aprovada é:</w:t>
      </w:r>
    </w:p>
    <w:p>
      <w:pPr>
        <w:pStyle w:val="SourceCode"/>
      </w:pPr>
      <w:r>
        <w:rPr>
          <w:rStyle w:val="VerbatimChar"/>
        </w:rPr>
        <w:t xml:space="preserve">V1=171/0+V2_Smoke=34/0+V2_Canonica=24/0+E2E_Strikes=76/0+IntegridadeBase=4/0+Onda23Adv=27/0</w:t>
      </w:r>
    </w:p>
    <w:p>
      <w:pPr>
        <w:pStyle w:val="FirstParagraph"/>
      </w:pPr>
      <w:r>
        <w:t xml:space="preserve">O resultado geral deve ser</w:t>
      </w:r>
      <w:r>
        <w:t xml:space="preserve"> </w:t>
      </w:r>
      <w:r>
        <w:rPr>
          <w:rStyle w:val="VerbatimChar"/>
        </w:rPr>
        <w:t xml:space="preserve">APROVADO</w:t>
      </w:r>
      <w:r>
        <w:t xml:space="preserve">.</w:t>
      </w:r>
    </w:p>
    <w:bookmarkEnd w:id="12"/>
    <w:bookmarkStart w:id="13" w:name="observação-sobre-a-tela-intermediária"/>
    <w:p>
      <w:pPr>
        <w:pStyle w:val="Heading2"/>
      </w:pPr>
      <w:r>
        <w:t xml:space="preserve">Observação sobre a tela intermediária</w:t>
      </w:r>
    </w:p>
    <w:p>
      <w:pPr>
        <w:pStyle w:val="FirstParagraph"/>
      </w:pPr>
      <w:r>
        <w:t xml:space="preserve">Na V12.0.0204, a primeira janela da Central ainda pode exibir</w:t>
      </w:r>
      <w:r>
        <w:t xml:space="preserve"> </w:t>
      </w:r>
      <w:r>
        <w:rPr>
          <w:b/>
          <w:bCs/>
        </w:rPr>
        <w:t xml:space="preserve">Quarteto</w:t>
      </w:r>
      <w:r>
        <w:rPr>
          <w:b/>
          <w:bCs/>
        </w:rPr>
        <w:t xml:space="preserve"> </w:t>
      </w:r>
      <w:r>
        <w:rPr>
          <w:b/>
          <w:bCs/>
        </w:rPr>
        <w:t xml:space="preserve">Direto</w:t>
      </w:r>
      <w:r>
        <w:t xml:space="preserve"> </w:t>
      </w:r>
      <w:r>
        <w:t xml:space="preserve">como gate histórico. Para validar a release final, use a Central V2 e</w:t>
      </w:r>
      <w:r>
        <w:t xml:space="preserve"> </w:t>
      </w:r>
      <w:r>
        <w:t xml:space="preserve">rode</w:t>
      </w:r>
      <w:r>
        <w:t xml:space="preserve"> </w:t>
      </w:r>
      <w:r>
        <w:rPr>
          <w:b/>
          <w:bCs/>
        </w:rPr>
        <w:t xml:space="preserve">[1] Sexteto Mínimo</w:t>
      </w:r>
      <w:r>
        <w:t xml:space="preserve">.</w:t>
      </w:r>
    </w:p>
    <w:p>
      <w:pPr>
        <w:pStyle w:val="BodyText"/>
      </w:pPr>
      <w:r>
        <w:t xml:space="preserve">Esse ajuste de mensageria e ordem da Central de Testes está registrado como</w:t>
      </w:r>
      <w:r>
        <w:t xml:space="preserve"> </w:t>
      </w:r>
      <w:r>
        <w:t xml:space="preserve">débito da V12.0.0205.</w:t>
      </w:r>
    </w:p>
    <w:bookmarkEnd w:id="13"/>
    <w:bookmarkStart w:id="14" w:name="evidências-oficiais-da-v204"/>
    <w:p>
      <w:pPr>
        <w:pStyle w:val="Heading2"/>
      </w:pPr>
      <w:r>
        <w:t xml:space="preserve">Evidências oficiais da V204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Gate final usado para publicação da V12.0.0204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VR_20260511_175849</w:t>
            </w:r>
          </w:p>
        </w:tc>
        <w:tc>
          <w:tcPr/>
          <w:p>
            <w:pPr>
              <w:pStyle w:val="Compact"/>
            </w:pPr>
            <w:r>
              <w:t xml:space="preserve">Gate adicional após MICRO55 App_Release final</w:t>
            </w:r>
          </w:p>
        </w:tc>
      </w:tr>
    </w:tbl>
    <w:p>
      <w:pPr>
        <w:pStyle w:val="BodyText"/>
      </w:pPr>
      <w:r>
        <w:t xml:space="preserve">Ambas estão em</w:t>
      </w:r>
      <w:r>
        <w:t xml:space="preserve"> </w:t>
      </w:r>
      <w:r>
        <w:rPr>
          <w:rStyle w:val="VerbatimChar"/>
        </w:rPr>
        <w:t xml:space="preserve">auditoria/evidencias/V12.0.0204/</w:t>
      </w:r>
      <w:r>
        <w:t xml:space="preserve">.</w:t>
      </w:r>
    </w:p>
    <w:bookmarkEnd w:id="14"/>
    <w:bookmarkStart w:id="15" w:name="regra-de-decisão"/>
    <w:p>
      <w:pPr>
        <w:pStyle w:val="Heading2"/>
      </w:pPr>
      <w:r>
        <w:t xml:space="preserve">Regra de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Planilha não abre ou macros ficam bloqueadas</w:t>
            </w:r>
          </w:p>
        </w:tc>
        <w:tc>
          <w:tcPr/>
          <w:p>
            <w:pPr>
              <w:pStyle w:val="Compact"/>
            </w:pPr>
            <w:r>
              <w:t xml:space="preserve">Reprovar e registrar a 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rPr>
                <w:b/>
                <w:bCs/>
              </w:rPr>
              <w:t xml:space="preserve">Sobre</w:t>
            </w:r>
            <w:r>
              <w:t xml:space="preserve"> </w:t>
            </w:r>
            <w:r>
              <w:t xml:space="preserve">mostra versão/build diferente</w:t>
            </w:r>
          </w:p>
        </w:tc>
        <w:tc>
          <w:tcPr/>
          <w:p>
            <w:pPr>
              <w:pStyle w:val="Compact"/>
            </w:pPr>
            <w:r>
              <w:t xml:space="preserve">Reprovar e registrar o valor exibido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Qualquer suíte com falha maior que zero</w:t>
            </w:r>
          </w:p>
        </w:tc>
        <w:tc>
          <w:tcPr/>
          <w:p>
            <w:pPr>
              <w:pStyle w:val="Compact"/>
            </w:pPr>
            <w:r>
              <w:t xml:space="preserve">Reprovar e anexar CSV de falhas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diferente do esperado sem justificativa</w:t>
            </w:r>
          </w:p>
        </w:tc>
        <w:tc>
          <w:tcPr/>
          <w:p>
            <w:pPr>
              <w:pStyle w:val="Compact"/>
            </w:pPr>
            <w:r>
              <w:t xml:space="preserve">Registrar como anomalia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Sintaxe igual ao esperado e resultado</w:t>
            </w:r>
            <w:r>
              <w:t xml:space="preserve"> </w:t>
            </w:r>
            <w:r>
              <w:rPr>
                <w:rStyle w:val="VerbatimChar"/>
              </w:rPr>
              <w:t xml:space="preserve">APROVADO</w:t>
            </w:r>
          </w:p>
        </w:tc>
        <w:tc>
          <w:tcPr/>
          <w:p>
            <w:pPr>
              <w:pStyle w:val="Compact"/>
            </w:pPr>
            <w:r>
              <w:t xml:space="preserve">Gate automatizado aprovado</w:t>
            </w:r>
          </w:p>
        </w:tc>
      </w:tr>
    </w:tbl>
    <w:bookmarkEnd w:id="15"/>
    <w:bookmarkStart w:id="17" w:name="depois-do-sexteto"/>
    <w:p>
      <w:pPr>
        <w:pStyle w:val="Heading2"/>
      </w:pPr>
      <w:r>
        <w:t xml:space="preserve">Depois do Sexteto</w:t>
      </w:r>
    </w:p>
    <w:p>
      <w:pPr>
        <w:pStyle w:val="FirstParagraph"/>
      </w:pPr>
      <w:r>
        <w:t xml:space="preserve">Execute o roteiro humano da V204: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Roteiro de Teste Manual V204</w:t>
        </w:r>
      </w:hyperlink>
    </w:p>
    <w:p>
      <w:pPr>
        <w:pStyle w:val="FirstParagraph"/>
      </w:pPr>
      <w:r>
        <w:t xml:space="preserve">O roteiro manual cobre o uso real da planilha, incluindo Limpar Base, cadastro</w:t>
      </w:r>
      <w:r>
        <w:t xml:space="preserve"> </w:t>
      </w:r>
      <w:r>
        <w:t xml:space="preserve">de serviços, credenciamento, rodízio, OS, avaliação, strikes e reativação.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reference/testes/07_ROTEIRO_TESTE_MANUAL_V204.md" TargetMode="External" /><Relationship Type="http://schemas.openxmlformats.org/officeDocument/2006/relationships/hyperlink" Id="rId9" Target="COMO_LIBERAR_MACROS_NO_WINDOW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reference/testes/07_ROTEIRO_TESTE_MANUAL_V204.md" TargetMode="External" /><Relationship Type="http://schemas.openxmlformats.org/officeDocument/2006/relationships/hyperlink" Id="rId9" Target="COMO_LIBERAR_MACROS_NO_WINDOW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Rodar o Sexteto de Validação V12.0.0204</dc:title>
  <dc:creator/>
  <dc:language>pt-BR</dc:language>
  <cp:keywords/>
  <dcterms:created xsi:type="dcterms:W3CDTF">2026-05-12T18:45:52Z</dcterms:created>
  <dcterms:modified xsi:type="dcterms:W3CDTF">2026-05-12T18:45:52Z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humano</vt:lpwstr>
  </property>
  <property fmtid="{D5CDD505-2E9C-101B-9397-08002B2CF9AE}" pid="3" name="data">
    <vt:lpwstr>2026-05-12</vt:lpwstr>
  </property>
  <property fmtid="{D5CDD505-2E9C-101B-9397-08002B2CF9AE}" pid="4" name="date">
    <vt:lpwstr>2026-05-12</vt:lpwstr>
  </property>
  <property fmtid="{D5CDD505-2E9C-101B-9397-08002B2CF9AE}" pid="5" name="diataxis">
    <vt:lpwstr>how-to</vt:lpwstr>
  </property>
  <property fmtid="{D5CDD505-2E9C-101B-9397-08002B2CF9AE}" pid="6" name="hbn-status">
    <vt:lpwstr>active</vt:lpwstr>
  </property>
  <property fmtid="{D5CDD505-2E9C-101B-9397-08002B2CF9AE}" pid="7" name="hbn-track">
    <vt:lpwstr>safe_track</vt:lpwstr>
  </property>
  <property fmtid="{D5CDD505-2E9C-101B-9397-08002B2CF9AE}" pid="8" name="titulo">
    <vt:lpwstr>Como Rodar o Sexteto de Validação da Release</vt:lpwstr>
  </property>
  <property fmtid="{D5CDD505-2E9C-101B-9397-08002B2CF9AE}" pid="9" name="versao-sistema">
    <vt:lpwstr>V12.0.0204</vt:lpwstr>
  </property>
</Properties>
</file>