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dossiê-de-release-v12.0.0205"/>
    <w:p>
      <w:pPr>
        <w:pStyle w:val="Heading1"/>
      </w:pPr>
      <w:r>
        <w:t xml:space="preserve">Dossiê de Release — V12.0.0205</w:t>
      </w:r>
    </w:p>
    <w:p>
      <w:pPr>
        <w:pStyle w:val="FirstParagraph"/>
      </w:pPr>
      <w:r>
        <w:t xml:space="preserve">Este é o dossiê fonte da V12.0.0205. O arquivo Markdown é a fonte primária.</w:t>
      </w:r>
      <w:r>
        <w:t xml:space="preserve"> </w:t>
      </w:r>
      <w:r>
        <w:t xml:space="preserve">DOCX e PDF são artefatos derivados.</w:t>
      </w:r>
    </w:p>
    <w:bookmarkStart w:id="9" w:name="identidade"/>
    <w:p>
      <w:pPr>
        <w:pStyle w:val="Heading2"/>
      </w:pPr>
      <w:r>
        <w:t xml:space="preserve">Identidade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Versão</w:t>
            </w:r>
          </w:p>
        </w:tc>
        <w:tc>
          <w:tcPr/>
          <w:p>
            <w:pPr>
              <w:pStyle w:val="Compact"/>
            </w:pPr>
            <w:r>
              <w:t xml:space="preserve">V12.0.0205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Natureza</w:t>
            </w:r>
          </w:p>
        </w:tc>
        <w:tc>
          <w:tcPr/>
          <w:p>
            <w:pPr>
              <w:pStyle w:val="Compact"/>
            </w:pPr>
            <w:r>
              <w:t xml:space="preserve">Estabilização para produção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V12.0.0204 VALIDADO/OFICIAL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VALIDADO/OFICIAL após Gate RVS final</w:t>
            </w:r>
            <w:r>
              <w:t xml:space="preserve"> </w:t>
            </w:r>
            <w:r>
              <w:rPr>
                <w:rStyle w:val="VerbatimChar"/>
              </w:rPr>
              <w:t xml:space="preserve">VR_20260523_215637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Planilha de homologação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PlanilhaCredenciamento-Homologacao-V4.xlsm</w:t>
            </w:r>
          </w:p>
        </w:tc>
      </w:tr>
    </w:tbl>
    <w:bookmarkEnd w:id="9"/>
    <w:bookmarkStart w:id="10" w:name="escopo"/>
    <w:p>
      <w:pPr>
        <w:pStyle w:val="Heading2"/>
      </w:pPr>
      <w:r>
        <w:t xml:space="preserve">Escopo</w:t>
      </w:r>
    </w:p>
    <w:p>
      <w:pPr>
        <w:pStyle w:val="Compact"/>
        <w:numPr>
          <w:ilvl w:val="0"/>
          <w:numId w:val="1001"/>
        </w:numPr>
      </w:pPr>
      <w:r>
        <w:t xml:space="preserve">Nomenclatura profissional RVS/SRC/BRL.</w:t>
      </w:r>
    </w:p>
    <w:p>
      <w:pPr>
        <w:pStyle w:val="Compact"/>
        <w:numPr>
          <w:ilvl w:val="0"/>
          <w:numId w:val="1001"/>
        </w:numPr>
      </w:pPr>
      <w:r>
        <w:t xml:space="preserve">Central de Testes mais clara.</w:t>
      </w:r>
    </w:p>
    <w:p>
      <w:pPr>
        <w:pStyle w:val="Compact"/>
        <w:numPr>
          <w:ilvl w:val="0"/>
          <w:numId w:val="1001"/>
        </w:numPr>
      </w:pPr>
      <w:r>
        <w:t xml:space="preserve">Evidências V205 padronizadas.</w:t>
      </w:r>
    </w:p>
    <w:p>
      <w:pPr>
        <w:pStyle w:val="Compact"/>
        <w:numPr>
          <w:ilvl w:val="0"/>
          <w:numId w:val="1001"/>
        </w:numPr>
      </w:pPr>
      <w:r>
        <w:t xml:space="preserve">Jornada de Validação Humana.</w:t>
      </w:r>
    </w:p>
    <w:p>
      <w:pPr>
        <w:pStyle w:val="Compact"/>
        <w:numPr>
          <w:ilvl w:val="0"/>
          <w:numId w:val="1001"/>
        </w:numPr>
      </w:pPr>
      <w:r>
        <w:t xml:space="preserve">Dossiê e documentação pública.</w:t>
      </w:r>
    </w:p>
    <w:p>
      <w:pPr>
        <w:pStyle w:val="Compact"/>
        <w:numPr>
          <w:ilvl w:val="0"/>
          <w:numId w:val="1001"/>
        </w:numPr>
      </w:pPr>
      <w:r>
        <w:t xml:space="preserve">CI/CD de release atualizado.</w:t>
      </w:r>
    </w:p>
    <w:bookmarkEnd w:id="10"/>
    <w:bookmarkStart w:id="11" w:name="não-escopo"/>
    <w:p>
      <w:pPr>
        <w:pStyle w:val="Heading2"/>
      </w:pPr>
      <w:r>
        <w:t xml:space="preserve">Não Escopo</w:t>
      </w:r>
    </w:p>
    <w:p>
      <w:pPr>
        <w:pStyle w:val="Compact"/>
        <w:numPr>
          <w:ilvl w:val="0"/>
          <w:numId w:val="1002"/>
        </w:numPr>
      </w:pPr>
      <w:r>
        <w:t xml:space="preserve">PDF automático VBA.</w:t>
      </w:r>
    </w:p>
    <w:p>
      <w:pPr>
        <w:pStyle w:val="Compact"/>
        <w:numPr>
          <w:ilvl w:val="0"/>
          <w:numId w:val="1002"/>
        </w:numPr>
      </w:pPr>
      <w:r>
        <w:t xml:space="preserve">Refatoração profunda.</w:t>
      </w:r>
    </w:p>
    <w:p>
      <w:pPr>
        <w:pStyle w:val="Compact"/>
        <w:numPr>
          <w:ilvl w:val="0"/>
          <w:numId w:val="1002"/>
        </w:numPr>
      </w:pPr>
      <w:r>
        <w:t xml:space="preserve">Renomeação de símbolos VBA.</w:t>
      </w:r>
    </w:p>
    <w:p>
      <w:pPr>
        <w:pStyle w:val="Compact"/>
        <w:numPr>
          <w:ilvl w:val="0"/>
          <w:numId w:val="1002"/>
        </w:numPr>
      </w:pPr>
      <w:r>
        <w:t xml:space="preserve">Preparação SaaS.</w:t>
      </w:r>
    </w:p>
    <w:bookmarkEnd w:id="11"/>
    <w:bookmarkStart w:id="12" w:name="gate-funcional"/>
    <w:p>
      <w:pPr>
        <w:pStyle w:val="Heading2"/>
      </w:pPr>
      <w:r>
        <w:t xml:space="preserve">Gate Funcional</w:t>
      </w:r>
    </w:p>
    <w:p>
      <w:pPr>
        <w:pStyle w:val="SourceCode"/>
      </w:pPr>
      <w:r>
        <w:rPr>
          <w:rStyle w:val="VerbatimChar"/>
        </w:rPr>
        <w:t xml:space="preserve">V1=171/0+V2_Smoke=34/0+V2_Canonica=24/0+E2E_Strikes=76/0+IntegridadeBase=4/0+Onda23Adv=27/0</w:t>
      </w:r>
    </w:p>
    <w:p>
      <w:pPr>
        <w:pStyle w:val="FirstParagraph"/>
      </w:pPr>
      <w:r>
        <w:t xml:space="preserve">Resultado validado em homologação interna: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VR_20260523_215637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e43352f+ONDA27.MD27.1-rvs-labels-csv-prefix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auditoria/evidencias/V12.0.0205/csv/ValidacaoReleaseRVS_V12_0_0205_VR_20260523_215637.csv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SHA-256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7146912436ab0ef3080e90d7183c614699226a65047330a2730718f2cfffbc60</w:t>
            </w:r>
          </w:p>
        </w:tc>
      </w:tr>
    </w:tbl>
    <w:bookmarkEnd w:id="12"/>
    <w:bookmarkStart w:id="13" w:name="evidências"/>
    <w:p>
      <w:pPr>
        <w:pStyle w:val="Heading2"/>
      </w:pPr>
      <w:r>
        <w:t xml:space="preserve">Evidências</w:t>
      </w:r>
    </w:p>
    <w:p>
      <w:pPr>
        <w:pStyle w:val="FirstParagraph"/>
      </w:pPr>
      <w:r>
        <w:t xml:space="preserve">As evidências finais ficam em</w:t>
      </w:r>
      <w:r>
        <w:t xml:space="preserve"> </w:t>
      </w:r>
      <w:r>
        <w:rPr>
          <w:rStyle w:val="VerbatimChar"/>
        </w:rPr>
        <w:t xml:space="preserve">auditoria/evidencias/V12.0.0205/</w:t>
      </w:r>
      <w:r>
        <w:t xml:space="preserve"> </w:t>
      </w:r>
      <w:r>
        <w:t xml:space="preserve">e são listadas</w:t>
      </w:r>
      <w:r>
        <w:t xml:space="preserve"> </w:t>
      </w:r>
      <w:r>
        <w:t xml:space="preserve">no manifesto com</w:t>
      </w:r>
      <w:r>
        <w:t xml:space="preserve"> </w:t>
      </w:r>
      <w:r>
        <w:rPr>
          <w:rStyle w:val="VerbatimChar"/>
        </w:rPr>
        <w:t xml:space="preserve">sha256</w:t>
      </w:r>
      <w:r>
        <w:t xml:space="preserve">. O CSV do RVS já está registrado e é a evidência</w:t>
      </w:r>
      <w:r>
        <w:t xml:space="preserve"> </w:t>
      </w:r>
      <w:r>
        <w:t xml:space="preserve">funcional bloqueante da release. PDF e print manuais são evidências</w:t>
      </w:r>
      <w:r>
        <w:t xml:space="preserve"> </w:t>
      </w:r>
      <w:r>
        <w:t xml:space="preserve">complementares de auditoria humana; se anexados antes da tag, seus hashes devem</w:t>
      </w:r>
      <w:r>
        <w:t xml:space="preserve"> </w:t>
      </w:r>
      <w:r>
        <w:t xml:space="preserve">ser adicionados ao manifesto.</w:t>
      </w:r>
    </w:p>
    <w:bookmarkEnd w:id="13"/>
    <w:bookmarkStart w:id="14" w:name="auditoria-cruzada-final"/>
    <w:p>
      <w:pPr>
        <w:pStyle w:val="Heading2"/>
      </w:pPr>
      <w:r>
        <w:t xml:space="preserve">Auditoria Cruzada Final</w:t>
      </w:r>
    </w:p>
    <w:p>
      <w:pPr>
        <w:pStyle w:val="FirstParagraph"/>
      </w:pPr>
      <w:r>
        <w:t xml:space="preserve">A V205 será submetida a uma última auditoria cruzada positiva antes do</w:t>
      </w:r>
      <w:r>
        <w:t xml:space="preserve"> </w:t>
      </w:r>
      <w:r>
        <w:t xml:space="preserve">congelamento público. O objetivo é verificar que a documentação do GitHub</w:t>
      </w:r>
      <w:r>
        <w:t xml:space="preserve"> </w:t>
      </w:r>
      <w:r>
        <w:t xml:space="preserve">funciona como vitrine institucional da ferramenta, sem inconsistência de</w:t>
      </w:r>
      <w:r>
        <w:t xml:space="preserve"> </w:t>
      </w:r>
      <w:r>
        <w:t xml:space="preserve">numeração, versão, caminhos de arquivos ou protocolo.</w:t>
      </w:r>
    </w:p>
    <w:p>
      <w:pPr>
        <w:pStyle w:val="BodyText"/>
      </w:pPr>
      <w:r>
        <w:t xml:space="preserve">Documentos de prompt: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auditoria/00_status/77_PROMPT_AUDITORIA_POSITIVA_V205_CLAUDE_OPUS.md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auditoria/00_status/78_PROMPT_AUDITORIA_DOCS_GITHUB_V205_GEMINI.md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auditoria/00_status/79_PROMPT_CONSOLIDACAO_FINAL_V205_CODEX.md</w:t>
      </w:r>
    </w:p>
    <w:p>
      <w:pPr>
        <w:pStyle w:val="FirstParagraph"/>
      </w:pPr>
      <w:r>
        <w:t xml:space="preserve">Relatórios finais: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auditoria/00_status/80_AUDITORIA_FINAL_POSITIVA_V205_CLAUDE_OPUS.md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auditoria/00_status/81_AUDITORIA_FINAL_DOCS_GITHUB_V205_GEMINI.md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auditoria/00_status/82_CONSOLIDACAO_FINAL_FREEZE_V205_CODEX.md</w:t>
      </w:r>
    </w:p>
    <w:bookmarkEnd w:id="14"/>
    <w:bookmarkStart w:id="15" w:name="débitos-diferidos-para-v12.0.0206"/>
    <w:p>
      <w:pPr>
        <w:pStyle w:val="Heading2"/>
      </w:pPr>
      <w:r>
        <w:t xml:space="preserve">Débitos Diferidos Para V12.0.0206</w:t>
      </w:r>
    </w:p>
    <w:p>
      <w:pPr>
        <w:pStyle w:val="Compact"/>
        <w:numPr>
          <w:ilvl w:val="0"/>
          <w:numId w:val="1005"/>
        </w:numPr>
      </w:pPr>
      <w:r>
        <w:t xml:space="preserve">PDF automático robusto.</w:t>
      </w:r>
    </w:p>
    <w:p>
      <w:pPr>
        <w:pStyle w:val="Compact"/>
        <w:numPr>
          <w:ilvl w:val="0"/>
          <w:numId w:val="1005"/>
        </w:numPr>
      </w:pPr>
      <w:r>
        <w:t xml:space="preserve">Ajustes incrementais que surgirem em testes manuais.</w:t>
      </w:r>
    </w:p>
    <w:p>
      <w:pPr>
        <w:pStyle w:val="Compact"/>
        <w:numPr>
          <w:ilvl w:val="0"/>
          <w:numId w:val="1005"/>
        </w:numPr>
      </w:pPr>
      <w:r>
        <w:t xml:space="preserve">Pequenos débitos técnicos e lapidações prorrogadas.</w:t>
      </w:r>
    </w:p>
    <w:bookmarkEnd w:id="15"/>
    <w:bookmarkStart w:id="16" w:name="linha-seguinte-recomendada"/>
    <w:p>
      <w:pPr>
        <w:pStyle w:val="Heading2"/>
      </w:pPr>
      <w:r>
        <w:t xml:space="preserve">Linha Seguinte Recomendada</w:t>
      </w:r>
    </w:p>
    <w:p>
      <w:pPr>
        <w:pStyle w:val="FirstParagraph"/>
      </w:pPr>
      <w:r>
        <w:t xml:space="preserve">V12.0.0207 fica reservada, salvo decisão posterior de roadmap, para code review</w:t>
      </w:r>
      <w:r>
        <w:t xml:space="preserve"> </w:t>
      </w:r>
      <w:r>
        <w:t xml:space="preserve">profundo, performance, componentização e preparação arquitetural para evolução</w:t>
      </w:r>
      <w:r>
        <w:t xml:space="preserve"> </w:t>
      </w:r>
      <w:r>
        <w:t xml:space="preserve">SaaS.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2026-05-24T01:12:46Z</dcterms:created>
  <dcterms:modified xsi:type="dcterms:W3CDTF">2026-05-24T01:12:46Z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ia">
    <vt:lpwstr>auditores</vt:lpwstr>
  </property>
  <property fmtid="{D5CDD505-2E9C-101B-9397-08002B2CF9AE}" pid="3" name="data">
    <vt:lpwstr>2026-05-21</vt:lpwstr>
  </property>
  <property fmtid="{D5CDD505-2E9C-101B-9397-08002B2CF9AE}" pid="4" name="diataxis">
    <vt:lpwstr>tutorial</vt:lpwstr>
  </property>
  <property fmtid="{D5CDD505-2E9C-101B-9397-08002B2CF9AE}" pid="5" name="hbn-status">
    <vt:lpwstr>active</vt:lpwstr>
  </property>
  <property fmtid="{D5CDD505-2E9C-101B-9397-08002B2CF9AE}" pid="6" name="hbn-track">
    <vt:lpwstr>safe_track</vt:lpwstr>
  </property>
  <property fmtid="{D5CDD505-2E9C-101B-9397-08002B2CF9AE}" pid="7" name="titulo">
    <vt:lpwstr>Dossiê de Release V12.0.0205</vt:lpwstr>
  </property>
  <property fmtid="{D5CDD505-2E9C-101B-9397-08002B2CF9AE}" pid="8" name="versao-sistema">
    <vt:lpwstr>V12.0.0205</vt:lpwstr>
  </property>
</Properties>
</file>