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9EFCB" w14:textId="77777777" w:rsidR="002E750B" w:rsidRPr="002E750B" w:rsidRDefault="002E750B" w:rsidP="002E750B">
      <w:r w:rsidRPr="002E750B">
        <w:t xml:space="preserve">I hope you are well. We would like to highlight an important point regarding the </w:t>
      </w:r>
      <w:r w:rsidRPr="002E750B">
        <w:rPr>
          <w:b/>
          <w:bCs/>
        </w:rPr>
        <w:t>pricing framework under CSA assumptions</w:t>
      </w:r>
      <w:r w:rsidRPr="002E750B">
        <w:t xml:space="preserve"> and the implications of </w:t>
      </w:r>
      <w:r w:rsidRPr="002E750B">
        <w:rPr>
          <w:b/>
          <w:bCs/>
        </w:rPr>
        <w:t>inconsistent CSA/discounting setups</w:t>
      </w:r>
      <w:r w:rsidRPr="002E750B">
        <w:t xml:space="preserve"> between </w:t>
      </w:r>
      <w:r w:rsidRPr="002E750B">
        <w:rPr>
          <w:b/>
          <w:bCs/>
        </w:rPr>
        <w:t>Front Arena (FA)</w:t>
      </w:r>
      <w:r w:rsidRPr="002E750B">
        <w:t xml:space="preserve"> (base valuations) and </w:t>
      </w:r>
      <w:proofErr w:type="spellStart"/>
      <w:r w:rsidRPr="002E750B">
        <w:rPr>
          <w:b/>
          <w:bCs/>
        </w:rPr>
        <w:t>RiskFlow</w:t>
      </w:r>
      <w:proofErr w:type="spellEnd"/>
      <w:r w:rsidRPr="002E750B">
        <w:rPr>
          <w:b/>
          <w:bCs/>
        </w:rPr>
        <w:t xml:space="preserve"> (RF)</w:t>
      </w:r>
      <w:r w:rsidRPr="002E750B">
        <w:t xml:space="preserve"> (XVA engine).</w:t>
      </w:r>
    </w:p>
    <w:p w14:paraId="79E0F836" w14:textId="77777777" w:rsidR="002E750B" w:rsidRPr="002E750B" w:rsidRDefault="002E750B" w:rsidP="002E750B">
      <w:pPr>
        <w:rPr>
          <w:b/>
          <w:bCs/>
        </w:rPr>
      </w:pPr>
      <w:r w:rsidRPr="002E750B">
        <w:rPr>
          <w:b/>
          <w:bCs/>
        </w:rPr>
        <w:t xml:space="preserve">Why </w:t>
      </w:r>
      <w:proofErr w:type="gramStart"/>
      <w:r w:rsidRPr="002E750B">
        <w:rPr>
          <w:b/>
          <w:bCs/>
        </w:rPr>
        <w:t>this matters</w:t>
      </w:r>
      <w:proofErr w:type="gramEnd"/>
    </w:p>
    <w:p w14:paraId="469F3C08" w14:textId="77777777" w:rsidR="002E750B" w:rsidRPr="002E750B" w:rsidRDefault="002E750B" w:rsidP="002E750B">
      <w:r w:rsidRPr="002E750B">
        <w:t xml:space="preserve">Under a collateralised CSA, the </w:t>
      </w:r>
      <w:r w:rsidRPr="002E750B">
        <w:rPr>
          <w:b/>
          <w:bCs/>
        </w:rPr>
        <w:t>collateral currency, margining mechanics, and discounting curve</w:t>
      </w:r>
      <w:r w:rsidRPr="002E750B">
        <w:t xml:space="preserve"> (often OIS/CSA-consistent) form part of the product’s effective pricing measure. If FA and RF are not aligned on these CSA inputs, then the </w:t>
      </w:r>
      <w:r w:rsidRPr="002E750B">
        <w:rPr>
          <w:b/>
          <w:bCs/>
        </w:rPr>
        <w:t>CVA (and broader XVA) calculated in RF and applied on top of FA base valuations may be computed under a different discounting basis</w:t>
      </w:r>
      <w:r w:rsidRPr="002E750B">
        <w:t xml:space="preserve">. This creates an “apples vs oranges” outcome: the adjustment is not strictly compatible with the price it is being added to, which can lead to </w:t>
      </w:r>
      <w:r w:rsidRPr="002E750B">
        <w:rPr>
          <w:b/>
          <w:bCs/>
        </w:rPr>
        <w:t>material valuation and attribution discrepancies</w:t>
      </w:r>
      <w:r w:rsidRPr="002E750B">
        <w:t>.</w:t>
      </w:r>
    </w:p>
    <w:p w14:paraId="65CEE807" w14:textId="77777777" w:rsidR="002E750B" w:rsidRPr="002E750B" w:rsidRDefault="002E750B" w:rsidP="002E750B">
      <w:pPr>
        <w:rPr>
          <w:b/>
          <w:bCs/>
        </w:rPr>
      </w:pPr>
      <w:r w:rsidRPr="002E750B">
        <w:rPr>
          <w:b/>
          <w:bCs/>
        </w:rPr>
        <w:t>What we are observing in practice</w:t>
      </w:r>
    </w:p>
    <w:p w14:paraId="4DA84EAD" w14:textId="77777777" w:rsidR="002E750B" w:rsidRPr="002E750B" w:rsidRDefault="002E750B" w:rsidP="002E750B">
      <w:r w:rsidRPr="002E750B">
        <w:t xml:space="preserve">Across several instruments, we see patterns consistent with FA and RF using </w:t>
      </w:r>
      <w:r w:rsidRPr="002E750B">
        <w:rPr>
          <w:b/>
          <w:bCs/>
        </w:rPr>
        <w:t>different effective discounting/CSA assumptions</w:t>
      </w:r>
      <w:r w:rsidRPr="002E750B">
        <w:t>:</w:t>
      </w:r>
    </w:p>
    <w:p w14:paraId="4CDF1F89" w14:textId="77777777" w:rsidR="002E750B" w:rsidRPr="002E750B" w:rsidRDefault="002E750B" w:rsidP="002E750B">
      <w:pPr>
        <w:rPr>
          <w:b/>
          <w:bCs/>
        </w:rPr>
      </w:pPr>
      <w:r w:rsidRPr="002E750B">
        <w:rPr>
          <w:b/>
          <w:bCs/>
        </w:rPr>
        <w:t>1) Commodity forwards and FX forwards (illustrative pattern)</w:t>
      </w:r>
    </w:p>
    <w:p w14:paraId="26C998B2" w14:textId="77777777" w:rsidR="002E750B" w:rsidRPr="002E750B" w:rsidRDefault="002E750B" w:rsidP="002E750B">
      <w:r w:rsidRPr="002E750B">
        <w:t xml:space="preserve">In FA, the valuation workflow often behaves as though it is operating under a </w:t>
      </w:r>
      <w:r w:rsidRPr="002E750B">
        <w:rPr>
          <w:b/>
          <w:bCs/>
        </w:rPr>
        <w:t>ZAR-centric collateral/discounting framework</w:t>
      </w:r>
      <w:r w:rsidRPr="002E750B">
        <w:t xml:space="preserve">, even when the underlying payoff is naturally </w:t>
      </w:r>
      <w:r w:rsidRPr="002E750B">
        <w:rPr>
          <w:b/>
          <w:bCs/>
        </w:rPr>
        <w:t>USD-denominated</w:t>
      </w:r>
      <w:r w:rsidRPr="002E750B">
        <w:t>. Conceptually, this looks like:</w:t>
      </w:r>
    </w:p>
    <w:p w14:paraId="1EF3BAE9" w14:textId="77777777" w:rsidR="002E750B" w:rsidRPr="002E750B" w:rsidRDefault="002E750B" w:rsidP="002E750B">
      <w:pPr>
        <w:numPr>
          <w:ilvl w:val="0"/>
          <w:numId w:val="1"/>
        </w:numPr>
      </w:pPr>
      <w:r w:rsidRPr="002E750B">
        <w:t>compute the USD payoff,</w:t>
      </w:r>
    </w:p>
    <w:p w14:paraId="075632BF" w14:textId="77777777" w:rsidR="002E750B" w:rsidRPr="002E750B" w:rsidRDefault="002E750B" w:rsidP="002E750B">
      <w:pPr>
        <w:numPr>
          <w:ilvl w:val="0"/>
          <w:numId w:val="1"/>
        </w:numPr>
      </w:pPr>
      <w:r w:rsidRPr="002E750B">
        <w:t>translate through a ZAR framework using an FX-forward constructed from cross-currency curves,</w:t>
      </w:r>
    </w:p>
    <w:p w14:paraId="10E58269" w14:textId="77777777" w:rsidR="002E750B" w:rsidRPr="002E750B" w:rsidRDefault="002E750B" w:rsidP="002E750B">
      <w:pPr>
        <w:numPr>
          <w:ilvl w:val="0"/>
          <w:numId w:val="1"/>
        </w:numPr>
      </w:pPr>
      <w:r w:rsidRPr="002E750B">
        <w:t>discount in ZAR, then translate back.</w:t>
      </w:r>
    </w:p>
    <w:p w14:paraId="4FC8B263" w14:textId="77777777" w:rsidR="002E750B" w:rsidRPr="002E750B" w:rsidRDefault="002E750B" w:rsidP="002E750B">
      <w:r w:rsidRPr="002E750B">
        <w:t xml:space="preserve">RF, by contrast, typically prices the same USD payoff by </w:t>
      </w:r>
      <w:r w:rsidRPr="002E750B">
        <w:rPr>
          <w:b/>
          <w:bCs/>
        </w:rPr>
        <w:t>discounting directly on the USD curve</w:t>
      </w:r>
      <w:r w:rsidRPr="002E750B">
        <w:t xml:space="preserve"> (CSA-consistent in USD).</w:t>
      </w:r>
    </w:p>
    <w:p w14:paraId="61705B4D" w14:textId="77777777" w:rsidR="002E750B" w:rsidRPr="002E750B" w:rsidRDefault="002E750B" w:rsidP="002E750B">
      <w:r w:rsidRPr="002E750B">
        <w:t xml:space="preserve">When we enforce consistent settlement conventions and apply a discounting approach that is internally consistent with the FX-forward construction, the two frameworks converge—suggesting the observed differences are driven primarily by </w:t>
      </w:r>
      <w:r w:rsidRPr="002E750B">
        <w:rPr>
          <w:b/>
          <w:bCs/>
        </w:rPr>
        <w:t>discounting/CSA alignment rather than “pricing model” differences</w:t>
      </w:r>
      <w:r w:rsidRPr="002E750B">
        <w:t>.</w:t>
      </w:r>
    </w:p>
    <w:p w14:paraId="2E6B82EC" w14:textId="77777777" w:rsidR="002E750B" w:rsidRPr="002E750B" w:rsidRDefault="002E750B" w:rsidP="002E750B">
      <w:pPr>
        <w:rPr>
          <w:b/>
          <w:bCs/>
        </w:rPr>
      </w:pPr>
      <w:r w:rsidRPr="002E750B">
        <w:rPr>
          <w:b/>
          <w:bCs/>
        </w:rPr>
        <w:t>2) ILB forward valuation (three-curve vs single-curve implementation)</w:t>
      </w:r>
    </w:p>
    <w:p w14:paraId="6D8A6B6D" w14:textId="77777777" w:rsidR="002E750B" w:rsidRPr="002E750B" w:rsidRDefault="002E750B" w:rsidP="002E750B">
      <w:r w:rsidRPr="002E750B">
        <w:t xml:space="preserve">We see a similar CSA/discounting inconsistency for </w:t>
      </w:r>
      <w:r w:rsidRPr="002E750B">
        <w:rPr>
          <w:b/>
          <w:bCs/>
        </w:rPr>
        <w:t>inflation-linked bond (ILB) forwards</w:t>
      </w:r>
      <w:r w:rsidRPr="002E750B">
        <w:t>:</w:t>
      </w:r>
    </w:p>
    <w:p w14:paraId="724830AD" w14:textId="77777777" w:rsidR="002E750B" w:rsidRPr="002E750B" w:rsidRDefault="002E750B" w:rsidP="002E750B">
      <w:r w:rsidRPr="002E750B">
        <w:rPr>
          <w:b/>
          <w:bCs/>
        </w:rPr>
        <w:t>Front Arena (FA)</w:t>
      </w:r>
      <w:r w:rsidRPr="002E750B">
        <w:t xml:space="preserve"> appears to apply a multi-curve structure:</w:t>
      </w:r>
    </w:p>
    <w:p w14:paraId="56805542" w14:textId="77777777" w:rsidR="002E750B" w:rsidRPr="002E750B" w:rsidRDefault="002E750B" w:rsidP="002E750B">
      <w:pPr>
        <w:numPr>
          <w:ilvl w:val="0"/>
          <w:numId w:val="2"/>
        </w:numPr>
      </w:pPr>
      <w:r w:rsidRPr="002E750B">
        <w:t xml:space="preserve">Value the underlying ILB using </w:t>
      </w:r>
      <w:r w:rsidRPr="002E750B">
        <w:rPr>
          <w:b/>
          <w:bCs/>
        </w:rPr>
        <w:t>ZAR-BOND</w:t>
      </w:r>
      <w:r w:rsidRPr="002E750B">
        <w:t>.</w:t>
      </w:r>
    </w:p>
    <w:p w14:paraId="14539AEC" w14:textId="77777777" w:rsidR="002E750B" w:rsidRPr="002E750B" w:rsidRDefault="002E750B" w:rsidP="002E750B">
      <w:pPr>
        <w:numPr>
          <w:ilvl w:val="0"/>
          <w:numId w:val="2"/>
        </w:numPr>
      </w:pPr>
      <w:r w:rsidRPr="002E750B">
        <w:lastRenderedPageBreak/>
        <w:t xml:space="preserve">Carry the bond price to the forward settlement date using </w:t>
      </w:r>
      <w:r w:rsidRPr="002E750B">
        <w:rPr>
          <w:b/>
          <w:bCs/>
        </w:rPr>
        <w:t>ZAR-BOND-REPO</w:t>
      </w:r>
      <w:r w:rsidRPr="002E750B">
        <w:t xml:space="preserve"> (repo/carry curve).</w:t>
      </w:r>
    </w:p>
    <w:p w14:paraId="666B1052" w14:textId="77777777" w:rsidR="002E750B" w:rsidRPr="002E750B" w:rsidRDefault="002E750B" w:rsidP="002E750B">
      <w:pPr>
        <w:numPr>
          <w:ilvl w:val="0"/>
          <w:numId w:val="2"/>
        </w:numPr>
      </w:pPr>
      <w:r w:rsidRPr="002E750B">
        <w:t xml:space="preserve">Compute forward payoff (forward price minus strike) and discount that payoff back to today using </w:t>
      </w:r>
      <w:r w:rsidRPr="002E750B">
        <w:rPr>
          <w:b/>
          <w:bCs/>
        </w:rPr>
        <w:t>ZAR-SWAP</w:t>
      </w:r>
      <w:r w:rsidRPr="002E750B">
        <w:t>.</w:t>
      </w:r>
    </w:p>
    <w:p w14:paraId="345E09A8" w14:textId="77777777" w:rsidR="002E750B" w:rsidRPr="002E750B" w:rsidRDefault="002E750B" w:rsidP="002E750B">
      <w:r w:rsidRPr="002E750B">
        <w:t xml:space="preserve">This results in </w:t>
      </w:r>
      <w:r w:rsidRPr="002E750B">
        <w:rPr>
          <w:b/>
          <w:bCs/>
        </w:rPr>
        <w:t>three distinct curves</w:t>
      </w:r>
      <w:r w:rsidRPr="002E750B">
        <w:t xml:space="preserve"> being used: </w:t>
      </w:r>
      <w:r w:rsidRPr="002E750B">
        <w:rPr>
          <w:b/>
          <w:bCs/>
        </w:rPr>
        <w:t>ZAR-BOND, ZAR-BOND-REPO, and ZAR-SWAP</w:t>
      </w:r>
      <w:r w:rsidRPr="002E750B">
        <w:t>—which may be consistent with FA’s chosen collateral/discounting framework for forward payoffs (i.e., a CSA-driven “risk-free” discount curve distinct from funding/carry).</w:t>
      </w:r>
    </w:p>
    <w:p w14:paraId="16A55324" w14:textId="77777777" w:rsidR="002E750B" w:rsidRPr="002E750B" w:rsidRDefault="002E750B" w:rsidP="002E750B">
      <w:proofErr w:type="spellStart"/>
      <w:r w:rsidRPr="002E750B">
        <w:rPr>
          <w:b/>
          <w:bCs/>
        </w:rPr>
        <w:t>RiskFlow</w:t>
      </w:r>
      <w:proofErr w:type="spellEnd"/>
      <w:r w:rsidRPr="002E750B">
        <w:rPr>
          <w:b/>
          <w:bCs/>
        </w:rPr>
        <w:t xml:space="preserve"> (RF)</w:t>
      </w:r>
      <w:r w:rsidRPr="002E750B">
        <w:t xml:space="preserve">, however, is currently configured with only </w:t>
      </w:r>
      <w:r w:rsidRPr="002E750B">
        <w:rPr>
          <w:b/>
          <w:bCs/>
        </w:rPr>
        <w:t>ZAR-BOND</w:t>
      </w:r>
      <w:r w:rsidRPr="002E750B">
        <w:t xml:space="preserve"> mapped for this product. As a result, RF:</w:t>
      </w:r>
    </w:p>
    <w:p w14:paraId="5F734F23" w14:textId="77777777" w:rsidR="002E750B" w:rsidRPr="002E750B" w:rsidRDefault="002E750B" w:rsidP="002E750B">
      <w:pPr>
        <w:numPr>
          <w:ilvl w:val="0"/>
          <w:numId w:val="3"/>
        </w:numPr>
      </w:pPr>
      <w:r w:rsidRPr="002E750B">
        <w:t>values the underlying bond appropriately on ZAR-BOND,</w:t>
      </w:r>
    </w:p>
    <w:p w14:paraId="65AFE15B" w14:textId="77777777" w:rsidR="002E750B" w:rsidRPr="002E750B" w:rsidRDefault="002E750B" w:rsidP="002E750B">
      <w:pPr>
        <w:numPr>
          <w:ilvl w:val="0"/>
          <w:numId w:val="3"/>
        </w:numPr>
      </w:pPr>
      <w:r w:rsidRPr="002E750B">
        <w:t xml:space="preserve">discounts the forward strike on </w:t>
      </w:r>
      <w:r w:rsidRPr="002E750B">
        <w:rPr>
          <w:b/>
          <w:bCs/>
        </w:rPr>
        <w:t>ZAR-BOND</w:t>
      </w:r>
      <w:r w:rsidRPr="002E750B">
        <w:t>,</w:t>
      </w:r>
    </w:p>
    <w:p w14:paraId="276552A0" w14:textId="77777777" w:rsidR="002E750B" w:rsidRPr="002E750B" w:rsidRDefault="002E750B" w:rsidP="002E750B">
      <w:pPr>
        <w:numPr>
          <w:ilvl w:val="0"/>
          <w:numId w:val="3"/>
        </w:numPr>
      </w:pPr>
      <w:r w:rsidRPr="002E750B">
        <w:t xml:space="preserve">and effectively computes the forward value as “bond price minus discounted strike,” </w:t>
      </w:r>
      <w:r w:rsidRPr="002E750B">
        <w:rPr>
          <w:b/>
          <w:bCs/>
        </w:rPr>
        <w:t>without an explicit repo/carry leg</w:t>
      </w:r>
      <w:r w:rsidRPr="002E750B">
        <w:t xml:space="preserve"> and without the separate “forward payoff discount curve” that FA applies.</w:t>
      </w:r>
    </w:p>
    <w:p w14:paraId="751F938C" w14:textId="77777777" w:rsidR="002E750B" w:rsidRPr="002E750B" w:rsidRDefault="002E750B" w:rsidP="002E750B">
      <w:r w:rsidRPr="002E750B">
        <w:t xml:space="preserve">From a first-principles perspective (e.g., buy/sell-back / bond forward replication), one can argue that the carry to settlement should be driven by a </w:t>
      </w:r>
      <w:r w:rsidRPr="002E750B">
        <w:rPr>
          <w:b/>
          <w:bCs/>
        </w:rPr>
        <w:t>repo-style curve</w:t>
      </w:r>
      <w:r w:rsidRPr="002E750B">
        <w:t xml:space="preserve">, and that the payoff discounting should be consistent with the CSA/discounting framework selected for the trade. The key point </w:t>
      </w:r>
      <w:proofErr w:type="gramStart"/>
      <w:r w:rsidRPr="002E750B">
        <w:t>is:</w:t>
      </w:r>
      <w:proofErr w:type="gramEnd"/>
      <w:r w:rsidRPr="002E750B">
        <w:t xml:space="preserve"> </w:t>
      </w:r>
      <w:r w:rsidRPr="002E750B">
        <w:rPr>
          <w:b/>
          <w:bCs/>
        </w:rPr>
        <w:t>FA and RF are not currently implementing the same curve stack</w:t>
      </w:r>
      <w:r w:rsidRPr="002E750B">
        <w:t>, so even if both are “reasonable” in isolation, they will not produce consistent base values and therefore will not support consistent XVA overlays.</w:t>
      </w:r>
    </w:p>
    <w:p w14:paraId="576C5061" w14:textId="77777777" w:rsidR="002E750B" w:rsidRPr="002E750B" w:rsidRDefault="002E750B" w:rsidP="002E750B">
      <w:pPr>
        <w:rPr>
          <w:b/>
          <w:bCs/>
        </w:rPr>
      </w:pPr>
      <w:r w:rsidRPr="002E750B">
        <w:rPr>
          <w:b/>
          <w:bCs/>
        </w:rPr>
        <w:t>Consequence for XVA integration</w:t>
      </w:r>
    </w:p>
    <w:p w14:paraId="71547014" w14:textId="77777777" w:rsidR="002E750B" w:rsidRPr="002E750B" w:rsidRDefault="002E750B" w:rsidP="002E750B">
      <w:r w:rsidRPr="002E750B">
        <w:t xml:space="preserve">Because RF is used to compute </w:t>
      </w:r>
      <w:r w:rsidRPr="002E750B">
        <w:rPr>
          <w:b/>
          <w:bCs/>
        </w:rPr>
        <w:t>CVA/XVA adjustments that are then added onto FA valuations</w:t>
      </w:r>
      <w:r w:rsidRPr="002E750B">
        <w:t>, any CSA/discounting mismatch means:</w:t>
      </w:r>
    </w:p>
    <w:p w14:paraId="4F5C9D1C" w14:textId="77777777" w:rsidR="002E750B" w:rsidRPr="002E750B" w:rsidRDefault="002E750B" w:rsidP="002E750B">
      <w:pPr>
        <w:numPr>
          <w:ilvl w:val="0"/>
          <w:numId w:val="4"/>
        </w:numPr>
      </w:pPr>
      <w:r w:rsidRPr="002E750B">
        <w:t>the XVA is calibrated and discounted under one framework,</w:t>
      </w:r>
    </w:p>
    <w:p w14:paraId="2F04201A" w14:textId="77777777" w:rsidR="002E750B" w:rsidRPr="002E750B" w:rsidRDefault="002E750B" w:rsidP="002E750B">
      <w:pPr>
        <w:numPr>
          <w:ilvl w:val="0"/>
          <w:numId w:val="4"/>
        </w:numPr>
      </w:pPr>
      <w:r w:rsidRPr="002E750B">
        <w:t>while the base valuation is produced under another,</w:t>
      </w:r>
    </w:p>
    <w:p w14:paraId="4C50529F" w14:textId="77777777" w:rsidR="002E750B" w:rsidRPr="002E750B" w:rsidRDefault="002E750B" w:rsidP="002E750B">
      <w:pPr>
        <w:numPr>
          <w:ilvl w:val="0"/>
          <w:numId w:val="4"/>
        </w:numPr>
      </w:pPr>
      <w:r w:rsidRPr="002E750B">
        <w:t>causing inconsistencies in price, sensitivities, day-on-day movements, and model validation outcomes.</w:t>
      </w:r>
    </w:p>
    <w:p w14:paraId="407E7B0C" w14:textId="77777777" w:rsidR="002E750B" w:rsidRPr="002E750B" w:rsidRDefault="002E750B" w:rsidP="002E750B">
      <w:pPr>
        <w:rPr>
          <w:b/>
          <w:bCs/>
        </w:rPr>
      </w:pPr>
      <w:r w:rsidRPr="002E750B">
        <w:rPr>
          <w:b/>
          <w:bCs/>
        </w:rPr>
        <w:t>What we recommend (alignment actions)</w:t>
      </w:r>
    </w:p>
    <w:p w14:paraId="4F435AAB" w14:textId="77777777" w:rsidR="002E750B" w:rsidRPr="002E750B" w:rsidRDefault="002E750B" w:rsidP="002E750B">
      <w:r w:rsidRPr="002E750B">
        <w:t>To ensure a coherent valuation stack, we propose to align FA and RF on the following, at minimum:</w:t>
      </w:r>
    </w:p>
    <w:p w14:paraId="65FA2DC2" w14:textId="77777777" w:rsidR="002E750B" w:rsidRPr="002E750B" w:rsidRDefault="002E750B" w:rsidP="002E750B">
      <w:pPr>
        <w:numPr>
          <w:ilvl w:val="0"/>
          <w:numId w:val="5"/>
        </w:numPr>
      </w:pPr>
      <w:r w:rsidRPr="002E750B">
        <w:rPr>
          <w:b/>
          <w:bCs/>
        </w:rPr>
        <w:t>Explicit CSA definition per netting set/trade population</w:t>
      </w:r>
      <w:r w:rsidRPr="002E750B">
        <w:t xml:space="preserve"> (collateral currency, margining, compounding, haircuts if relevant).</w:t>
      </w:r>
    </w:p>
    <w:p w14:paraId="49BA4AEF" w14:textId="77777777" w:rsidR="002E750B" w:rsidRPr="002E750B" w:rsidRDefault="002E750B" w:rsidP="002E750B">
      <w:pPr>
        <w:numPr>
          <w:ilvl w:val="0"/>
          <w:numId w:val="5"/>
        </w:numPr>
      </w:pPr>
      <w:r w:rsidRPr="002E750B">
        <w:rPr>
          <w:b/>
          <w:bCs/>
        </w:rPr>
        <w:lastRenderedPageBreak/>
        <w:t>CSA-consistent discounting curve selection</w:t>
      </w:r>
      <w:r w:rsidRPr="002E750B">
        <w:t xml:space="preserve"> in both systems for the same trades.</w:t>
      </w:r>
    </w:p>
    <w:p w14:paraId="0AD99C67" w14:textId="77777777" w:rsidR="002E750B" w:rsidRPr="002E750B" w:rsidRDefault="002E750B" w:rsidP="002E750B">
      <w:pPr>
        <w:numPr>
          <w:ilvl w:val="0"/>
          <w:numId w:val="5"/>
        </w:numPr>
      </w:pPr>
      <w:r w:rsidRPr="002E750B">
        <w:rPr>
          <w:b/>
          <w:bCs/>
        </w:rPr>
        <w:t>Curve mapping completeness</w:t>
      </w:r>
      <w:r w:rsidRPr="002E750B">
        <w:t xml:space="preserve"> in RF to mirror FA’s effective curve stack where required (e.g., repo/carry curves for bond forwards).</w:t>
      </w:r>
    </w:p>
    <w:p w14:paraId="5951CC45" w14:textId="77777777" w:rsidR="002E750B" w:rsidRPr="002E750B" w:rsidRDefault="002E750B" w:rsidP="002E750B">
      <w:pPr>
        <w:numPr>
          <w:ilvl w:val="0"/>
          <w:numId w:val="5"/>
        </w:numPr>
      </w:pPr>
      <w:r w:rsidRPr="002E750B">
        <w:rPr>
          <w:b/>
          <w:bCs/>
        </w:rPr>
        <w:t>Settlement convention consistency</w:t>
      </w:r>
      <w:r w:rsidRPr="002E750B">
        <w:t xml:space="preserve"> (including lags and calendars) across both platforms.</w:t>
      </w:r>
    </w:p>
    <w:p w14:paraId="32165D64" w14:textId="77777777" w:rsidR="002E750B" w:rsidRPr="002E750B" w:rsidRDefault="002E750B" w:rsidP="002E750B">
      <w:pPr>
        <w:numPr>
          <w:ilvl w:val="0"/>
          <w:numId w:val="5"/>
        </w:numPr>
      </w:pPr>
      <w:r w:rsidRPr="002E750B">
        <w:t xml:space="preserve">A </w:t>
      </w:r>
      <w:r w:rsidRPr="002E750B">
        <w:rPr>
          <w:b/>
          <w:bCs/>
        </w:rPr>
        <w:t>benchmark suite</w:t>
      </w:r>
      <w:r w:rsidRPr="002E750B">
        <w:t xml:space="preserve"> (commodity forwards, FX forwards, ILB forwards) with controlled inputs to confirm alignment and quantify residual differences.</w:t>
      </w:r>
    </w:p>
    <w:p w14:paraId="1F099581" w14:textId="77777777" w:rsidR="002E750B" w:rsidRPr="002E750B" w:rsidRDefault="002E750B" w:rsidP="002E750B">
      <w:r w:rsidRPr="002E750B">
        <w:t xml:space="preserve">We are happy to share a concise set of test cases demonstrating the impact of the above and to propose a clear target configuration that ensures </w:t>
      </w:r>
      <w:r w:rsidRPr="002E750B">
        <w:rPr>
          <w:b/>
          <w:bCs/>
        </w:rPr>
        <w:t>base valuations and XVA are computed under a single consistent CSA framework</w:t>
      </w:r>
      <w:r w:rsidRPr="002E750B">
        <w:t>.</w:t>
      </w:r>
    </w:p>
    <w:p w14:paraId="4DB936FA" w14:textId="77777777" w:rsidR="002E750B" w:rsidRPr="002E750B" w:rsidRDefault="002E750B" w:rsidP="002E750B">
      <w:r w:rsidRPr="002E750B">
        <w:t>Kind regards,</w:t>
      </w:r>
      <w:r w:rsidRPr="002E750B">
        <w:br/>
        <w:t>Sonwabo Gigaba</w:t>
      </w:r>
    </w:p>
    <w:p w14:paraId="5BB5E7D4" w14:textId="77777777" w:rsidR="00CE4D95" w:rsidRDefault="00CE4D95"/>
    <w:sectPr w:rsidR="00CE4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94121"/>
    <w:multiLevelType w:val="multilevel"/>
    <w:tmpl w:val="7DBE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04877"/>
    <w:multiLevelType w:val="multilevel"/>
    <w:tmpl w:val="7B029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7A0760"/>
    <w:multiLevelType w:val="multilevel"/>
    <w:tmpl w:val="4282C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A40AAD"/>
    <w:multiLevelType w:val="multilevel"/>
    <w:tmpl w:val="7102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C15B73"/>
    <w:multiLevelType w:val="multilevel"/>
    <w:tmpl w:val="4024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894322">
    <w:abstractNumId w:val="0"/>
  </w:num>
  <w:num w:numId="2" w16cid:durableId="1736931308">
    <w:abstractNumId w:val="2"/>
  </w:num>
  <w:num w:numId="3" w16cid:durableId="564029195">
    <w:abstractNumId w:val="4"/>
  </w:num>
  <w:num w:numId="4" w16cid:durableId="1770153495">
    <w:abstractNumId w:val="3"/>
  </w:num>
  <w:num w:numId="5" w16cid:durableId="88550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50B"/>
    <w:rsid w:val="002E750B"/>
    <w:rsid w:val="00A164B8"/>
    <w:rsid w:val="00BF727F"/>
    <w:rsid w:val="00C50801"/>
    <w:rsid w:val="00CE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34D199"/>
  <w15:chartTrackingRefBased/>
  <w15:docId w15:val="{37149234-D3B6-4AF8-9DAB-E39482606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728</Words>
  <Characters>4074</Characters>
  <Application>Microsoft Office Word</Application>
  <DocSecurity>0</DocSecurity>
  <Lines>135</Lines>
  <Paragraphs>81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Sonwabo Gigaba</dc:creator>
  <cp:keywords/>
  <dc:description/>
  <cp:lastModifiedBy>Sonwabo Gigaba</cp:lastModifiedBy>
  <cp:revision>1</cp:revision>
  <dcterms:created xsi:type="dcterms:W3CDTF">2026-02-20T10:24:00Z</dcterms:created>
  <dcterms:modified xsi:type="dcterms:W3CDTF">2026-02-20T10:25:00Z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c95a5679-8a54-4b94-89bb-9a341c76e8e3</vt:lpwstr>
  </property>
</Properties>
</file>