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6bf597f5768638f9184447abff732de31f6bc76"/>
    <w:p>
      <w:pPr>
        <w:pStyle w:val="Heading1"/>
      </w:pPr>
      <w:r>
        <w:t xml:space="preserve">14 Convergence of Methodologies (Full-Path Monte Carlo vs OSS Monte Carlo)</w:t>
      </w:r>
    </w:p>
    <w:p>
      <w:pPr>
        <w:pStyle w:val="FirstParagraph"/>
      </w:pPr>
      <w:r>
        <w:t xml:space="preserve">The validation model and RiskFlow price the autocall with two different Monte Carlo estimators (Section 13.3):</w:t>
      </w:r>
    </w:p>
    <w:p>
      <w:pPr>
        <w:numPr>
          <w:ilvl w:val="0"/>
          <w:numId w:val="1001"/>
        </w:numPr>
        <w:pStyle w:val="Compact"/>
      </w:pPr>
      <w:r>
        <w:t xml:space="preserve">The</w:t>
      </w:r>
      <w:r>
        <w:t xml:space="preserve"> </w:t>
      </w:r>
      <w:r>
        <w:rPr>
          <w:bCs/>
          <w:b/>
        </w:rPr>
        <w:t xml:space="preserve">validation model</w:t>
      </w:r>
      <w:r>
        <w:t xml:space="preserve"> </w:t>
      </w:r>
      <w:r>
        <w:t xml:space="preserve">uses full-path Monte Carlo (Section 10). Each path is simulated in full, and the autocall on each observation date</w:t>
      </w:r>
      <w:r>
        <w:t xml:space="preserve"> </w:t>
      </w:r>
      <m:oMath>
        <m:sSub>
          <m:e>
            <m:r>
              <m:t>T</m:t>
            </m:r>
          </m:e>
          <m:sub>
            <m:r>
              <m:t>i</m:t>
            </m:r>
          </m:sub>
        </m:sSub>
      </m:oMath>
      <w:r>
        <w:t xml:space="preserve"> </w:t>
      </w:r>
      <w:r>
        <w:t xml:space="preserve">is recorded as a 0 or 1 event.</w:t>
      </w:r>
    </w:p>
    <w:p>
      <w:pPr>
        <w:numPr>
          <w:ilvl w:val="0"/>
          <w:numId w:val="1001"/>
        </w:numPr>
        <w:pStyle w:val="Compact"/>
      </w:pPr>
      <w:r>
        <w:rPr>
          <w:bCs/>
          <w:b/>
        </w:rPr>
        <w:t xml:space="preserve">RiskFlow</w:t>
      </w:r>
      <w:r>
        <w:t xml:space="preserve"> </w:t>
      </w:r>
      <w:r>
        <w:t xml:space="preserve">uses One-Step Survival (OSS) Monte Carlo (Section 11). On each observation date it computes the probability of autocalling analytically, and simulates only the part of the path that survives.</w:t>
      </w:r>
    </w:p>
    <w:p>
      <w:pPr>
        <w:pStyle w:val="FirstParagraph"/>
      </w:pPr>
      <w:r>
        <w:t xml:space="preserve">Both estimators are unbiased for the same theoretical value. They differ only in how much simulation noise surrounds their estimate, and therefore in how many simulations each needs to reach a stable price. This section compares the two as the number of simulations</w:t>
      </w:r>
      <w:r>
        <w:t xml:space="preserve"> </w:t>
      </w:r>
      <m:oMath>
        <m:r>
          <m:t>M</m:t>
        </m:r>
      </m:oMath>
      <w:r>
        <w:t xml:space="preserve"> </w:t>
      </w:r>
      <w:r>
        <w:t xml:space="preserve">increases, for two purposes:</w:t>
      </w:r>
    </w:p>
    <w:p>
      <w:pPr>
        <w:numPr>
          <w:ilvl w:val="0"/>
          <w:numId w:val="1002"/>
        </w:numPr>
        <w:pStyle w:val="Compact"/>
      </w:pPr>
      <w:r>
        <w:rPr>
          <w:bCs/>
          <w:b/>
        </w:rPr>
        <w:t xml:space="preserve">To test the accuracy and efficiency of RiskFlow’s OSS pricer.</w:t>
      </w:r>
      <w:r>
        <w:t xml:space="preserve"> </w:t>
      </w:r>
      <w:r>
        <w:t xml:space="preserve">OSS should converge to the same value as the independent full-path model, and should do so with fewer simulations. The result also sets the number of simulations used for the base valuation comparisons in Section 15.</w:t>
      </w:r>
    </w:p>
    <w:p>
      <w:pPr>
        <w:numPr>
          <w:ilvl w:val="0"/>
          <w:numId w:val="1002"/>
        </w:numPr>
        <w:pStyle w:val="Compact"/>
      </w:pPr>
      <w:r>
        <w:rPr>
          <w:bCs/>
          <w:b/>
        </w:rPr>
        <w:t xml:space="preserve">To support the use of OSS in exposure simulation (Section 16).</w:t>
      </w:r>
      <w:r>
        <w:t xml:space="preserve"> </w:t>
      </w:r>
      <w:r>
        <w:t xml:space="preserve">CVA and PFE require the trade to be revalued on every future date of every market scenario, often millions of revaluations. A pricer that is accurate with few simulations makes this computationally feasible.</w:t>
      </w:r>
    </w:p>
    <w:p>
      <w:pPr>
        <w:pStyle w:val="FirstParagraph"/>
      </w:pPr>
      <w:r>
        <w:rPr>
          <w:bCs/>
          <w:b/>
        </w:rPr>
        <w:t xml:space="preserve">Test design.</w:t>
      </w:r>
      <w:r>
        <w:t xml:space="preserve"> </w:t>
      </w:r>
      <w:r>
        <w:t xml:space="preserve">The comparison was set up so that the estimator is the only difference between the two models:</w:t>
      </w:r>
    </w:p>
    <w:p>
      <w:pPr>
        <w:numPr>
          <w:ilvl w:val="0"/>
          <w:numId w:val="1003"/>
        </w:numPr>
        <w:pStyle w:val="Compact"/>
      </w:pPr>
      <w:r>
        <w:rPr>
          <w:bCs/>
          <w:b/>
        </w:rPr>
        <w:t xml:space="preserve">Same trade and market data.</w:t>
      </w:r>
      <w:r>
        <w:t xml:space="preserve"> </w:t>
      </w:r>
      <w:r>
        <w:t xml:space="preserve">Both models price the same trade from the same market data file (yield curves, volatility surfaces and spot prices).</w:t>
      </w:r>
    </w:p>
    <w:p>
      <w:pPr>
        <w:numPr>
          <w:ilvl w:val="0"/>
          <w:numId w:val="1003"/>
        </w:numPr>
        <w:pStyle w:val="Compact"/>
      </w:pPr>
      <w:r>
        <w:rPr>
          <w:bCs/>
          <w:b/>
        </w:rPr>
        <w:t xml:space="preserve">Same number of simulations.</w:t>
      </w:r>
      <w:r>
        <w:t xml:space="preserve"> </w:t>
      </w:r>
      <w:r>
        <w:t xml:space="preserve">Both models use</w:t>
      </w:r>
      <w:r>
        <w:t xml:space="preserve"> </w:t>
      </w:r>
      <m:oMath>
        <m:r>
          <m:t>M</m:t>
        </m:r>
      </m:oMath>
      <w:r>
        <w:t xml:space="preserve"> </w:t>
      </w:r>
      <w:r>
        <w:t xml:space="preserve">paths at each point of the grid</w:t>
      </w:r>
      <w:r>
        <w:t xml:space="preserve"> </w:t>
      </w:r>
      <m:oMath>
        <m:r>
          <m:t>M</m:t>
        </m:r>
      </m:oMath>
      <w:r>
        <w:t xml:space="preserve"> </w:t>
      </w:r>
      <w:r>
        <w:t xml:space="preserve">= 500, 1,000, 5,000, 50,000, 100,000 and 500,000.</w:t>
      </w:r>
    </w:p>
    <w:p>
      <w:pPr>
        <w:numPr>
          <w:ilvl w:val="0"/>
          <w:numId w:val="1003"/>
        </w:numPr>
        <w:pStyle w:val="Compact"/>
      </w:pPr>
      <w:r>
        <w:rPr>
          <w:bCs/>
          <w:b/>
        </w:rPr>
        <w:t xml:space="preserve">Fixed random seeds.</w:t>
      </w:r>
      <w:r>
        <w:t xml:space="preserve"> </w:t>
      </w:r>
      <w:r>
        <w:t xml:space="preserve">The seed is held constant across</w:t>
      </w:r>
      <w:r>
        <w:t xml:space="preserve"> </w:t>
      </w:r>
      <m:oMath>
        <m:r>
          <m:t>M</m:t>
        </m:r>
      </m:oMath>
      <w:r>
        <w:t xml:space="preserve">, so each line shows how the estimator behaves as</w:t>
      </w:r>
      <w:r>
        <w:t xml:space="preserve"> </w:t>
      </w:r>
      <m:oMath>
        <m:r>
          <m:t>M</m:t>
        </m:r>
      </m:oMath>
      <w:r>
        <w:t xml:space="preserve"> </w:t>
      </w:r>
      <w:r>
        <w:t xml:space="preserve">grows, not noise from changing seeds.</w:t>
      </w:r>
    </w:p>
    <w:p>
      <w:pPr>
        <w:numPr>
          <w:ilvl w:val="0"/>
          <w:numId w:val="1003"/>
        </w:numPr>
        <w:pStyle w:val="Compact"/>
      </w:pPr>
      <w:r>
        <w:rPr>
          <w:bCs/>
          <w:b/>
        </w:rPr>
        <w:t xml:space="preserve">Random number generation.</w:t>
      </w:r>
      <w:r>
        <w:t xml:space="preserve"> </w:t>
      </w:r>
      <w:r>
        <w:t xml:space="preserve">The validation model uses pseudo-random normal draws from NumPy, with antithetic variates. RiskFlow’s base valuation prices a single market state, so it uses pseudo-random uniform draws from PyTorch.</w:t>
      </w:r>
    </w:p>
    <w:p>
      <w:pPr>
        <w:pStyle w:val="FirstParagraph"/>
      </w:pPr>
      <w:r>
        <w:t xml:space="preserve">The test trade is described in Section 14.1, and the results are discussed in Sections 14.2 and 14.3.</w:t>
      </w:r>
    </w:p>
    <w:bookmarkStart w:id="20" w:name="X2544fc6712033b0a6cc4fab544a9aeb861cf61e"/>
    <w:p>
      <w:pPr>
        <w:pStyle w:val="Heading2"/>
      </w:pPr>
      <w:r>
        <w:t xml:space="preserve">14.1 Autocall Test Trade (Convergence Analysis): Trade Number 233302598</w:t>
      </w:r>
    </w:p>
    <w:p>
      <w:pPr>
        <w:pStyle w:val="FirstParagraph"/>
      </w:pPr>
      <w:r>
        <w:rPr>
          <w:iCs/>
          <w:i/>
        </w:rPr>
        <w:t xml:space="preserve">[Table 12: trade details. Figure 1: theoretical value convergence. Figure 2: relative difference. Table 13: valuation comparison across M.]</w:t>
      </w:r>
    </w:p>
    <w:bookmarkEnd w:id="20"/>
    <w:bookmarkStart w:id="21" w:name="discussion-of-results"/>
    <w:p>
      <w:pPr>
        <w:pStyle w:val="Heading2"/>
      </w:pPr>
      <w:r>
        <w:t xml:space="preserve">14.2 Discussion of Results</w:t>
      </w:r>
    </w:p>
    <w:p>
      <w:pPr>
        <w:pStyle w:val="FirstParagraph"/>
      </w:pPr>
      <w:r>
        <w:rPr>
          <w:bCs/>
          <w:b/>
        </w:rPr>
        <w:t xml:space="preserve">Agreement.</w:t>
      </w:r>
      <w:r>
        <w:t xml:space="preserve"> </w:t>
      </w:r>
      <w:r>
        <w:t xml:space="preserve">At every simulation count, the RiskFlow price lies inside the validation model’s 95% confidence interval (Table 13). Figure 2 shows the same result as a relative difference: the RiskFlow price stays within the ±1.96 SE band at every point on the grid. The relative difference falls from 0.94% at 500 simulations to 0.41% at 500,000. The validation standard error falls from 5,122.58 to 189.19 over the same range. The remaining difference between the two models is therefore consistent with simulation noise in the validation estimate. It does not indicate a difference in methodology.</w:t>
      </w:r>
    </w:p>
    <w:p>
      <w:pPr>
        <w:pStyle w:val="BodyText"/>
      </w:pPr>
      <w:r>
        <w:rPr>
          <w:bCs/>
          <w:b/>
        </w:rPr>
        <w:t xml:space="preserve">Speed of convergence.</w:t>
      </w:r>
      <w:r>
        <w:t xml:space="preserve"> </w:t>
      </w:r>
      <w:r>
        <w:t xml:space="preserve">The two estimators behave very differently as</w:t>
      </w:r>
      <w:r>
        <w:t xml:space="preserve"> </w:t>
      </w:r>
      <m:oMath>
        <m:r>
          <m:t>M</m:t>
        </m:r>
      </m:oMath>
      <w:r>
        <w:t xml:space="preserve"> </w:t>
      </w:r>
      <w:r>
        <w:t xml:space="preserve">increases (Figure 1 and Table 13):</w:t>
      </w:r>
    </w:p>
    <w:p>
      <w:pPr>
        <w:numPr>
          <w:ilvl w:val="0"/>
          <w:numId w:val="1004"/>
        </w:numPr>
        <w:pStyle w:val="Compact"/>
      </w:pPr>
      <w:r>
        <w:rPr>
          <w:bCs/>
          <w:b/>
        </w:rPr>
        <w:t xml:space="preserve">RiskFlow (OSS).</w:t>
      </w:r>
      <w:r>
        <w:t xml:space="preserve"> </w:t>
      </w:r>
      <w:r>
        <w:t xml:space="preserve">The price is stable from 500 simulations onward. Across the whole grid it lies between −56,417.54 and −56,382.65, a range of 34.89 (0.06% of the price). From 5,000 simulations onward the range is 6.00 (0.01%). Even the full range is smaller than one validation standard error at 500,000 simulations (189.19).</w:t>
      </w:r>
    </w:p>
    <w:p>
      <w:pPr>
        <w:numPr>
          <w:ilvl w:val="0"/>
          <w:numId w:val="1004"/>
        </w:numPr>
        <w:pStyle w:val="Compact"/>
      </w:pPr>
      <w:r>
        <w:rPr>
          <w:bCs/>
          <w:b/>
        </w:rPr>
        <w:t xml:space="preserve">Validation (full-path MC).</w:t>
      </w:r>
      <w:r>
        <w:t xml:space="preserve"> </w:t>
      </w:r>
      <w:r>
        <w:t xml:space="preserve">The price moves between −57,358.01 and −55,857.63 across the grid, a range of 1,500.38 (2.7% of the price). Its standard error falls at the expected rate of</w:t>
      </w:r>
      <w:r>
        <w:t xml:space="preserve"> </w:t>
      </w:r>
      <m:oMath>
        <m:r>
          <m:t>1</m:t>
        </m:r>
        <m:r>
          <m:rPr>
            <m:sty m:val="p"/>
          </m:rPr>
          <m:t>/</m:t>
        </m:r>
        <m:rad>
          <m:radPr>
            <m:degHide m:val="on"/>
          </m:radPr>
          <m:deg/>
          <m:e>
            <m:r>
              <m:t>M</m:t>
            </m:r>
          </m:e>
        </m:rad>
      </m:oMath>
      <w:r>
        <w:t xml:space="preserve">: each tenfold increase in simulations reduces it by only about a factor of three.</w:t>
      </w:r>
    </w:p>
    <w:p>
      <w:pPr>
        <w:pStyle w:val="FirstParagraph"/>
      </w:pPr>
      <w:r>
        <w:rPr>
          <w:bCs/>
          <w:b/>
        </w:rPr>
        <w:t xml:space="preserve">Why the estimators differ.</w:t>
      </w:r>
      <w:r>
        <w:t xml:space="preserve"> </w:t>
      </w:r>
      <w:r>
        <w:t xml:space="preserve">The full-path model records each autocall as a 0 or 1 outcome, so every path carries the full noise of that outcome. OSS replaces each outcome with its probability, computed analytically. It books the coupon in expectation and simulates only the surviving part of the path. Most of the randomness is therefore removed before any path is drawn, and the estimate settles with far fewer simulations.</w:t>
      </w:r>
    </w:p>
    <w:bookmarkEnd w:id="21"/>
    <w:bookmarkStart w:id="22" w:name="conclusion"/>
    <w:p>
      <w:pPr>
        <w:pStyle w:val="Heading2"/>
      </w:pPr>
      <w:r>
        <w:t xml:space="preserve">14.3 Conclusion</w:t>
      </w:r>
    </w:p>
    <w:p>
      <w:pPr>
        <w:pStyle w:val="FirstParagraph"/>
      </w:pPr>
      <w:r>
        <w:t xml:space="preserve">For the test trade (Section 14.1), the results support RiskFlow’s OSS pricer on two counts:</w:t>
      </w:r>
    </w:p>
    <w:p>
      <w:pPr>
        <w:numPr>
          <w:ilvl w:val="0"/>
          <w:numId w:val="1005"/>
        </w:numPr>
        <w:pStyle w:val="Compact"/>
      </w:pPr>
      <w:r>
        <w:rPr>
          <w:bCs/>
          <w:b/>
        </w:rPr>
        <w:t xml:space="preserve">Accuracy.</w:t>
      </w:r>
      <w:r>
        <w:t xml:space="preserve"> </w:t>
      </w:r>
      <w:r>
        <w:t xml:space="preserve">OSS converges to the same value as the independent full-path model. The RiskFlow price lies within the validation 95% confidence interval at every simulation count tested.</w:t>
      </w:r>
    </w:p>
    <w:p>
      <w:pPr>
        <w:numPr>
          <w:ilvl w:val="0"/>
          <w:numId w:val="1005"/>
        </w:numPr>
        <w:pStyle w:val="Compact"/>
      </w:pPr>
      <w:r>
        <w:rPr>
          <w:bCs/>
          <w:b/>
        </w:rPr>
        <w:t xml:space="preserve">Efficiency.</w:t>
      </w:r>
      <w:r>
        <w:t xml:space="preserve"> </w:t>
      </w:r>
      <w:r>
        <w:t xml:space="preserve">OSS reaches a stable price (within 0.06%) at 500 simulations. The full-path model needs far more simulations to reach a comparable precision.</w:t>
      </w:r>
    </w:p>
    <w:p>
      <w:pPr>
        <w:pStyle w:val="FirstParagraph"/>
      </w:pPr>
      <w:r>
        <w:rPr>
          <w:bCs/>
          <w:b/>
        </w:rPr>
        <w:t xml:space="preserve">Number of simulations for the base valuation comparisons.</w:t>
      </w:r>
      <w:r>
        <w:t xml:space="preserve"> </w:t>
      </w:r>
      <w:r>
        <w:t xml:space="preserve">The full-path model converges slowly, so its simulation count determines the precision of every base valuation comparison.</w:t>
      </w:r>
      <w:r>
        <w:t xml:space="preserve"> </w:t>
      </w:r>
      <w:r>
        <w:rPr>
          <w:bCs/>
          <w:b/>
        </w:rPr>
        <w:t xml:space="preserve">500,000 simulations are therefore used for the base valuation test trades in Section 15.</w:t>
      </w:r>
      <w:r>
        <w:t xml:space="preserve"> </w:t>
      </w:r>
      <w:r>
        <w:t xml:space="preserve">At 500,000 simulations:</w:t>
      </w:r>
    </w:p>
    <w:p>
      <w:pPr>
        <w:numPr>
          <w:ilvl w:val="0"/>
          <w:numId w:val="1006"/>
        </w:numPr>
        <w:pStyle w:val="Compact"/>
      </w:pPr>
      <w:r>
        <w:t xml:space="preserve">the validation standard error is 189.19, about 0.34% of the price, giving a 95% confidence interval of ±370.82 (±0.66%);</w:t>
      </w:r>
    </w:p>
    <w:p>
      <w:pPr>
        <w:numPr>
          <w:ilvl w:val="0"/>
          <w:numId w:val="1006"/>
        </w:numPr>
        <w:pStyle w:val="Compact"/>
      </w:pPr>
      <w:r>
        <w:t xml:space="preserve">the RiskFlow price (−56,383.39) lies inside that interval (−56,987.33 to −56,245.71), with a relative difference of 0.41%;</w:t>
      </w:r>
    </w:p>
    <w:p>
      <w:pPr>
        <w:numPr>
          <w:ilvl w:val="0"/>
          <w:numId w:val="1006"/>
        </w:numPr>
        <w:pStyle w:val="Compact"/>
      </w:pPr>
      <w:r>
        <w:t xml:space="preserve">the RiskFlow price is fully converged, so the precision of the comparison is set only by the validation model.</w:t>
      </w:r>
    </w:p>
    <w:p>
      <w:pPr>
        <w:pStyle w:val="FirstParagraph"/>
      </w:pPr>
      <w:r>
        <w:t xml:space="preserve">At this level, a difference between the two models larger than about 0.7% can be attributed to the models rather than to simulation noise. Halving the confidence interval would need four times as many paths (2,000,000) and four times the run time, for a gain in precision that would not change any conclusion in this document. 500,000 simulations is therefore a sound balance between precision and run time.</w:t>
      </w:r>
    </w:p>
    <w:p>
      <w:pPr>
        <w:pStyle w:val="BodyText"/>
      </w:pPr>
      <w:r>
        <w:rPr>
          <w:bCs/>
          <w:b/>
        </w:rPr>
        <w:t xml:space="preserve">Implication for exposure simulation.</w:t>
      </w:r>
      <w:r>
        <w:t xml:space="preserve"> </w:t>
      </w:r>
      <w:r>
        <w:t xml:space="preserve">In exposure simulation the trade is revalued on every future date</w:t>
      </w:r>
      <w:r>
        <w:t xml:space="preserve"> </w:t>
      </w:r>
      <m:oMath>
        <m:r>
          <m:t>t</m:t>
        </m:r>
      </m:oMath>
      <w:r>
        <w:t xml:space="preserve"> </w:t>
      </w:r>
      <w:r>
        <w:t xml:space="preserve">of every market scenario, so the number of inner simulations per revaluation directly drives the run time. A pricer that is accurate with a few hundred to a few thousand inner simulations makes CVA and PFE pricing of the autocall computationally feasible without loss of precision. These results were obtained under pseudo-random sampling. In exposure simulation RiskFlow switches to scrambled Sobol sampling, which is expected to reduce noise further, so the efficiency shown here is a conservative indication.</w:t>
      </w:r>
    </w:p>
    <w:p>
      <w:pPr>
        <w:pStyle w:val="BodyText"/>
      </w:pPr>
      <w:r>
        <w:t xml:space="preserve">On this basis,</w:t>
      </w:r>
      <w:r>
        <w:t xml:space="preserve"> </w:t>
      </w:r>
      <w:r>
        <w:rPr>
          <w:bCs/>
          <w:b/>
        </w:rPr>
        <w:t xml:space="preserve">the use of the OSS pricer, in both the validation model and RiskFlow, is considered justified for pricing the autocalls within the exposure simulations required for CVA and PFE (Section 16).</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2026-10-29T08:45:37Z</dcterms:created>
  <dcterms:modified xsi:type="dcterms:W3CDTF">2026-10-29T08:45:37Z</dcterms:modified>
</cp:coreProperties>
</file>

<file path=docProps/custom.xml><?xml version="1.0" encoding="utf-8"?>
<Properties xmlns="http://schemas.openxmlformats.org/officeDocument/2006/custom-properties" xmlns:vt="http://schemas.openxmlformats.org/officeDocument/2006/docPropsVTypes"/>
</file>