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Table 3: Fixing treatment by risk factor</w:t>
      </w:r>
    </w:p>
    <w:p>
      <w:pPr>
        <w:pStyle w:val="BodyText"/>
      </w:pPr>
      <w:r>
        <w:t xml:space="preserve">Notation:</w:t>
      </w:r>
      <w:r>
        <w:t xml:space="preserve"> </w:t>
      </w:r>
      <m:oMath>
        <m:sSub>
          <m:e>
            <m:r>
              <m:t>t</m:t>
            </m:r>
          </m:e>
          <m:sub>
            <m:r>
              <m:t>0</m:t>
            </m:r>
          </m:sub>
        </m:sSub>
      </m:oMath>
      <w:r>
        <w:t xml:space="preserve"> </w:t>
      </w:r>
      <w:r>
        <w:t xml:space="preserve">is the base date,</w:t>
      </w:r>
      <w:r>
        <w:t xml:space="preserve"> </w:t>
      </w:r>
      <m:oMath>
        <m:r>
          <m:t>t</m:t>
        </m:r>
      </m:oMath>
      <w:r>
        <w:t xml:space="preserve"> </w:t>
      </w:r>
      <w:r>
        <w:t xml:space="preserve">the simulation date,</w:t>
      </w:r>
      <w:r>
        <w:t xml:space="preserve"> </w:t>
      </w:r>
      <m:oMath>
        <m:sSub>
          <m:e>
            <m:r>
              <m:t>T</m:t>
            </m:r>
          </m:e>
          <m:sub>
            <m:r>
              <m:t>f</m:t>
            </m:r>
            <m:r>
              <m:t>i</m:t>
            </m:r>
            <m:r>
              <m:t>x</m:t>
            </m:r>
          </m:sub>
        </m:sSub>
      </m:oMath>
      <w:r>
        <w:t xml:space="preserve"> </w:t>
      </w:r>
      <w:r>
        <w:t xml:space="preserve">the fixing date and</w:t>
      </w:r>
      <w:r>
        <w:t xml:space="preserve"> </w:t>
      </w:r>
      <m:oMath>
        <m:sSub>
          <m:e>
            <m:r>
              <m:t>T</m:t>
            </m:r>
          </m:e>
          <m:sub>
            <m:r>
              <m:t>p</m:t>
            </m:r>
            <m:r>
              <m:t>a</m:t>
            </m:r>
            <m:r>
              <m:t>y</m:t>
            </m:r>
          </m:sub>
        </m:sSub>
      </m:oMath>
      <w:r>
        <w:t xml:space="preserve"> </w:t>
      </w:r>
      <w:r>
        <w:t xml:space="preserve">the payment date.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jc w:val="left"/>
            </w:pPr>
            <w:r>
              <w:rPr>
                <w:b/>
                <w:sz w:val="18"/>
              </w:rPr>
              <w:t xml:space="preserve">Risk factor</w:t>
            </w:r>
          </w:p>
        </w:tc>
        <w:tc>
          <w:tcPr/>
          <w:p>
            <w:pPr>
              <w:pStyle w:val="Compact"/>
              <w:jc w:val="left"/>
            </w:pPr>
            <w:r>
              <w:rPr>
                <w:b/>
                <w:sz w:val="18"/>
              </w:rPr>
              <w:t xml:space="preserve">What is fixed</w:t>
            </w:r>
          </w:p>
        </w:tc>
        <w:tc>
          <w:tcPr/>
          <w:p>
            <w:pPr>
              <w:pStyle w:val="Compact"/>
              <w:jc w:val="left"/>
            </w:pPr>
            <m:oMath>
              <m:sSub>
                <m:e>
                  <m:r>
                    <m:t>T</m:t>
                  </m:r>
                </m:e>
                <m:sub>
                  <m:r>
                    <m:t>f</m:t>
                  </m:r>
                  <m:r>
                    <m:t>i</m:t>
                  </m:r>
                  <m:r>
                    <m:t>x</m:t>
                  </m:r>
                </m:sub>
              </m:sSub>
              <m:r>
                <m:rPr>
                  <m:sty m:val="p"/>
                </m:rPr>
                <m:t>&lt;</m:t>
              </m:r>
              <m:sSub>
                <m:e>
                  <m:r>
                    <m:t>t</m:t>
                  </m:r>
                </m:e>
                <m:sub>
                  <m:r>
                    <m:t>0</m:t>
                  </m:r>
                </m:sub>
              </m:sSub>
            </m:oMath>
            <w:r>
              <w:rPr>
                <w:b/>
                <w:sz w:val="18"/>
              </w:rPr>
              <w:t xml:space="preserve"> </w:t>
            </w:r>
            <w:r>
              <w:rPr>
                <w:b/>
                <w:sz w:val="18"/>
              </w:rPr>
              <w:t xml:space="preserve">(known)</w:t>
            </w:r>
          </w:p>
        </w:tc>
        <w:tc>
          <w:tcPr/>
          <w:p>
            <w:pPr>
              <w:pStyle w:val="Compact"/>
              <w:jc w:val="left"/>
            </w:pPr>
            <m:oMath>
              <m:sSub>
                <m:e>
                  <m:r>
                    <m:t>t</m:t>
                  </m:r>
                </m:e>
                <m:sub>
                  <m:r>
                    <m:t>0</m:t>
                  </m:r>
                </m:sub>
              </m:sSub>
              <m:r>
                <m:rPr>
                  <m:sty m:val="p"/>
                </m:rPr>
                <m:t>≤</m:t>
              </m:r>
              <m:sSub>
                <m:e>
                  <m:r>
                    <m:t>T</m:t>
                  </m:r>
                </m:e>
                <m:sub>
                  <m:r>
                    <m:t>f</m:t>
                  </m:r>
                  <m:r>
                    <m:t>i</m:t>
                  </m:r>
                  <m:r>
                    <m:t>x</m:t>
                  </m:r>
                </m:sub>
              </m:sSub>
              <m:r>
                <m:rPr>
                  <m:sty m:val="p"/>
                </m:rPr>
                <m:t>≤</m:t>
              </m:r>
              <m:r>
                <m:t>t</m:t>
              </m:r>
            </m:oMath>
            <w:r>
              <w:rPr>
                <w:b/>
                <w:sz w:val="18"/>
              </w:rPr>
              <w:t xml:space="preserve"> </w:t>
            </w:r>
            <w:r>
              <w:rPr>
                <w:b/>
                <w:sz w:val="18"/>
              </w:rPr>
              <w:t xml:space="preserve">(fixed on the path)</w:t>
            </w:r>
          </w:p>
        </w:tc>
        <w:tc>
          <w:tcPr/>
          <w:p>
            <w:pPr>
              <w:pStyle w:val="Compact"/>
              <w:jc w:val="left"/>
            </w:pPr>
            <m:oMath>
              <m:sSub>
                <m:e>
                  <m:r>
                    <m:t>T</m:t>
                  </m:r>
                </m:e>
                <m:sub>
                  <m:r>
                    <m:t>f</m:t>
                  </m:r>
                  <m:r>
                    <m:t>i</m:t>
                  </m:r>
                  <m:r>
                    <m:t>x</m:t>
                  </m:r>
                </m:sub>
              </m:sSub>
              <m:r>
                <m:rPr>
                  <m:sty m:val="p"/>
                </m:rPr>
                <m:t>&gt;</m:t>
              </m:r>
              <m:r>
                <m:t>t</m:t>
              </m:r>
            </m:oMath>
            <w:r>
              <w:rPr>
                <w:b/>
                <w:sz w:val="18"/>
              </w:rPr>
              <w:t xml:space="preserve"> </w:t>
            </w:r>
            <w:r>
              <w:rPr>
                <w:b/>
                <w:sz w:val="18"/>
              </w:rPr>
              <w:t xml:space="preserve">(not yet fixed)</w:t>
            </w:r>
          </w:p>
        </w:tc>
        <w:tc>
          <w:tcPr/>
          <w:p>
            <w:pPr>
              <w:pStyle w:val="Compact"/>
              <w:jc w:val="left"/>
            </w:pPr>
            <m:oMath>
              <m:sSub>
                <m:e>
                  <m:r>
                    <m:t>T</m:t>
                  </m:r>
                </m:e>
                <m:sub>
                  <m:r>
                    <m:t>f</m:t>
                  </m:r>
                  <m:r>
                    <m:t>i</m:t>
                  </m:r>
                  <m:r>
                    <m:t>x</m:t>
                  </m:r>
                </m:sub>
              </m:sSub>
              <m:r>
                <m:rPr>
                  <m:sty m:val="p"/>
                </m:rPr>
                <m:t>≤</m:t>
              </m:r>
              <m:r>
                <m:t>t</m:t>
              </m:r>
              <m:r>
                <m:rPr>
                  <m:sty m:val="p"/>
                </m:rPr>
                <m:t>&lt;</m:t>
              </m:r>
              <m:sSub>
                <m:e>
                  <m:r>
                    <m:t>T</m:t>
                  </m:r>
                </m:e>
                <m:sub>
                  <m:r>
                    <m:t>p</m:t>
                  </m:r>
                  <m:r>
                    <m:t>a</m:t>
                  </m:r>
                  <m:r>
                    <m:t>y</m:t>
                  </m:r>
                </m:sub>
              </m:sSub>
            </m:oMath>
            <w:r>
              <w:rPr>
                <w:b/>
                <w:sz w:val="18"/>
              </w:rPr>
              <w:t xml:space="preserve"> </w:t>
            </w:r>
            <w:r>
              <w:rPr>
                <w:b/>
                <w:sz w:val="18"/>
              </w:rPr>
              <w:t xml:space="preserve">(fixed, not yet paid)</w:t>
            </w:r>
          </w:p>
        </w:tc>
      </w:tr>
      <w:tr>
        <w:tc>
          <w:tcPr/>
          <w:p>
            <w:pPr>
              <w:pStyle w:val="Compact"/>
              <w:jc w:val="left"/>
            </w:pPr>
            <w:r>
              <w:rPr>
                <w:sz w:val="18"/>
              </w:rPr>
              <w:t xml:space="preserve">Equity (autocall and put leg)</w:t>
            </w:r>
          </w:p>
        </w:tc>
        <w:tc>
          <w:tcPr/>
          <w:p>
            <w:pPr>
              <w:pStyle w:val="Compact"/>
              <w:jc w:val="left"/>
            </w:pPr>
            <w:r>
              <w:rPr>
                <w:sz w:val="18"/>
              </w:rPr>
              <w:t xml:space="preserve">The closing price on each autocall observation date and each barrier date</w:t>
            </w:r>
          </w:p>
        </w:tc>
        <w:tc>
          <w:tcPr/>
          <w:p>
            <w:pPr>
              <w:pStyle w:val="Compact"/>
              <w:jc w:val="left"/>
            </w:pPr>
            <w:r>
              <w:rPr>
                <w:sz w:val="18"/>
              </w:rPr>
              <w:t xml:space="preserve">Use the printed close. If the note has already autocalled, the deal has expired</w:t>
            </w:r>
          </w:p>
        </w:tc>
        <w:tc>
          <w:tcPr/>
          <w:p>
            <w:pPr>
              <w:pStyle w:val="Compact"/>
              <w:jc w:val="left"/>
            </w:pPr>
            <w:r>
              <w:rPr>
                <w:sz w:val="18"/>
              </w:rPr>
              <w:t xml:space="preserve">Use the simulated spot on the fixing date. An autocall ends the path; a barrier breach is recorded</w:t>
            </w:r>
          </w:p>
        </w:tc>
        <w:tc>
          <w:tcPr/>
          <w:p>
            <w:pPr>
              <w:pStyle w:val="Compact"/>
              <w:jc w:val="left"/>
            </w:pPr>
            <w:r>
              <w:rPr>
                <w:sz w:val="18"/>
              </w:rPr>
              <w:t xml:space="preserve">Simulated by an inner Monte Carlo from the scenario at</w:t>
            </w:r>
            <w:r>
              <w:rPr>
                <w:sz w:val="18"/>
              </w:rPr>
              <w:t xml:space="preserve"> </w:t>
            </w:r>
            <m:oMath>
              <m:r>
                <m:t>t</m:t>
              </m:r>
            </m:oMath>
            <w:r>
              <w:rPr>
                <w:sz w:val="18"/>
              </w:rPr>
              <w:t xml:space="preserve">; a forward price alone is not sufficient</w:t>
            </w:r>
          </w:p>
        </w:tc>
        <w:tc>
          <w:tcPr/>
          <w:p>
            <w:pPr>
              <w:pStyle w:val="Compact"/>
              <w:jc w:val="left"/>
            </w:pPr>
            <w:r>
              <w:rPr>
                <w:sz w:val="18"/>
              </w:rPr>
              <w:t xml:space="preserve">The outcome is known; discount the coupon (or zero) to</w:t>
            </w:r>
            <w:r>
              <w:rPr>
                <w:sz w:val="18"/>
              </w:rPr>
              <w:t xml:space="preserve"> </w:t>
            </w:r>
            <m:oMath>
              <m:sSub>
                <m:e>
                  <m:r>
                    <m:t>T</m:t>
                  </m:r>
                </m:e>
                <m:sub>
                  <m:r>
                    <m:t>p</m:t>
                  </m:r>
                  <m:r>
                    <m:t>a</m:t>
                  </m:r>
                  <m:r>
                    <m:t>y</m:t>
                  </m:r>
                </m:sub>
              </m:sSub>
            </m:oMath>
          </w:p>
        </w:tc>
      </w:tr>
      <w:tr>
        <w:tc>
          <w:tcPr/>
          <w:p>
            <w:pPr>
              <w:pStyle w:val="Compact"/>
              <w:jc w:val="left"/>
            </w:pPr>
            <w:r>
              <w:rPr>
                <w:sz w:val="18"/>
              </w:rPr>
              <w:t xml:space="preserve">Term interest rates (floating leg)</w:t>
            </w:r>
          </w:p>
        </w:tc>
        <w:tc>
          <w:tcPr/>
          <w:p>
            <w:pPr>
              <w:pStyle w:val="Compact"/>
              <w:jc w:val="left"/>
            </w:pPr>
            <w:r>
              <w:rPr>
                <w:sz w:val="18"/>
              </w:rPr>
              <w:t xml:space="preserve">One reset rate per floating period</w:t>
            </w:r>
          </w:p>
        </w:tc>
        <w:tc>
          <w:tcPr/>
          <w:p>
            <w:pPr>
              <w:pStyle w:val="Compact"/>
              <w:jc w:val="left"/>
            </w:pPr>
            <w:r>
              <w:rPr>
                <w:sz w:val="18"/>
              </w:rPr>
              <w:t xml:space="preserve">Use the booked rate</w:t>
            </w:r>
          </w:p>
        </w:tc>
        <w:tc>
          <w:tcPr/>
          <w:p>
            <w:pPr>
              <w:pStyle w:val="Compact"/>
              <w:jc w:val="left"/>
            </w:pPr>
            <w:r>
              <w:rPr>
                <w:sz w:val="18"/>
              </w:rPr>
              <w:t xml:space="preserve">Use the rate on the simulated curve on the reset date, then hold it</w:t>
            </w:r>
          </w:p>
        </w:tc>
        <w:tc>
          <w:tcPr/>
          <w:p>
            <w:pPr>
              <w:pStyle w:val="Compact"/>
              <w:jc w:val="left"/>
            </w:pPr>
            <w:r>
              <w:rPr>
                <w:sz w:val="18"/>
              </w:rPr>
              <w:t xml:space="preserve">Infer the forward rate from the simulated discount factors at</w:t>
            </w:r>
            <w:r>
              <w:rPr>
                <w:sz w:val="18"/>
              </w:rPr>
              <w:t xml:space="preserve"> </w:t>
            </w:r>
            <m:oMath>
              <m:r>
                <m:t>t</m:t>
              </m:r>
            </m:oMath>
          </w:p>
        </w:tc>
        <w:tc>
          <w:tcPr/>
          <w:p>
            <w:pPr>
              <w:pStyle w:val="Compact"/>
              <w:jc w:val="left"/>
            </w:pPr>
            <w:r>
              <w:rPr>
                <w:sz w:val="18"/>
              </w:rPr>
              <w:t xml:space="preserve">The amount is known; discount it, paid only if the note has not autocalled</w:t>
            </w:r>
          </w:p>
        </w:tc>
      </w:tr>
      <w:tr>
        <w:tc>
          <w:tcPr/>
          <w:p>
            <w:pPr>
              <w:pStyle w:val="Compact"/>
              <w:jc w:val="left"/>
            </w:pPr>
            <w:r>
              <w:rPr>
                <w:sz w:val="18"/>
              </w:rPr>
              <w:t xml:space="preserve">OIS / overnight rates</w:t>
            </w:r>
          </w:p>
        </w:tc>
        <w:tc>
          <w:tcPr/>
          <w:p>
            <w:pPr>
              <w:pStyle w:val="Compact"/>
              <w:jc w:val="left"/>
            </w:pPr>
            <w:r>
              <w:rPr>
                <w:sz w:val="18"/>
              </w:rPr>
              <w:t xml:space="preserve">Many overnight resets within one period</w:t>
            </w:r>
          </w:p>
        </w:tc>
        <w:tc>
          <w:tcPr/>
          <w:p>
            <w:pPr>
              <w:pStyle w:val="Compact"/>
              <w:jc w:val="left"/>
            </w:pPr>
            <w:r>
              <w:rPr>
                <w:sz w:val="18"/>
              </w:rPr>
              <w:t xml:space="preserve">Use historical overnight rates</w:t>
            </w:r>
          </w:p>
        </w:tc>
        <w:tc>
          <w:tcPr/>
          <w:p>
            <w:pPr>
              <w:pStyle w:val="Compact"/>
              <w:jc w:val="left"/>
            </w:pPr>
            <w:r>
              <w:rPr>
                <w:sz w:val="18"/>
              </w:rPr>
              <w:t xml:space="preserve">Use the simulated overnight rates up to</w:t>
            </w:r>
            <w:r>
              <w:rPr>
                <w:sz w:val="18"/>
              </w:rPr>
              <w:t xml:space="preserve"> </w:t>
            </w:r>
            <m:oMath>
              <m:r>
                <m:t>t</m:t>
              </m:r>
            </m:oMath>
          </w:p>
        </w:tc>
        <w:tc>
          <w:tcPr/>
          <w:p>
            <w:pPr>
              <w:pStyle w:val="Compact"/>
              <w:jc w:val="left"/>
            </w:pPr>
            <w:r>
              <w:rPr>
                <w:sz w:val="18"/>
              </w:rPr>
              <w:t xml:space="preserve">Project the remaining overnight rates from the curve at</w:t>
            </w:r>
            <w:r>
              <w:rPr>
                <w:sz w:val="18"/>
              </w:rPr>
              <w:t xml:space="preserve"> </w:t>
            </w:r>
            <m:oMath>
              <m:r>
                <m:t>t</m:t>
              </m:r>
            </m:oMath>
          </w:p>
        </w:tc>
        <w:tc>
          <w:tcPr/>
          <w:p>
            <w:pPr>
              <w:pStyle w:val="Compact"/>
              <w:jc w:val="left"/>
            </w:pPr>
            <w:r>
              <w:rPr>
                <w:sz w:val="18"/>
              </w:rPr>
              <w:t xml:space="preserve">Compound all daily rates; discount the payment. Not used by the autocall</w:t>
            </w:r>
          </w:p>
        </w:tc>
      </w:tr>
      <w:tr>
        <w:tc>
          <w:tcPr/>
          <w:p>
            <w:pPr>
              <w:pStyle w:val="Compact"/>
              <w:jc w:val="left"/>
            </w:pPr>
            <w:r>
              <w:rPr>
                <w:sz w:val="18"/>
              </w:rPr>
              <w:t xml:space="preserve">FX (quanto)</w:t>
            </w:r>
          </w:p>
        </w:tc>
        <w:tc>
          <w:tcPr/>
          <w:p>
            <w:pPr>
              <w:pStyle w:val="Compact"/>
              <w:jc w:val="left"/>
            </w:pPr>
            <w:r>
              <w:rPr>
                <w:sz w:val="18"/>
              </w:rPr>
              <w:t xml:space="preserve">None. The conversion rate is fixed in the contract (FixFXRate)</w:t>
            </w:r>
          </w:p>
        </w:tc>
        <w:tc>
          <w:tcPr/>
          <w:p>
            <w:pPr>
              <w:pStyle w:val="Compact"/>
              <w:jc w:val="left"/>
            </w:pPr>
            <w:r>
              <w:rPr>
                <w:sz w:val="18"/>
              </w:rPr>
              <w:t xml:space="preserve">n/a</w:t>
            </w:r>
          </w:p>
        </w:tc>
        <w:tc>
          <w:tcPr/>
          <w:p>
            <w:pPr>
              <w:pStyle w:val="Compact"/>
              <w:jc w:val="left"/>
            </w:pPr>
            <w:r>
              <w:rPr>
                <w:sz w:val="18"/>
              </w:rPr>
              <w:t xml:space="preserve">n/a</w:t>
            </w:r>
          </w:p>
        </w:tc>
        <w:tc>
          <w:tcPr/>
          <w:p>
            <w:pPr>
              <w:pStyle w:val="Compact"/>
              <w:jc w:val="left"/>
            </w:pPr>
            <w:r>
              <w:rPr>
                <w:sz w:val="18"/>
              </w:rPr>
              <w:t xml:space="preserve">n/a</w:t>
            </w:r>
          </w:p>
        </w:tc>
        <w:tc>
          <w:tcPr/>
          <w:p>
            <w:pPr>
              <w:pStyle w:val="Compact"/>
              <w:jc w:val="left"/>
            </w:pPr>
            <w:r>
              <w:rPr>
                <w:sz w:val="18"/>
              </w:rPr>
              <w:t xml:space="preserve">n/a. FX enters only through the quanto drift and the reporting-currency conversion (Section 7.4)</w:t>
            </w:r>
          </w:p>
        </w:tc>
      </w:tr>
    </w:tbl>
    <w:bookmarkStart w:id="20" w:name="term-interest-rate-fixings"/>
    <w:p>
      <w:pPr>
        <w:pStyle w:val="Heading2"/>
      </w:pPr>
      <w:r>
        <w:t xml:space="preserve">4.1.1 Term Interest Rate Fixings</w:t>
      </w:r>
    </w:p>
    <w:p>
      <w:pPr>
        <w:pStyle w:val="FirstParagraph"/>
      </w:pPr>
      <w:r>
        <w:rPr>
          <w:bCs/>
          <w:b/>
        </w:rPr>
        <w:t xml:space="preserve">General mechanics.</w:t>
      </w:r>
      <w:r>
        <w:t xml:space="preserve"> </w:t>
      </w:r>
      <w:r>
        <w:t xml:space="preserve">Term-rate coupons, such as IBOR-style coupons, have one fixing per cashflow period. The rate is fixed at the start of the period,</w:t>
      </w:r>
      <w:r>
        <w:t xml:space="preserve"> </w:t>
      </w:r>
      <m:oMath>
        <m:sSub>
          <m:e>
            <m:r>
              <m:t>T</m:t>
            </m:r>
          </m:e>
          <m:sub>
            <m:r>
              <m:t>f</m:t>
            </m:r>
            <m:r>
              <m:t>i</m:t>
            </m:r>
            <m:r>
              <m:t>x</m:t>
            </m:r>
          </m:sub>
        </m:sSub>
        <m:r>
          <m:rPr>
            <m:sty m:val="p"/>
          </m:rPr>
          <m:t>=</m:t>
        </m:r>
        <m:sSub>
          <m:e>
            <m:r>
              <m:t>T</m:t>
            </m:r>
          </m:e>
          <m:sub>
            <m:r>
              <m:t>s</m:t>
            </m:r>
            <m:r>
              <m:t>t</m:t>
            </m:r>
            <m:r>
              <m:t>a</m:t>
            </m:r>
            <m:r>
              <m:t>r</m:t>
            </m:r>
            <m:r>
              <m:t>t</m:t>
            </m:r>
          </m:sub>
        </m:sSub>
      </m:oMath>
      <w:r>
        <w:t xml:space="preserve">, and once known it determines the coupon amount. The fixing is treated according to where it falls relative to the simulation date</w:t>
      </w:r>
      <w:r>
        <w:t xml:space="preserve"> </w:t>
      </w:r>
      <m:oMath>
        <m:r>
          <m:t>t</m:t>
        </m:r>
      </m:oMath>
      <w:r>
        <w:t xml:space="preserve">:</w:t>
      </w:r>
    </w:p>
    <w:p>
      <w:pPr>
        <w:numPr>
          <w:ilvl w:val="0"/>
          <w:numId w:val="1001"/>
        </w:numPr>
        <w:pStyle w:val="Compact"/>
      </w:pPr>
      <w:r>
        <w:rPr>
          <w:bCs/>
          <w:b/>
        </w:rPr>
        <w:t xml:space="preserve">Known (</w:t>
      </w:r>
      <m:oMath>
        <m:sSub>
          <m:e>
            <m:r>
              <m:t>T</m:t>
            </m:r>
          </m:e>
          <m:sub>
            <m:r>
              <m:t>f</m:t>
            </m:r>
            <m:r>
              <m:t>i</m:t>
            </m:r>
            <m:r>
              <m:t>x</m:t>
            </m:r>
          </m:sub>
        </m:sSub>
        <m:r>
          <m:rPr>
            <m:sty m:val="p"/>
          </m:rPr>
          <m:t>&lt;</m:t>
        </m:r>
        <m:sSub>
          <m:e>
            <m:r>
              <m:t>t</m:t>
            </m:r>
          </m:e>
          <m:sub>
            <m:r>
              <m:t>0</m:t>
            </m:r>
          </m:sub>
        </m:sSub>
      </m:oMath>
      <w:r>
        <w:rPr>
          <w:bCs/>
          <w:b/>
        </w:rPr>
        <w:t xml:space="preserve">).</w:t>
      </w:r>
      <w:r>
        <w:t xml:space="preserve"> </w:t>
      </w:r>
      <w:r>
        <w:t xml:space="preserve">The rate has been published and is taken from market data.</w:t>
      </w:r>
    </w:p>
    <w:p>
      <w:pPr>
        <w:numPr>
          <w:ilvl w:val="0"/>
          <w:numId w:val="1001"/>
        </w:numPr>
        <w:pStyle w:val="Compact"/>
      </w:pPr>
      <w:r>
        <w:rPr>
          <w:bCs/>
          <w:b/>
        </w:rPr>
        <w:t xml:space="preserve">Fixed on the path (</w:t>
      </w:r>
      <m:oMath>
        <m:sSub>
          <m:e>
            <m:r>
              <m:t>t</m:t>
            </m:r>
          </m:e>
          <m:sub>
            <m:r>
              <m:t>0</m:t>
            </m:r>
          </m:sub>
        </m:sSub>
        <m:r>
          <m:rPr>
            <m:sty m:val="p"/>
          </m:rPr>
          <m:t>≤</m:t>
        </m:r>
        <m:sSub>
          <m:e>
            <m:r>
              <m:t>T</m:t>
            </m:r>
          </m:e>
          <m:sub>
            <m:r>
              <m:t>f</m:t>
            </m:r>
            <m:r>
              <m:t>i</m:t>
            </m:r>
            <m:r>
              <m:t>x</m:t>
            </m:r>
          </m:sub>
        </m:sSub>
        <m:r>
          <m:rPr>
            <m:sty m:val="p"/>
          </m:rPr>
          <m:t>≤</m:t>
        </m:r>
        <m:r>
          <m:t>t</m:t>
        </m:r>
      </m:oMath>
      <w:r>
        <w:rPr>
          <w:bCs/>
          <w:b/>
        </w:rPr>
        <w:t xml:space="preserve">).</w:t>
      </w:r>
      <w:r>
        <w:t xml:space="preserve"> </w:t>
      </w:r>
      <w:r>
        <w:t xml:space="preserve">The rate is read from the simulated yield curve on the fixing date and held from then on.</w:t>
      </w:r>
    </w:p>
    <w:p>
      <w:pPr>
        <w:numPr>
          <w:ilvl w:val="0"/>
          <w:numId w:val="1001"/>
        </w:numPr>
        <w:pStyle w:val="Compact"/>
      </w:pPr>
      <w:r>
        <w:rPr>
          <w:bCs/>
          <w:b/>
        </w:rPr>
        <w:t xml:space="preserve">Not yet fixed (</w:t>
      </w:r>
      <m:oMath>
        <m:sSub>
          <m:e>
            <m:r>
              <m:t>T</m:t>
            </m:r>
          </m:e>
          <m:sub>
            <m:r>
              <m:t>f</m:t>
            </m:r>
            <m:r>
              <m:t>i</m:t>
            </m:r>
            <m:r>
              <m:t>x</m:t>
            </m:r>
          </m:sub>
        </m:sSub>
        <m:r>
          <m:rPr>
            <m:sty m:val="p"/>
          </m:rPr>
          <m:t>&gt;</m:t>
        </m:r>
        <m:r>
          <m:t>t</m:t>
        </m:r>
      </m:oMath>
      <w:r>
        <w:rPr>
          <w:bCs/>
          <w:b/>
        </w:rPr>
        <w:t xml:space="preserve">).</w:t>
      </w:r>
      <w:r>
        <w:t xml:space="preserve"> </w:t>
      </w:r>
      <w:r>
        <w:t xml:space="preserve">The rate is the forward implied by the simulated yield curve at</w:t>
      </w:r>
      <w:r>
        <w:t xml:space="preserve"> </w:t>
      </w:r>
      <m:oMath>
        <m:r>
          <m:t>t</m:t>
        </m:r>
      </m:oMath>
      <w:r>
        <w:t xml:space="preserve">:</w:t>
      </w:r>
    </w:p>
    <w:p>
      <w:pPr>
        <w:pStyle w:val="FirstParagraph"/>
      </w:pPr>
      <m:oMathPara>
        <m:oMathParaPr>
          <m:jc m:val="center"/>
        </m:oMathParaPr>
        <m:oMath>
          <m:r>
            <m:t>F</m:t>
          </m:r>
          <m:d>
            <m:dPr>
              <m:begChr m:val="("/>
              <m:endChr m:val=")"/>
              <m:sepChr m:val=""/>
              <m:grow/>
            </m:dPr>
            <m:e>
              <m:r>
                <m:t>t</m:t>
              </m:r>
              <m:r>
                <m:rPr>
                  <m:sty m:val="p"/>
                </m:rPr>
                <m:t>,</m:t>
              </m:r>
              <m:sSub>
                <m:e>
                  <m:r>
                    <m:t>T</m:t>
                  </m:r>
                </m:e>
                <m:sub>
                  <m:r>
                    <m:t>s</m:t>
                  </m:r>
                  <m:r>
                    <m:t>t</m:t>
                  </m:r>
                  <m:r>
                    <m:t>a</m:t>
                  </m:r>
                  <m:r>
                    <m:t>r</m:t>
                  </m:r>
                  <m:r>
                    <m:t>t</m:t>
                  </m:r>
                </m:sub>
              </m:sSub>
              <m:r>
                <m:rPr>
                  <m:sty m:val="p"/>
                </m:rPr>
                <m:t>,</m:t>
              </m:r>
              <m:sSub>
                <m:e>
                  <m:r>
                    <m:t>T</m:t>
                  </m:r>
                </m:e>
                <m:sub>
                  <m:r>
                    <m:t>e</m:t>
                  </m:r>
                  <m:r>
                    <m:t>n</m:t>
                  </m:r>
                  <m:r>
                    <m:t>d</m:t>
                  </m:r>
                </m:sub>
              </m:sSub>
            </m:e>
          </m:d>
          <m:r>
            <m:rPr>
              <m:sty m:val="p"/>
            </m:rPr>
            <m:t>=</m:t>
          </m:r>
          <m:d>
            <m:dPr>
              <m:begChr m:val="["/>
              <m:endChr m:val="]"/>
              <m:sepChr m:val=""/>
              <m:grow/>
            </m:dPr>
            <m:e>
              <m:f>
                <m:fPr>
                  <m:type m:val="bar"/>
                </m:fPr>
                <m:num>
                  <m:r>
                    <m:t>D</m:t>
                  </m:r>
                  <m:d>
                    <m:dPr>
                      <m:begChr m:val="("/>
                      <m:endChr m:val=")"/>
                      <m:sepChr m:val=""/>
                      <m:grow/>
                    </m:dPr>
                    <m:e>
                      <m:r>
                        <m:t>t</m:t>
                      </m:r>
                      <m:r>
                        <m:rPr>
                          <m:sty m:val="p"/>
                        </m:rPr>
                        <m:t>,</m:t>
                      </m:r>
                      <m:sSub>
                        <m:e>
                          <m:r>
                            <m:t>T</m:t>
                          </m:r>
                        </m:e>
                        <m:sub>
                          <m:r>
                            <m:t>s</m:t>
                          </m:r>
                          <m:r>
                            <m:t>t</m:t>
                          </m:r>
                          <m:r>
                            <m:t>a</m:t>
                          </m:r>
                          <m:r>
                            <m:t>r</m:t>
                          </m:r>
                          <m:r>
                            <m:t>t</m:t>
                          </m:r>
                        </m:sub>
                      </m:sSub>
                    </m:e>
                  </m:d>
                </m:num>
                <m:den>
                  <m:r>
                    <m:t>D</m:t>
                  </m:r>
                  <m:d>
                    <m:dPr>
                      <m:begChr m:val="("/>
                      <m:endChr m:val=")"/>
                      <m:sepChr m:val=""/>
                      <m:grow/>
                    </m:dPr>
                    <m:e>
                      <m:r>
                        <m:t>t</m:t>
                      </m:r>
                      <m:r>
                        <m:rPr>
                          <m:sty m:val="p"/>
                        </m:rPr>
                        <m:t>,</m:t>
                      </m:r>
                      <m:sSub>
                        <m:e>
                          <m:r>
                            <m:t>T</m:t>
                          </m:r>
                        </m:e>
                        <m:sub>
                          <m:r>
                            <m:t>e</m:t>
                          </m:r>
                          <m:r>
                            <m:t>n</m:t>
                          </m:r>
                          <m:r>
                            <m:t>d</m:t>
                          </m:r>
                        </m:sub>
                      </m:sSub>
                    </m:e>
                  </m:d>
                </m:den>
              </m:f>
              <m:r>
                <m:rPr>
                  <m:sty m:val="p"/>
                </m:rPr>
                <m:t>−</m:t>
              </m:r>
              <m:r>
                <m:t>1</m:t>
              </m:r>
            </m:e>
          </m:d>
          <m:r>
            <m:rPr>
              <m:sty m:val="p"/>
            </m:rPr>
            <m:t>⋅</m:t>
          </m:r>
          <m:f>
            <m:fPr>
              <m:type m:val="bar"/>
            </m:fPr>
            <m:num>
              <m:r>
                <m:t>1</m:t>
              </m:r>
            </m:num>
            <m:den>
              <m:r>
                <m:t>Δ</m:t>
              </m:r>
            </m:den>
          </m:f>
        </m:oMath>
      </m:oMathPara>
    </w:p>
    <w:p>
      <w:pPr>
        <w:pStyle w:val="FirstParagraph"/>
      </w:pPr>
      <w:r>
        <w:t xml:space="preserve">where</w:t>
      </w:r>
      <w:r>
        <w:t xml:space="preserve"> </w:t>
      </w:r>
      <m:oMath>
        <m:r>
          <m:t>Δ</m:t>
        </m:r>
      </m:oMath>
      <w:r>
        <w:t xml:space="preserve"> </w:t>
      </w:r>
      <w:r>
        <w:t xml:space="preserve">is the year fraction between</w:t>
      </w:r>
      <w:r>
        <w:t xml:space="preserve"> </w:t>
      </w:r>
      <m:oMath>
        <m:sSub>
          <m:e>
            <m:r>
              <m:t>T</m:t>
            </m:r>
          </m:e>
          <m:sub>
            <m:r>
              <m:t>s</m:t>
            </m:r>
            <m:r>
              <m:t>t</m:t>
            </m:r>
            <m:r>
              <m:t>a</m:t>
            </m:r>
            <m:r>
              <m:t>r</m:t>
            </m:r>
            <m:r>
              <m:t>t</m:t>
            </m:r>
          </m:sub>
        </m:sSub>
      </m:oMath>
      <w:r>
        <w:t xml:space="preserve"> </w:t>
      </w:r>
      <w:r>
        <w:t xml:space="preserve">and</w:t>
      </w:r>
      <w:r>
        <w:t xml:space="preserve"> </w:t>
      </w:r>
      <m:oMath>
        <m:sSub>
          <m:e>
            <m:r>
              <m:t>T</m:t>
            </m:r>
          </m:e>
          <m:sub>
            <m:r>
              <m:t>e</m:t>
            </m:r>
            <m:r>
              <m:t>n</m:t>
            </m:r>
            <m:r>
              <m:t>d</m:t>
            </m:r>
          </m:sub>
        </m:sSub>
      </m:oMath>
      <w:r>
        <w:t xml:space="preserve"> </w:t>
      </w:r>
      <w:r>
        <w:t xml:space="preserve">under the applicable day-count convention.</w:t>
      </w:r>
    </w:p>
    <w:p>
      <w:pPr>
        <w:numPr>
          <w:ilvl w:val="0"/>
          <w:numId w:val="1002"/>
        </w:numPr>
        <w:pStyle w:val="Compact"/>
      </w:pPr>
      <w:r>
        <w:rPr>
          <w:bCs/>
          <w:b/>
        </w:rPr>
        <w:t xml:space="preserve">Fixed, not yet paid (</w:t>
      </w:r>
      <m:oMath>
        <m:sSub>
          <m:e>
            <m:r>
              <m:t>T</m:t>
            </m:r>
          </m:e>
          <m:sub>
            <m:r>
              <m:t>f</m:t>
            </m:r>
            <m:r>
              <m:t>i</m:t>
            </m:r>
            <m:r>
              <m:t>x</m:t>
            </m:r>
          </m:sub>
        </m:sSub>
        <m:r>
          <m:rPr>
            <m:sty m:val="p"/>
          </m:rPr>
          <m:t>≤</m:t>
        </m:r>
        <m:r>
          <m:t>t</m:t>
        </m:r>
        <m:r>
          <m:rPr>
            <m:sty m:val="p"/>
          </m:rPr>
          <m:t>&lt;</m:t>
        </m:r>
        <m:sSub>
          <m:e>
            <m:r>
              <m:t>T</m:t>
            </m:r>
          </m:e>
          <m:sub>
            <m:r>
              <m:t>p</m:t>
            </m:r>
            <m:r>
              <m:t>a</m:t>
            </m:r>
            <m:r>
              <m:t>y</m:t>
            </m:r>
          </m:sub>
        </m:sSub>
      </m:oMath>
      <w:r>
        <w:rPr>
          <w:bCs/>
          <w:b/>
        </w:rPr>
        <w:t xml:space="preserve">).</w:t>
      </w:r>
      <w:r>
        <w:t xml:space="preserve"> </w:t>
      </w:r>
      <w:r>
        <w:t xml:space="preserve">The coupon amount is known, so no forward is needed; the amount is discounted to</w:t>
      </w:r>
      <w:r>
        <w:t xml:space="preserve"> </w:t>
      </w:r>
      <m:oMath>
        <m:r>
          <m:t>t</m:t>
        </m:r>
      </m:oMath>
      <w:r>
        <w:t xml:space="preserve">.</w:t>
      </w:r>
    </w:p>
    <w:p>
      <w:pPr>
        <w:pStyle w:val="FirstParagraph"/>
      </w:pPr>
      <w:r>
        <w:rPr>
          <w:bCs/>
          <w:b/>
        </w:rPr>
        <w:t xml:space="preserve">Application to the autocall.</w:t>
      </w:r>
      <w:r>
        <w:t xml:space="preserve"> </w:t>
      </w:r>
      <w:r>
        <w:t xml:space="preserve">The floating leg of the autocallable swap (QEDI_CustomAutoCallSwap_V2) is a term-rate leg. Each Autocall_Floating period pays</w:t>
      </w:r>
      <w:r>
        <w:t xml:space="preserve"> </w:t>
      </w:r>
      <m:oMath>
        <m:d>
          <m:dPr>
            <m:begChr m:val="("/>
            <m:endChr m:val=")"/>
            <m:sepChr m:val=""/>
            <m:grow/>
          </m:dPr>
          <m:e>
            <m:sSub>
              <m:e>
                <m:r>
                  <m:t>L</m:t>
                </m:r>
              </m:e>
              <m:sub>
                <m:r>
                  <m:t>k</m:t>
                </m:r>
              </m:sub>
            </m:sSub>
            <m:r>
              <m:rPr>
                <m:sty m:val="p"/>
              </m:rPr>
              <m:t>+</m:t>
            </m:r>
            <m:r>
              <m:t>m</m:t>
            </m:r>
          </m:e>
        </m:d>
        <m:r>
          <m:t> </m:t>
        </m:r>
        <m:sSub>
          <m:e>
            <m:r>
              <m:t>α</m:t>
            </m:r>
          </m:e>
          <m:sub>
            <m:r>
              <m:t>k</m:t>
            </m:r>
          </m:sub>
        </m:sSub>
      </m:oMath>
      <w:r>
        <w:t xml:space="preserve"> </w:t>
      </w:r>
      <w:r>
        <w:t xml:space="preserve">per unit of notional, where</w:t>
      </w:r>
      <w:r>
        <w:t xml:space="preserve"> </w:t>
      </w:r>
      <m:oMath>
        <m:sSub>
          <m:e>
            <m:r>
              <m:t>L</m:t>
            </m:r>
          </m:e>
          <m:sub>
            <m:r>
              <m:t>k</m:t>
            </m:r>
          </m:sub>
        </m:sSub>
      </m:oMath>
      <w:r>
        <w:t xml:space="preserve"> </w:t>
      </w:r>
      <w:r>
        <w:t xml:space="preserve">is the simply compounded rate on the Forecast_Rate curve,</w:t>
      </w:r>
      <w:r>
        <w:t xml:space="preserve"> </w:t>
      </w:r>
      <m:oMath>
        <m:r>
          <m:t>m</m:t>
        </m:r>
      </m:oMath>
      <w:r>
        <w:t xml:space="preserve"> </w:t>
      </w:r>
      <w:r>
        <w:t xml:space="preserve">the Floating_Margin and</w:t>
      </w:r>
      <w:r>
        <w:t xml:space="preserve"> </w:t>
      </w:r>
      <m:oMath>
        <m:sSub>
          <m:e>
            <m:r>
              <m:t>α</m:t>
            </m:r>
          </m:e>
          <m:sub>
            <m:r>
              <m:t>k</m:t>
            </m:r>
          </m:sub>
        </m:sSub>
      </m:oMath>
      <w:r>
        <w:t xml:space="preserve"> </w:t>
      </w:r>
      <w:r>
        <w:t xml:space="preserve">the day-count fraction. The first period starts one Reset_Frequency before the first floating date.</w:t>
      </w:r>
    </w:p>
    <w:p>
      <w:pPr>
        <w:numPr>
          <w:ilvl w:val="0"/>
          <w:numId w:val="1003"/>
        </w:numPr>
        <w:pStyle w:val="Compact"/>
      </w:pPr>
      <w:r>
        <w:rPr>
          <w:bCs/>
          <w:b/>
        </w:rPr>
        <w:t xml:space="preserve">Known.</w:t>
      </w:r>
      <w:r>
        <w:t xml:space="preserve"> </w:t>
      </w:r>
      <w:r>
        <w:t xml:space="preserve">A period that started before</w:t>
      </w:r>
      <w:r>
        <w:t xml:space="preserve"> </w:t>
      </w:r>
      <m:oMath>
        <m:sSub>
          <m:e>
            <m:r>
              <m:t>t</m:t>
            </m:r>
          </m:e>
          <m:sub>
            <m:r>
              <m:t>0</m:t>
            </m:r>
          </m:sub>
        </m:sSub>
      </m:oMath>
      <w:r>
        <w:t xml:space="preserve"> </w:t>
      </w:r>
      <w:r>
        <w:t xml:space="preserve">pays its booked amount from the Autocall_Floating table.</w:t>
      </w:r>
    </w:p>
    <w:p>
      <w:pPr>
        <w:numPr>
          <w:ilvl w:val="0"/>
          <w:numId w:val="1003"/>
        </w:numPr>
        <w:pStyle w:val="Compact"/>
      </w:pPr>
      <w:r>
        <w:rPr>
          <w:bCs/>
          <w:b/>
        </w:rPr>
        <w:t xml:space="preserve">Fixed on the path.</w:t>
      </w:r>
      <w:r>
        <w:t xml:space="preserve"> </w:t>
      </w:r>
      <w:r>
        <w:t xml:space="preserve">The rate is set from the simulated Forecast_Rate curve on the reset date.</w:t>
      </w:r>
    </w:p>
    <w:p>
      <w:pPr>
        <w:numPr>
          <w:ilvl w:val="0"/>
          <w:numId w:val="1003"/>
        </w:numPr>
        <w:pStyle w:val="Compact"/>
      </w:pPr>
      <w:r>
        <w:rPr>
          <w:bCs/>
          <w:b/>
        </w:rPr>
        <w:t xml:space="preserve">Not yet fixed.</w:t>
      </w:r>
      <w:r>
        <w:t xml:space="preserve"> </w:t>
      </w:r>
      <w:r>
        <w:t xml:space="preserve">The rate is the forward from the simulated Forecast_Rate curve at</w:t>
      </w:r>
      <w:r>
        <w:t xml:space="preserve"> </w:t>
      </w:r>
      <m:oMath>
        <m:r>
          <m:t>t</m:t>
        </m:r>
      </m:oMath>
      <w:r>
        <w:t xml:space="preserve">, using the formula above.</w:t>
      </w:r>
    </w:p>
    <w:p>
      <w:pPr>
        <w:numPr>
          <w:ilvl w:val="0"/>
          <w:numId w:val="1003"/>
        </w:numPr>
        <w:pStyle w:val="Compact"/>
      </w:pPr>
      <w:r>
        <w:rPr>
          <w:bCs/>
          <w:b/>
        </w:rPr>
        <w:t xml:space="preserve">Fixed, not yet paid.</w:t>
      </w:r>
      <w:r>
        <w:t xml:space="preserve"> </w:t>
      </w:r>
      <w:r>
        <w:t xml:space="preserve">The amount is known and discounted.</w:t>
      </w:r>
    </w:p>
    <w:p>
      <w:pPr>
        <w:pStyle w:val="FirstParagraph"/>
      </w:pPr>
      <w:r>
        <w:t xml:space="preserve">The one difference from a plain swap is that every floating payment is</w:t>
      </w:r>
      <w:r>
        <w:t xml:space="preserve"> </w:t>
      </w:r>
      <w:r>
        <w:rPr>
          <w:bCs/>
          <w:b/>
        </w:rPr>
        <w:t xml:space="preserve">contingent on survival</w:t>
      </w:r>
      <w:r>
        <w:t xml:space="preserve">: it is paid only if the note has not autocalled. Each payment is therefore weighted by the probability that the note is still alive on that date. A payment falling between a coupon’s fixing date and its payment date is still made by a note that autocalls on that fixing, because the note terminates on the coupon’s payment date.</w:t>
      </w:r>
    </w:p>
    <w:bookmarkEnd w:id="20"/>
    <w:bookmarkStart w:id="21" w:name="ois-and-overnight-compounded-fixings"/>
    <w:p>
      <w:pPr>
        <w:pStyle w:val="Heading2"/>
      </w:pPr>
      <w:r>
        <w:t xml:space="preserve">4.1.2 OIS and Overnight Compounded Fixings</w:t>
      </w:r>
    </w:p>
    <w:p>
      <w:pPr>
        <w:pStyle w:val="FirstParagraph"/>
      </w:pPr>
      <w:r>
        <w:rPr>
          <w:bCs/>
          <w:b/>
        </w:rPr>
        <w:t xml:space="preserve">General mechanics.</w:t>
      </w:r>
      <w:r>
        <w:t xml:space="preserve"> </w:t>
      </w:r>
      <w:r>
        <w:t xml:space="preserve">Coupons on OIS reference rates are built from daily overnight rates</w:t>
      </w:r>
      <w:r>
        <w:t xml:space="preserve"> </w:t>
      </w:r>
      <m:oMath>
        <m:sSub>
          <m:e>
            <m:r>
              <m:t>r</m:t>
            </m:r>
          </m:e>
          <m:sub>
            <m:sSub>
              <m:e>
                <m:r>
                  <m:t>t</m:t>
                </m:r>
              </m:e>
              <m:sub>
                <m:r>
                  <m:t>i</m:t>
                </m:r>
              </m:sub>
            </m:sSub>
          </m:sub>
        </m:sSub>
      </m:oMath>
      <w:r>
        <w:t xml:space="preserve">, each with its own accrual fraction</w:t>
      </w:r>
      <w:r>
        <w:t xml:space="preserve"> </w:t>
      </w:r>
      <m:oMath>
        <m:sSub>
          <m:e>
            <m:r>
              <m:t>τ</m:t>
            </m:r>
          </m:e>
          <m:sub>
            <m:r>
              <m:t>i</m:t>
            </m:r>
          </m:sub>
        </m:sSub>
      </m:oMath>
      <w:r>
        <w:t xml:space="preserve">. The coupon rate for a period is fixed only at its end,</w:t>
      </w:r>
      <w:r>
        <w:t xml:space="preserve"> </w:t>
      </w:r>
      <m:oMath>
        <m:sSub>
          <m:e>
            <m:r>
              <m:t>T</m:t>
            </m:r>
          </m:e>
          <m:sub>
            <m:r>
              <m:t>f</m:t>
            </m:r>
            <m:r>
              <m:t>i</m:t>
            </m:r>
            <m:r>
              <m:t>x</m:t>
            </m:r>
          </m:sub>
        </m:sSub>
        <m:r>
          <m:rPr>
            <m:sty m:val="p"/>
          </m:rPr>
          <m:t>=</m:t>
        </m:r>
        <m:sSub>
          <m:e>
            <m:r>
              <m:t>T</m:t>
            </m:r>
          </m:e>
          <m:sub>
            <m:r>
              <m:t>e</m:t>
            </m:r>
            <m:r>
              <m:t>n</m:t>
            </m:r>
            <m:r>
              <m:t>d</m:t>
            </m:r>
          </m:sub>
        </m:sSub>
      </m:oMath>
      <w:r>
        <w:t xml:space="preserve">, once every overnight rate is known. Each daily rate follows the same regions:</w:t>
      </w:r>
    </w:p>
    <w:p>
      <w:pPr>
        <w:numPr>
          <w:ilvl w:val="0"/>
          <w:numId w:val="1004"/>
        </w:numPr>
        <w:pStyle w:val="Compact"/>
      </w:pPr>
      <w:r>
        <w:rPr>
          <w:bCs/>
          <w:b/>
        </w:rPr>
        <w:t xml:space="preserve">Known (</w:t>
      </w:r>
      <m:oMath>
        <m:sSub>
          <m:e>
            <m:r>
              <m:t>t</m:t>
            </m:r>
          </m:e>
          <m:sub>
            <m:r>
              <m:t>i</m:t>
            </m:r>
          </m:sub>
        </m:sSub>
        <m:r>
          <m:rPr>
            <m:sty m:val="p"/>
          </m:rPr>
          <m:t>&lt;</m:t>
        </m:r>
        <m:sSub>
          <m:e>
            <m:r>
              <m:t>t</m:t>
            </m:r>
          </m:e>
          <m:sub>
            <m:r>
              <m:t>0</m:t>
            </m:r>
          </m:sub>
        </m:sSub>
      </m:oMath>
      <w:r>
        <w:rPr>
          <w:bCs/>
          <w:b/>
        </w:rPr>
        <w:t xml:space="preserve">).</w:t>
      </w:r>
      <w:r>
        <w:t xml:space="preserve"> </w:t>
      </w:r>
      <w:r>
        <w:t xml:space="preserve">Observed overnight rates are used.</w:t>
      </w:r>
    </w:p>
    <w:p>
      <w:pPr>
        <w:numPr>
          <w:ilvl w:val="0"/>
          <w:numId w:val="1004"/>
        </w:numPr>
        <w:pStyle w:val="Compact"/>
      </w:pPr>
      <w:r>
        <w:rPr>
          <w:bCs/>
          <w:b/>
        </w:rPr>
        <w:t xml:space="preserve">Fixed on the path (</w:t>
      </w:r>
      <m:oMath>
        <m:sSub>
          <m:e>
            <m:r>
              <m:t>t</m:t>
            </m:r>
          </m:e>
          <m:sub>
            <m:r>
              <m:t>0</m:t>
            </m:r>
          </m:sub>
        </m:sSub>
        <m:r>
          <m:rPr>
            <m:sty m:val="p"/>
          </m:rPr>
          <m:t>≤</m:t>
        </m:r>
        <m:sSub>
          <m:e>
            <m:r>
              <m:t>t</m:t>
            </m:r>
          </m:e>
          <m:sub>
            <m:r>
              <m:t>i</m:t>
            </m:r>
          </m:sub>
        </m:sSub>
        <m:r>
          <m:rPr>
            <m:sty m:val="p"/>
          </m:rPr>
          <m:t>≤</m:t>
        </m:r>
        <m:r>
          <m:t>t</m:t>
        </m:r>
      </m:oMath>
      <w:r>
        <w:rPr>
          <w:bCs/>
          <w:b/>
        </w:rPr>
        <w:t xml:space="preserve">).</w:t>
      </w:r>
      <w:r>
        <w:t xml:space="preserve"> </w:t>
      </w:r>
      <w:r>
        <w:t xml:space="preserve">Overnight rates already simulated on the path are used.</w:t>
      </w:r>
    </w:p>
    <w:p>
      <w:pPr>
        <w:numPr>
          <w:ilvl w:val="0"/>
          <w:numId w:val="1004"/>
        </w:numPr>
        <w:pStyle w:val="Compact"/>
      </w:pPr>
      <w:r>
        <w:rPr>
          <w:bCs/>
          <w:b/>
        </w:rPr>
        <w:t xml:space="preserve">Not yet fixed (</w:t>
      </w:r>
      <m:oMath>
        <m:sSub>
          <m:e>
            <m:r>
              <m:t>t</m:t>
            </m:r>
          </m:e>
          <m:sub>
            <m:r>
              <m:t>i</m:t>
            </m:r>
          </m:sub>
        </m:sSub>
        <m:r>
          <m:rPr>
            <m:sty m:val="p"/>
          </m:rPr>
          <m:t>&gt;</m:t>
        </m:r>
        <m:r>
          <m:t>t</m:t>
        </m:r>
      </m:oMath>
      <w:r>
        <w:rPr>
          <w:bCs/>
          <w:b/>
        </w:rPr>
        <w:t xml:space="preserve">).</w:t>
      </w:r>
      <w:r>
        <w:t xml:space="preserve"> </w:t>
      </w:r>
      <w:r>
        <w:t xml:space="preserve">Overnight rates are projected from the simulated curve at</w:t>
      </w:r>
      <w:r>
        <w:t xml:space="preserve"> </w:t>
      </w:r>
      <m:oMath>
        <m:r>
          <m:t>t</m:t>
        </m:r>
      </m:oMath>
      <w:r>
        <w:t xml:space="preserve">.</w:t>
      </w:r>
    </w:p>
    <w:p>
      <w:pPr>
        <w:pStyle w:val="FirstParagraph"/>
      </w:pPr>
      <w:r>
        <w:t xml:space="preserve">The coupon rate is formed by geometric compounding over the</w:t>
      </w:r>
      <w:r>
        <w:t xml:space="preserve"> </w:t>
      </w:r>
      <m:oMath>
        <m:r>
          <m:t>N</m:t>
        </m:r>
      </m:oMath>
      <w:r>
        <w:t xml:space="preserve"> </w:t>
      </w:r>
      <w:r>
        <w:t xml:space="preserve">overnight rates in the period:</w:t>
      </w:r>
    </w:p>
    <w:p>
      <w:pPr>
        <w:pStyle w:val="BodyText"/>
      </w:pPr>
      <m:oMathPara>
        <m:oMathParaPr>
          <m:jc m:val="center"/>
        </m:oMathParaPr>
        <m:oMath>
          <m:r>
            <m:t>R</m:t>
          </m:r>
          <m:d>
            <m:dPr>
              <m:begChr m:val="("/>
              <m:endChr m:val=")"/>
              <m:sepChr m:val=""/>
              <m:grow/>
            </m:dPr>
            <m:e>
              <m:r>
                <m:t>t</m:t>
              </m:r>
              <m:r>
                <m:rPr>
                  <m:sty m:val="p"/>
                </m:rPr>
                <m:t>,</m:t>
              </m:r>
              <m:sSub>
                <m:e>
                  <m:r>
                    <m:t>T</m:t>
                  </m:r>
                </m:e>
                <m:sub>
                  <m:r>
                    <m:t>s</m:t>
                  </m:r>
                  <m:r>
                    <m:t>t</m:t>
                  </m:r>
                  <m:r>
                    <m:t>a</m:t>
                  </m:r>
                  <m:r>
                    <m:t>r</m:t>
                  </m:r>
                  <m:r>
                    <m:t>t</m:t>
                  </m:r>
                </m:sub>
              </m:sSub>
              <m:r>
                <m:rPr>
                  <m:sty m:val="p"/>
                </m:rPr>
                <m:t>,</m:t>
              </m:r>
              <m:sSub>
                <m:e>
                  <m:r>
                    <m:t>T</m:t>
                  </m:r>
                </m:e>
                <m:sub>
                  <m:r>
                    <m:t>e</m:t>
                  </m:r>
                  <m:r>
                    <m:t>n</m:t>
                  </m:r>
                  <m:r>
                    <m:t>d</m:t>
                  </m:r>
                </m:sub>
              </m:sSub>
            </m:e>
          </m:d>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r</m:t>
                          </m:r>
                        </m:e>
                        <m:sub>
                          <m:sSub>
                            <m:e>
                              <m:r>
                                <m:t>t</m:t>
                              </m:r>
                            </m:e>
                            <m:sub>
                              <m:r>
                                <m:t>i</m:t>
                              </m:r>
                            </m:sub>
                          </m:sSub>
                        </m:sub>
                      </m:sSub>
                      <m:r>
                        <m:t> </m:t>
                      </m:r>
                      <m:sSub>
                        <m:e>
                          <m:r>
                            <m:t>τ</m:t>
                          </m:r>
                        </m:e>
                        <m:sub>
                          <m:r>
                            <m:t>i</m:t>
                          </m:r>
                        </m:sub>
                      </m:sSub>
                    </m:e>
                  </m:d>
                </m:e>
              </m:nary>
              <m:r>
                <m:rPr>
                  <m:sty m:val="p"/>
                </m:rPr>
                <m:t>−</m:t>
              </m:r>
              <m:r>
                <m:t>1</m:t>
              </m:r>
            </m:num>
            <m:den>
              <m:nary>
                <m:naryPr>
                  <m:chr m:val="∑"/>
                  <m:limLoc m:val="undOvr"/>
                  <m:subHide m:val="off"/>
                  <m:supHide m:val="off"/>
                </m:naryPr>
                <m:sub>
                  <m:r>
                    <m:t>i</m:t>
                  </m:r>
                  <m:r>
                    <m:rPr>
                      <m:sty m:val="p"/>
                    </m:rPr>
                    <m:t>=</m:t>
                  </m:r>
                  <m:r>
                    <m:t>1</m:t>
                  </m:r>
                </m:sub>
                <m:sup>
                  <m:r>
                    <m:t>N</m:t>
                  </m:r>
                </m:sup>
                <m:e>
                  <m:sSub>
                    <m:e>
                      <m:r>
                        <m:t>τ</m:t>
                      </m:r>
                    </m:e>
                    <m:sub>
                      <m:r>
                        <m:t>i</m:t>
                      </m:r>
                    </m:sub>
                  </m:sSub>
                </m:e>
              </m:nary>
            </m:den>
          </m:f>
        </m:oMath>
      </m:oMathPara>
    </w:p>
    <w:p>
      <w:pPr>
        <w:pStyle w:val="FirstParagraph"/>
      </w:pPr>
      <w:r>
        <w:t xml:space="preserve">When the simulation date falls inside an accrual period (</w:t>
      </w:r>
      <m:oMath>
        <m:sSub>
          <m:e>
            <m:r>
              <m:t>T</m:t>
            </m:r>
          </m:e>
          <m:sub>
            <m:r>
              <m:t>s</m:t>
            </m:r>
            <m:r>
              <m:t>t</m:t>
            </m:r>
            <m:r>
              <m:t>a</m:t>
            </m:r>
            <m:r>
              <m:t>r</m:t>
            </m:r>
            <m:r>
              <m:t>t</m:t>
            </m:r>
          </m:sub>
        </m:sSub>
        <m:r>
          <m:rPr>
            <m:sty m:val="p"/>
          </m:rPr>
          <m:t>&lt;</m:t>
        </m:r>
        <m:r>
          <m:t>t</m:t>
        </m:r>
        <m:r>
          <m:rPr>
            <m:sty m:val="p"/>
          </m:rPr>
          <m:t>&lt;</m:t>
        </m:r>
        <m:sSub>
          <m:e>
            <m:r>
              <m:t>T</m:t>
            </m:r>
          </m:e>
          <m:sub>
            <m:r>
              <m:t>e</m:t>
            </m:r>
            <m:r>
              <m:t>n</m:t>
            </m:r>
            <m:r>
              <m:t>d</m:t>
            </m:r>
          </m:sub>
        </m:sSub>
      </m:oMath>
      <w:r>
        <w:t xml:space="preserve">), the rate is partly fixed (overnight rates before</w:t>
      </w:r>
      <w:r>
        <w:t xml:space="preserve"> </w:t>
      </w:r>
      <m:oMath>
        <m:r>
          <m:t>t</m:t>
        </m:r>
      </m:oMath>
      <w:r>
        <w:t xml:space="preserve">) and partly projected (overnight rates after</w:t>
      </w:r>
      <w:r>
        <w:t xml:space="preserve"> </w:t>
      </w:r>
      <m:oMath>
        <m:r>
          <m:t>t</m:t>
        </m:r>
      </m:oMath>
      <w:r>
        <w:t xml:space="preserve">). This gives a clean split between accrued and future interest, consistent with market practice.</w:t>
      </w:r>
    </w:p>
    <w:p>
      <w:pPr>
        <w:pStyle w:val="BodyText"/>
      </w:pPr>
      <w:r>
        <w:rPr>
          <w:bCs/>
          <w:b/>
        </w:rPr>
        <w:t xml:space="preserve">Application to the autocall.</w:t>
      </w:r>
      <w:r>
        <w:t xml:space="preserve"> </w:t>
      </w:r>
      <w:r>
        <w:t xml:space="preserve">The autocall’s floating leg references a term rate (Section 4.1.1), not an overnight compounded rate. OIS fixings therefore do not affect the autocall. The OIS curve enters only through discounting, where it is simulated like any other curve.</w:t>
      </w:r>
    </w:p>
    <w:bookmarkEnd w:id="21"/>
    <w:bookmarkStart w:id="22" w:name="equity-fixings"/>
    <w:p>
      <w:pPr>
        <w:pStyle w:val="Heading2"/>
      </w:pPr>
      <w:r>
        <w:t xml:space="preserve">4.1.3 Equity Fixings</w:t>
      </w:r>
    </w:p>
    <w:p>
      <w:pPr>
        <w:pStyle w:val="FirstParagraph"/>
      </w:pPr>
      <w:r>
        <w:rPr>
          <w:bCs/>
          <w:b/>
        </w:rPr>
        <w:t xml:space="preserve">General mechanics.</w:t>
      </w:r>
      <w:r>
        <w:t xml:space="preserve"> </w:t>
      </w:r>
      <w:r>
        <w:t xml:space="preserve">Equity-linked cashflows depend on the price of the underlying on one or more fixing dates. The price is fixed on its fixing date</w:t>
      </w:r>
      <w:r>
        <w:t xml:space="preserve"> </w:t>
      </w:r>
      <m:oMath>
        <m:sSub>
          <m:e>
            <m:r>
              <m:t>T</m:t>
            </m:r>
          </m:e>
          <m:sub>
            <m:r>
              <m:t>f</m:t>
            </m:r>
            <m:r>
              <m:t>i</m:t>
            </m:r>
            <m:r>
              <m:t>x</m:t>
            </m:r>
          </m:sub>
        </m:sSub>
      </m:oMath>
      <w:r>
        <w:t xml:space="preserve">:</w:t>
      </w:r>
    </w:p>
    <w:p>
      <w:pPr>
        <w:numPr>
          <w:ilvl w:val="0"/>
          <w:numId w:val="1005"/>
        </w:numPr>
        <w:pStyle w:val="Compact"/>
      </w:pPr>
      <w:r>
        <w:rPr>
          <w:bCs/>
          <w:b/>
        </w:rPr>
        <w:t xml:space="preserve">Known (</w:t>
      </w:r>
      <m:oMath>
        <m:sSub>
          <m:e>
            <m:r>
              <m:t>T</m:t>
            </m:r>
          </m:e>
          <m:sub>
            <m:r>
              <m:t>f</m:t>
            </m:r>
            <m:r>
              <m:t>i</m:t>
            </m:r>
            <m:r>
              <m:t>x</m:t>
            </m:r>
          </m:sub>
        </m:sSub>
        <m:r>
          <m:rPr>
            <m:sty m:val="p"/>
          </m:rPr>
          <m:t>&lt;</m:t>
        </m:r>
        <m:sSub>
          <m:e>
            <m:r>
              <m:t>t</m:t>
            </m:r>
          </m:e>
          <m:sub>
            <m:r>
              <m:t>0</m:t>
            </m:r>
          </m:sub>
        </m:sSub>
      </m:oMath>
      <w:r>
        <w:rPr>
          <w:bCs/>
          <w:b/>
        </w:rPr>
        <w:t xml:space="preserve">).</w:t>
      </w:r>
      <w:r>
        <w:t xml:space="preserve"> </w:t>
      </w:r>
      <w:r>
        <w:t xml:space="preserve">The printed price is used as a locked-in value.</w:t>
      </w:r>
    </w:p>
    <w:p>
      <w:pPr>
        <w:numPr>
          <w:ilvl w:val="0"/>
          <w:numId w:val="1005"/>
        </w:numPr>
        <w:pStyle w:val="Compact"/>
      </w:pPr>
      <w:r>
        <w:rPr>
          <w:bCs/>
          <w:b/>
        </w:rPr>
        <w:t xml:space="preserve">Fixed on the path (</w:t>
      </w:r>
      <m:oMath>
        <m:sSub>
          <m:e>
            <m:r>
              <m:t>t</m:t>
            </m:r>
          </m:e>
          <m:sub>
            <m:r>
              <m:t>0</m:t>
            </m:r>
          </m:sub>
        </m:sSub>
        <m:r>
          <m:rPr>
            <m:sty m:val="p"/>
          </m:rPr>
          <m:t>≤</m:t>
        </m:r>
        <m:sSub>
          <m:e>
            <m:r>
              <m:t>T</m:t>
            </m:r>
          </m:e>
          <m:sub>
            <m:r>
              <m:t>f</m:t>
            </m:r>
            <m:r>
              <m:t>i</m:t>
            </m:r>
            <m:r>
              <m:t>x</m:t>
            </m:r>
          </m:sub>
        </m:sSub>
        <m:r>
          <m:rPr>
            <m:sty m:val="p"/>
          </m:rPr>
          <m:t>≤</m:t>
        </m:r>
        <m:r>
          <m:t>t</m:t>
        </m:r>
      </m:oMath>
      <w:r>
        <w:rPr>
          <w:bCs/>
          <w:b/>
        </w:rPr>
        <w:t xml:space="preserve">).</w:t>
      </w:r>
      <w:r>
        <w:t xml:space="preserve"> </w:t>
      </w:r>
      <w:r>
        <w:t xml:space="preserve">The price is read from the simulated equity path on the fixing date.</w:t>
      </w:r>
    </w:p>
    <w:p>
      <w:pPr>
        <w:numPr>
          <w:ilvl w:val="0"/>
          <w:numId w:val="1005"/>
        </w:numPr>
        <w:pStyle w:val="Compact"/>
      </w:pPr>
      <w:r>
        <w:rPr>
          <w:bCs/>
          <w:b/>
        </w:rPr>
        <w:t xml:space="preserve">Not yet fixed (</w:t>
      </w:r>
      <m:oMath>
        <m:sSub>
          <m:e>
            <m:r>
              <m:t>T</m:t>
            </m:r>
          </m:e>
          <m:sub>
            <m:r>
              <m:t>f</m:t>
            </m:r>
            <m:r>
              <m:t>i</m:t>
            </m:r>
            <m:r>
              <m:t>x</m:t>
            </m:r>
          </m:sub>
        </m:sSub>
        <m:r>
          <m:rPr>
            <m:sty m:val="p"/>
          </m:rPr>
          <m:t>&gt;</m:t>
        </m:r>
        <m:r>
          <m:t>t</m:t>
        </m:r>
      </m:oMath>
      <w:r>
        <w:rPr>
          <w:bCs/>
          <w:b/>
        </w:rPr>
        <w:t xml:space="preserve">).</w:t>
      </w:r>
      <w:r>
        <w:t xml:space="preserve"> </w:t>
      </w:r>
      <w:r>
        <w:t xml:space="preserve">For a payoff that depends on a single future price, the price is valued as an equity forward from the simulated spot, repo and dividend curves at</w:t>
      </w:r>
      <w:r>
        <w:t xml:space="preserve"> </w:t>
      </w:r>
      <m:oMath>
        <m:r>
          <m:t>t</m:t>
        </m:r>
      </m:oMath>
      <w:r>
        <w:t xml:space="preserve"> </w:t>
      </w:r>
      <w:r>
        <w:t xml:space="preserve">(Section 6.1.1).</w:t>
      </w:r>
    </w:p>
    <w:p>
      <w:pPr>
        <w:numPr>
          <w:ilvl w:val="0"/>
          <w:numId w:val="1005"/>
        </w:numPr>
        <w:pStyle w:val="Compact"/>
      </w:pPr>
      <w:r>
        <w:rPr>
          <w:bCs/>
          <w:b/>
        </w:rPr>
        <w:t xml:space="preserve">Fixed, not yet paid (</w:t>
      </w:r>
      <m:oMath>
        <m:sSub>
          <m:e>
            <m:r>
              <m:t>T</m:t>
            </m:r>
          </m:e>
          <m:sub>
            <m:r>
              <m:t>f</m:t>
            </m:r>
            <m:r>
              <m:t>i</m:t>
            </m:r>
            <m:r>
              <m:t>x</m:t>
            </m:r>
          </m:sub>
        </m:sSub>
        <m:r>
          <m:rPr>
            <m:sty m:val="p"/>
          </m:rPr>
          <m:t>≤</m:t>
        </m:r>
        <m:r>
          <m:t>t</m:t>
        </m:r>
        <m:r>
          <m:rPr>
            <m:sty m:val="p"/>
          </m:rPr>
          <m:t>&lt;</m:t>
        </m:r>
        <m:sSub>
          <m:e>
            <m:r>
              <m:t>T</m:t>
            </m:r>
          </m:e>
          <m:sub>
            <m:r>
              <m:t>p</m:t>
            </m:r>
            <m:r>
              <m:t>a</m:t>
            </m:r>
            <m:r>
              <m:t>y</m:t>
            </m:r>
          </m:sub>
        </m:sSub>
      </m:oMath>
      <w:r>
        <w:rPr>
          <w:bCs/>
          <w:b/>
        </w:rPr>
        <w:t xml:space="preserve">).</w:t>
      </w:r>
      <w:r>
        <w:t xml:space="preserve"> </w:t>
      </w:r>
      <w:r>
        <w:t xml:space="preserve">The return is known; the payment is discounted.</w:t>
      </w:r>
    </w:p>
    <w:p>
      <w:pPr>
        <w:pStyle w:val="FirstParagraph"/>
      </w:pPr>
      <w:r>
        <w:rPr>
          <w:bCs/>
          <w:b/>
        </w:rPr>
        <w:t xml:space="preserve">Application to the autocall.</w:t>
      </w:r>
      <w:r>
        <w:t xml:space="preserve"> </w:t>
      </w:r>
      <w:r>
        <w:t xml:space="preserve">The autocall’s equity fixings are the closes on its observation dates (the autocall trigger) and its barrier dates (the put knock-in). On each observation date the note autocalls if the close is at or above the trigger</w:t>
      </w:r>
      <w:r>
        <w:t xml:space="preserve"> </w:t>
      </w:r>
      <m:oMath>
        <m:sSub>
          <m:e>
            <m:r>
              <m:t>H</m:t>
            </m:r>
          </m:e>
          <m:sub>
            <m:sSub>
              <m:e>
                <m:r>
                  <m:t>T</m:t>
                </m:r>
              </m:e>
              <m:sub>
                <m:r>
                  <m:t>i</m:t>
                </m:r>
              </m:sub>
            </m:sSub>
          </m:sub>
        </m:sSub>
      </m:oMath>
      <w:r>
        <w:t xml:space="preserve">; the coupon is then paid on the later payment date.</w:t>
      </w:r>
    </w:p>
    <w:p>
      <w:pPr>
        <w:numPr>
          <w:ilvl w:val="0"/>
          <w:numId w:val="1006"/>
        </w:numPr>
        <w:pStyle w:val="Compact"/>
      </w:pPr>
      <w:r>
        <w:rPr>
          <w:bCs/>
          <w:b/>
        </w:rPr>
        <w:t xml:space="preserve">Known.</w:t>
      </w:r>
      <w:r>
        <w:t xml:space="preserve"> </w:t>
      </w:r>
      <w:r>
        <w:t xml:space="preserve">The printed close (Price_Fixing) is used. If the note has already autocalled on a printed close, it ended before the base date and is removed from the simulation. A coupon that has fixed but not yet been paid is decided on its print.</w:t>
      </w:r>
    </w:p>
    <w:p>
      <w:pPr>
        <w:numPr>
          <w:ilvl w:val="0"/>
          <w:numId w:val="1006"/>
        </w:numPr>
        <w:pStyle w:val="Compact"/>
      </w:pPr>
      <w:r>
        <w:rPr>
          <w:bCs/>
          <w:b/>
        </w:rPr>
        <w:t xml:space="preserve">Fixed on the path.</w:t>
      </w:r>
      <w:r>
        <w:t xml:space="preserve"> </w:t>
      </w:r>
      <w:r>
        <w:t xml:space="preserve">The close is read from the simulated path on the fixing date, which is always on the simulation grid. A path that autocalls pays its coupon once and is worth zero from then on. A barrier breach is recorded on the path. This history is carried forward from one simulation date to the next.</w:t>
      </w:r>
    </w:p>
    <w:p>
      <w:pPr>
        <w:numPr>
          <w:ilvl w:val="0"/>
          <w:numId w:val="1006"/>
        </w:numPr>
        <w:pStyle w:val="Compact"/>
      </w:pPr>
      <w:r>
        <w:rPr>
          <w:bCs/>
          <w:b/>
        </w:rPr>
        <w:t xml:space="preserve">Not yet fixed.</w:t>
      </w:r>
      <w:r>
        <w:t xml:space="preserve"> </w:t>
      </w:r>
      <w:r>
        <w:t xml:space="preserve">This is where the autocall differs from a plain equity cashflow. Its payoff depends on the</w:t>
      </w:r>
      <w:r>
        <w:t xml:space="preserve"> </w:t>
      </w:r>
      <w:r>
        <w:rPr>
          <w:bCs/>
          <w:b/>
        </w:rPr>
        <w:t xml:space="preserve">whole sequence</w:t>
      </w:r>
      <w:r>
        <w:t xml:space="preserve"> </w:t>
      </w:r>
      <w:r>
        <w:t xml:space="preserve">of future closes, because each coupon is paid only if no earlier coupon has autocalled. A single forward price cannot capture this. Instead, an inner Monte Carlo simulates the remaining closes from each scenario at</w:t>
      </w:r>
      <w:r>
        <w:t xml:space="preserve"> </w:t>
      </w:r>
      <m:oMath>
        <m:r>
          <m:t>t</m:t>
        </m:r>
      </m:oMath>
      <w:r>
        <w:t xml:space="preserve">. It uses that scenario’s spot, repo and dividend curves (and the quanto drift of Section 7.4). The volatility is read from the implied surface at the level each decision tests: the trigger for the coupons and the put strike for the put leg (Section 9.2). At each future observation date it computes the probability that the note survives, books the coupon weighted by the probability of autocalling, and continues only the surviving path (One-Step Survival, Section 10).</w:t>
      </w:r>
    </w:p>
    <w:p>
      <w:pPr>
        <w:numPr>
          <w:ilvl w:val="0"/>
          <w:numId w:val="1006"/>
        </w:numPr>
        <w:pStyle w:val="Compact"/>
      </w:pPr>
      <w:r>
        <w:rPr>
          <w:bCs/>
          <w:b/>
        </w:rPr>
        <w:t xml:space="preserve">Fixed, not yet paid.</w:t>
      </w:r>
      <w:r>
        <w:t xml:space="preserve"> </w:t>
      </w:r>
      <w:r>
        <w:t xml:space="preserve">The outcome is known on the path, so the coupon is either a known amount or zero, discounted to its payment date.</w:t>
      </w:r>
    </w:p>
    <w:p>
      <w:pPr>
        <w:pStyle w:val="FirstParagraph"/>
      </w:pPr>
      <w:r>
        <w:rPr>
          <w:bCs/>
          <w:b/>
        </w:rPr>
        <w:t xml:space="preserve">Booked put leg.</w:t>
      </w:r>
      <w:r>
        <w:t xml:space="preserve"> </w:t>
      </w:r>
      <w:r>
        <w:t xml:space="preserve">The European put and European digital depend on the single close at maturity. They are therefore valued in closed form on the scenario’s forward, with the volatility read at the strike. The up-and-in contras depend on the closes on the observation dates and follow the regions above:</w:t>
      </w:r>
    </w:p>
    <w:p>
      <w:pPr>
        <w:numPr>
          <w:ilvl w:val="0"/>
          <w:numId w:val="1007"/>
        </w:numPr>
        <w:pStyle w:val="Compact"/>
      </w:pPr>
      <w:r>
        <w:rPr>
          <w:bCs/>
          <w:b/>
        </w:rPr>
        <w:t xml:space="preserve">Known.</w:t>
      </w:r>
      <w:r>
        <w:t xml:space="preserve"> </w:t>
      </w:r>
      <w:r>
        <w:t xml:space="preserve">If an observed close is at or above the barrier, the contra has knocked in and becomes the corresponding European.</w:t>
      </w:r>
    </w:p>
    <w:p>
      <w:pPr>
        <w:numPr>
          <w:ilvl w:val="0"/>
          <w:numId w:val="1007"/>
        </w:numPr>
        <w:pStyle w:val="Compact"/>
      </w:pPr>
      <w:r>
        <w:rPr>
          <w:bCs/>
          <w:b/>
        </w:rPr>
        <w:t xml:space="preserve">Fixed on the path.</w:t>
      </w:r>
      <w:r>
        <w:t xml:space="preserve"> </w:t>
      </w:r>
      <w:r>
        <w:t xml:space="preserve">A simulated close strictly above the barrier knocks the contra in; from then on it is valued as the European.</w:t>
      </w:r>
    </w:p>
    <w:p>
      <w:pPr>
        <w:numPr>
          <w:ilvl w:val="0"/>
          <w:numId w:val="1007"/>
        </w:numPr>
        <w:pStyle w:val="Compact"/>
      </w:pPr>
      <w:r>
        <w:rPr>
          <w:bCs/>
          <w:b/>
        </w:rPr>
        <w:t xml:space="preserve">Not yet fixed.</w:t>
      </w:r>
      <w:r>
        <w:t xml:space="preserve"> </w:t>
      </w:r>
      <w:r>
        <w:t xml:space="preserve">The contra is priced by in–out parity: the European less the knocked-out option, with the knock-out simulated by the same inner One-Step Survival Monte Carlo.</w:t>
      </w:r>
    </w:p>
    <w:bookmarkEnd w:id="22"/>
    <w:bookmarkStart w:id="23" w:name="fx-reset-fixings"/>
    <w:p>
      <w:pPr>
        <w:pStyle w:val="Heading2"/>
      </w:pPr>
      <w:r>
        <w:t xml:space="preserve">4.1.6 FX Reset Fixings</w:t>
      </w:r>
    </w:p>
    <w:p>
      <w:pPr>
        <w:pStyle w:val="FirstParagraph"/>
      </w:pPr>
      <w:r>
        <w:rPr>
          <w:bCs/>
          <w:b/>
        </w:rPr>
        <w:t xml:space="preserve">General mechanics.</w:t>
      </w:r>
      <w:r>
        <w:t xml:space="preserve"> </w:t>
      </w:r>
      <w:r>
        <w:t xml:space="preserve">FX resets are common in mark-to-market cross-currency swaps and other instruments where a notional or cashflow is periodically reset using an FX rate. The FX rate is fixed on its reset date</w:t>
      </w:r>
      <w:r>
        <w:t xml:space="preserve"> </w:t>
      </w:r>
      <m:oMath>
        <m:sSub>
          <m:e>
            <m:r>
              <m:t>T</m:t>
            </m:r>
          </m:e>
          <m:sub>
            <m:r>
              <m:t>f</m:t>
            </m:r>
            <m:r>
              <m:t>i</m:t>
            </m:r>
            <m:r>
              <m:t>x</m:t>
            </m:r>
          </m:sub>
        </m:sSub>
      </m:oMath>
      <w:r>
        <w:t xml:space="preserve">:</w:t>
      </w:r>
    </w:p>
    <w:p>
      <w:pPr>
        <w:numPr>
          <w:ilvl w:val="0"/>
          <w:numId w:val="1008"/>
        </w:numPr>
        <w:pStyle w:val="Compact"/>
      </w:pPr>
      <w:r>
        <w:rPr>
          <w:bCs/>
          <w:b/>
        </w:rPr>
        <w:t xml:space="preserve">Known (</w:t>
      </w:r>
      <m:oMath>
        <m:sSub>
          <m:e>
            <m:r>
              <m:t>T</m:t>
            </m:r>
          </m:e>
          <m:sub>
            <m:r>
              <m:t>f</m:t>
            </m:r>
            <m:r>
              <m:t>i</m:t>
            </m:r>
            <m:r>
              <m:t>x</m:t>
            </m:r>
          </m:sub>
        </m:sSub>
        <m:r>
          <m:rPr>
            <m:sty m:val="p"/>
          </m:rPr>
          <m:t>&lt;</m:t>
        </m:r>
        <m:sSub>
          <m:e>
            <m:r>
              <m:t>t</m:t>
            </m:r>
          </m:e>
          <m:sub>
            <m:r>
              <m:t>0</m:t>
            </m:r>
          </m:sub>
        </m:sSub>
      </m:oMath>
      <w:r>
        <w:rPr>
          <w:bCs/>
          <w:b/>
        </w:rPr>
        <w:t xml:space="preserve">).</w:t>
      </w:r>
      <w:r>
        <w:t xml:space="preserve"> </w:t>
      </w:r>
      <w:r>
        <w:t xml:space="preserve">The published FX rate is used.</w:t>
      </w:r>
    </w:p>
    <w:p>
      <w:pPr>
        <w:numPr>
          <w:ilvl w:val="0"/>
          <w:numId w:val="1008"/>
        </w:numPr>
        <w:pStyle w:val="Compact"/>
      </w:pPr>
      <w:r>
        <w:rPr>
          <w:bCs/>
          <w:b/>
        </w:rPr>
        <w:t xml:space="preserve">Fixed on the path (</w:t>
      </w:r>
      <m:oMath>
        <m:sSub>
          <m:e>
            <m:r>
              <m:t>t</m:t>
            </m:r>
          </m:e>
          <m:sub>
            <m:r>
              <m:t>0</m:t>
            </m:r>
          </m:sub>
        </m:sSub>
        <m:r>
          <m:rPr>
            <m:sty m:val="p"/>
          </m:rPr>
          <m:t>≤</m:t>
        </m:r>
        <m:sSub>
          <m:e>
            <m:r>
              <m:t>T</m:t>
            </m:r>
          </m:e>
          <m:sub>
            <m:r>
              <m:t>f</m:t>
            </m:r>
            <m:r>
              <m:t>i</m:t>
            </m:r>
            <m:r>
              <m:t>x</m:t>
            </m:r>
          </m:sub>
        </m:sSub>
        <m:r>
          <m:rPr>
            <m:sty m:val="p"/>
          </m:rPr>
          <m:t>≤</m:t>
        </m:r>
        <m:r>
          <m:t>t</m:t>
        </m:r>
      </m:oMath>
      <w:r>
        <w:rPr>
          <w:bCs/>
          <w:b/>
        </w:rPr>
        <w:t xml:space="preserve">).</w:t>
      </w:r>
      <w:r>
        <w:t xml:space="preserve"> </w:t>
      </w:r>
      <w:r>
        <w:t xml:space="preserve">The simulated FX spot on the reset date is used.</w:t>
      </w:r>
    </w:p>
    <w:p>
      <w:pPr>
        <w:numPr>
          <w:ilvl w:val="0"/>
          <w:numId w:val="1008"/>
        </w:numPr>
        <w:pStyle w:val="Compact"/>
      </w:pPr>
      <w:r>
        <w:rPr>
          <w:bCs/>
          <w:b/>
        </w:rPr>
        <w:t xml:space="preserve">Not yet fixed (</w:t>
      </w:r>
      <m:oMath>
        <m:sSub>
          <m:e>
            <m:r>
              <m:t>T</m:t>
            </m:r>
          </m:e>
          <m:sub>
            <m:r>
              <m:t>f</m:t>
            </m:r>
            <m:r>
              <m:t>i</m:t>
            </m:r>
            <m:r>
              <m:t>x</m:t>
            </m:r>
          </m:sub>
        </m:sSub>
        <m:r>
          <m:rPr>
            <m:sty m:val="p"/>
          </m:rPr>
          <m:t>&gt;</m:t>
        </m:r>
        <m:r>
          <m:t>t</m:t>
        </m:r>
      </m:oMath>
      <w:r>
        <w:rPr>
          <w:bCs/>
          <w:b/>
        </w:rPr>
        <w:t xml:space="preserve">).</w:t>
      </w:r>
      <w:r>
        <w:t xml:space="preserve"> </w:t>
      </w:r>
      <w:r>
        <w:t xml:space="preserve">The FX forward from the simulated spot and the two currencies’ curves at</w:t>
      </w:r>
      <w:r>
        <w:t xml:space="preserve"> </w:t>
      </w:r>
      <m:oMath>
        <m:r>
          <m:t>t</m:t>
        </m:r>
      </m:oMath>
      <w:r>
        <w:t xml:space="preserve"> </w:t>
      </w:r>
      <w:r>
        <w:t xml:space="preserve">is used (Section 6.1.2).</w:t>
      </w:r>
    </w:p>
    <w:p>
      <w:pPr>
        <w:pStyle w:val="FirstParagraph"/>
      </w:pPr>
      <w:r>
        <w:rPr>
          <w:bCs/>
          <w:b/>
        </w:rPr>
        <w:t xml:space="preserve">Application to the autocall.</w:t>
      </w:r>
      <w:r>
        <w:t xml:space="preserve"> </w:t>
      </w:r>
      <w:r>
        <w:t xml:space="preserve">The quanto autocall references a EUR equity (SX5E) and pays in ZAR at a conversion rate fixed in the contract (FixFXRate). It therefore has</w:t>
      </w:r>
      <w:r>
        <w:t xml:space="preserve"> </w:t>
      </w:r>
      <w:r>
        <w:rPr>
          <w:bCs/>
          <w:b/>
        </w:rPr>
        <w:t xml:space="preserve">no FX reset or FX fixing</w:t>
      </w:r>
      <w:r>
        <w:t xml:space="preserve"> </w:t>
      </w:r>
      <w:r>
        <w:t xml:space="preserve">in any region. FX enters the valuation in two ways, neither of which is a fixing:</w:t>
      </w:r>
    </w:p>
    <w:p>
      <w:pPr>
        <w:numPr>
          <w:ilvl w:val="0"/>
          <w:numId w:val="1009"/>
        </w:numPr>
        <w:pStyle w:val="Compact"/>
      </w:pPr>
      <w:r>
        <w:rPr>
          <w:bCs/>
          <w:b/>
        </w:rPr>
        <w:t xml:space="preserve">Quanto drift adjustment.</w:t>
      </w:r>
      <w:r>
        <w:t xml:space="preserve"> </w:t>
      </w:r>
      <w:r>
        <w:t xml:space="preserve">The equity carry over each interval is adjusted by</w:t>
      </w:r>
      <w:r>
        <w:t xml:space="preserve"> </w:t>
      </w:r>
      <m:oMath>
        <m:r>
          <m:rPr>
            <m:sty m:val="p"/>
          </m:rPr>
          <m:t>−</m:t>
        </m:r>
        <m:sSub>
          <m:e>
            <m:r>
              <m:t>ρ</m:t>
            </m:r>
          </m:e>
          <m:sub>
            <m:r>
              <m:t>S</m:t>
            </m:r>
            <m:r>
              <m:t>X</m:t>
            </m:r>
          </m:sub>
        </m:sSub>
        <m:r>
          <m:t> </m:t>
        </m:r>
        <m:sSub>
          <m:e>
            <m:r>
              <m:t>σ</m:t>
            </m:r>
          </m:e>
          <m:sub>
            <m:r>
              <m:t>S</m:t>
            </m:r>
          </m:sub>
        </m:sSub>
        <m:r>
          <m:t> </m:t>
        </m:r>
        <m:sSub>
          <m:e>
            <m:r>
              <m:t>σ</m:t>
            </m:r>
          </m:e>
          <m:sub>
            <m:r>
              <m:t>X</m:t>
            </m:r>
          </m:sub>
        </m:sSub>
      </m:oMath>
      <w:r>
        <w:t xml:space="preserve"> </w:t>
      </w:r>
      <w:r>
        <w:t xml:space="preserve">(Section 7.4). This reflects the correlation between the equity and the exchange rate under the ZAR measure.</w:t>
      </w:r>
    </w:p>
    <w:p>
      <w:pPr>
        <w:numPr>
          <w:ilvl w:val="0"/>
          <w:numId w:val="1009"/>
        </w:numPr>
        <w:pStyle w:val="Compact"/>
      </w:pPr>
      <w:r>
        <w:rPr>
          <w:bCs/>
          <w:b/>
        </w:rPr>
        <w:t xml:space="preserve">Conversion to the reporting currency.</w:t>
      </w:r>
      <w:r>
        <w:t xml:space="preserve"> </w:t>
      </w:r>
      <w:r>
        <w:t xml:space="preserve">Where the payoff currency differs from the reporting currency, the value at</w:t>
      </w:r>
      <w:r>
        <w:t xml:space="preserve"> </w:t>
      </w:r>
      <m:oMath>
        <m:r>
          <m:t>t</m:t>
        </m:r>
      </m:oMath>
      <w:r>
        <w:t xml:space="preserve"> </w:t>
      </w:r>
      <w:r>
        <w:t xml:space="preserve">is converted at the simulated FX spot at</w:t>
      </w:r>
      <w:r>
        <w:t xml:space="preserve"> </w:t>
      </w:r>
      <m:oMath>
        <m:r>
          <m:t>t</m:t>
        </m:r>
      </m:oMath>
      <w:r>
        <w:t xml:space="preserve">. This is a conversion on the valuation date, not a fixing.</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2026-10-26T13:02:24Z</dcterms:created>
  <dcterms:modified xsi:type="dcterms:W3CDTF">2026-10-26T13:02:24Z</dcterms:modified>
</cp:coreProperties>
</file>

<file path=docProps/custom.xml><?xml version="1.0" encoding="utf-8"?>
<Properties xmlns="http://schemas.openxmlformats.org/officeDocument/2006/custom-properties" xmlns:vt="http://schemas.openxmlformats.org/officeDocument/2006/docPropsVTypes"/>
</file>