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8a731a8f19434588e381d7ebcbee994dcfeb9b"/>
    <w:p>
      <w:pPr>
        <w:pStyle w:val="Heading2"/>
      </w:pPr>
      <w:r>
        <w:t xml:space="preserve">Addition to Section 4.1 (replaces the paragraph below Table 2)</w:t>
      </w:r>
    </w:p>
    <w:p>
      <w:pPr>
        <w:pStyle w:val="FirstParagraph"/>
      </w:pPr>
      <w:r>
        <w:t xml:space="preserve">For path-dependent instruments such as the autocallable swap, every fixing, coupon, barrier and payment date of the deal is added to the simulation grid (Dynamic_Scenario_Dates). Each fixing that falls within the simulation horizon is therefore read from the simulated path on its exact date and is never interpolated.</w:t>
      </w:r>
    </w:p>
    <w:p>
      <w:pPr>
        <w:pStyle w:val="BodyText"/>
      </w:pPr>
      <w:r>
        <w:t xml:space="preserve">Interpolation applies only to the instrument’s mark-to-market (MTM). RiskFlow values each deal on its own pricing grid, which is the base time grid plus the deal’s own dates. On any other exposure date, the deal’s MTM is interpolated linearly between the two neighbouring pricing dates. For a path-dependent deal, an interpolated value does not reflect an autocall, knock-in or cash payment that occurs between those two dates.</w:t>
      </w:r>
    </w:p>
    <w:p>
      <w:pPr>
        <w:pStyle w:val="BodyText"/>
      </w:pPr>
      <w:r>
        <w:t xml:space="preserve">Table 3 summarises how each of the autocall’s risk factors is fixed. Section 4.1.7 sets out the treatment specific to the autocall.</w:t>
      </w:r>
    </w:p>
    <w:p>
      <w:pPr>
        <w:pStyle w:val="BodyText"/>
      </w:pPr>
      <w:r>
        <w:rPr>
          <w:bCs/>
          <w:b/>
        </w:rPr>
        <w:t xml:space="preserve">Table 3: Fixing treatment for the autocall’s risk factors</w:t>
      </w:r>
    </w:p>
    <w:p>
      <w:pPr>
        <w:pStyle w:val="BodyText"/>
      </w:pPr>
      <w:r>
        <w:t xml:space="preserve">Notation:</w:t>
      </w:r>
      <w:r>
        <w:t xml:space="preserve"> </w:t>
      </w:r>
      <m:oMath>
        <m:sSub>
          <m:e>
            <m:r>
              <m:t>t</m:t>
            </m:r>
          </m:e>
          <m:sub>
            <m:r>
              <m:t>0</m:t>
            </m:r>
          </m:sub>
        </m:sSub>
      </m:oMath>
      <w:r>
        <w:t xml:space="preserve"> </w:t>
      </w:r>
      <w:r>
        <w:t xml:space="preserve">is the base date,</w:t>
      </w:r>
      <w:r>
        <w:t xml:space="preserve"> </w:t>
      </w:r>
      <m:oMath>
        <m:r>
          <m:t>t</m:t>
        </m:r>
      </m:oMath>
      <w:r>
        <w:t xml:space="preserve"> </w:t>
      </w:r>
      <w:r>
        <w:t xml:space="preserve">the simulation date,</w:t>
      </w:r>
      <w:r>
        <w:t xml:space="preserve"> </w:t>
      </w:r>
      <m:oMath>
        <m:sSub>
          <m:e>
            <m:r>
              <m:t>T</m:t>
            </m:r>
          </m:e>
          <m:sub>
            <m:r>
              <m:t>f</m:t>
            </m:r>
            <m:r>
              <m:t>i</m:t>
            </m:r>
            <m:r>
              <m:t>x</m:t>
            </m:r>
          </m:sub>
        </m:sSub>
      </m:oMath>
      <w:r>
        <w:t xml:space="preserve"> </w:t>
      </w:r>
      <w:r>
        <w:t xml:space="preserve">the fixing date and</w:t>
      </w:r>
      <w:r>
        <w:t xml:space="preserve"> </w:t>
      </w:r>
      <m:oMath>
        <m:sSub>
          <m:e>
            <m:r>
              <m:t>T</m:t>
            </m:r>
          </m:e>
          <m:sub>
            <m:r>
              <m:t>p</m:t>
            </m:r>
            <m:r>
              <m:t>a</m:t>
            </m:r>
            <m:r>
              <m:t>y</m:t>
            </m:r>
          </m:sub>
        </m:sSub>
      </m:oMath>
      <w:r>
        <w:t xml:space="preserve"> </w:t>
      </w:r>
      <w:r>
        <w:t xml:space="preserve">the payment date.</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jc w:val="left"/>
            </w:pPr>
            <w:r>
              <w:rPr>
                <w:sz w:val="18"/>
              </w:rPr>
              <w:t xml:space="preserve">Risk factor</w:t>
            </w:r>
          </w:p>
        </w:tc>
        <w:tc>
          <w:tcPr/>
          <w:p>
            <w:pPr>
              <w:pStyle w:val="Compact"/>
              <w:jc w:val="left"/>
            </w:pPr>
            <w:r>
              <w:rPr>
                <w:sz w:val="18"/>
              </w:rPr>
              <w:t xml:space="preserve">What is fixed</w:t>
            </w:r>
          </w:p>
        </w:tc>
        <w:tc>
          <w:tcPr/>
          <w:p>
            <w:pPr>
              <w:pStyle w:val="Compact"/>
              <w:jc w:val="left"/>
            </w:pPr>
            <w:r>
              <w:rPr>
                <w:sz w:val="18"/>
              </w:rPr>
              <w:t xml:space="preserve">Past fixing (</w:t>
            </w:r>
            <m:oMath>
              <m:sSub>
                <m:e>
                  <m:r>
                    <m:t>T</m:t>
                  </m:r>
                </m:e>
                <m:sub>
                  <m:r>
                    <m:t>f</m:t>
                  </m:r>
                  <m:r>
                    <m:t>i</m:t>
                  </m:r>
                  <m:r>
                    <m:t>x</m:t>
                  </m:r>
                </m:sub>
              </m:sSub>
              <m:r>
                <m:rPr>
                  <m:sty m:val="p"/>
                </m:rPr>
                <m:t>&lt;</m:t>
              </m:r>
              <m:sSub>
                <m:e>
                  <m:r>
                    <m:t>t</m:t>
                  </m:r>
                </m:e>
                <m:sub>
                  <m:r>
                    <m:t>0</m:t>
                  </m:r>
                </m:sub>
              </m:sSub>
            </m:oMath>
            <w:r>
              <w:rPr>
                <w:sz w:val="18"/>
              </w:rPr>
              <w:t xml:space="preserve">)</w:t>
            </w:r>
          </w:p>
        </w:tc>
        <w:tc>
          <w:tcPr/>
          <w:p>
            <w:pPr>
              <w:pStyle w:val="Compact"/>
              <w:jc w:val="left"/>
            </w:pPr>
            <w:r>
              <w:rPr>
                <w:sz w:val="18"/>
              </w:rPr>
              <w:t xml:space="preserve">Fixed on the path (</w:t>
            </w:r>
            <m:oMath>
              <m:sSub>
                <m:e>
                  <m:r>
                    <m:t>t</m:t>
                  </m:r>
                </m:e>
                <m:sub>
                  <m:r>
                    <m:t>0</m:t>
                  </m:r>
                </m:sub>
              </m:sSub>
              <m:r>
                <m:rPr>
                  <m:sty m:val="p"/>
                </m:rPr>
                <m:t>≤</m:t>
              </m:r>
              <m:sSub>
                <m:e>
                  <m:r>
                    <m:t>T</m:t>
                  </m:r>
                </m:e>
                <m:sub>
                  <m:r>
                    <m:t>f</m:t>
                  </m:r>
                  <m:r>
                    <m:t>i</m:t>
                  </m:r>
                  <m:r>
                    <m:t>x</m:t>
                  </m:r>
                </m:sub>
              </m:sSub>
              <m:r>
                <m:rPr>
                  <m:sty m:val="p"/>
                </m:rPr>
                <m:t>≤</m:t>
              </m:r>
              <m:r>
                <m:t>t</m:t>
              </m:r>
            </m:oMath>
            <w:r>
              <w:rPr>
                <w:sz w:val="18"/>
              </w:rPr>
              <w:t xml:space="preserve">)</w:t>
            </w:r>
          </w:p>
        </w:tc>
        <w:tc>
          <w:tcPr/>
          <w:p>
            <w:pPr>
              <w:pStyle w:val="Compact"/>
              <w:jc w:val="left"/>
            </w:pPr>
            <w:r>
              <w:rPr>
                <w:sz w:val="18"/>
              </w:rPr>
              <w:t xml:space="preserve">Future fixing (</w:t>
            </w:r>
            <m:oMath>
              <m:sSub>
                <m:e>
                  <m:r>
                    <m:t>T</m:t>
                  </m:r>
                </m:e>
                <m:sub>
                  <m:r>
                    <m:t>f</m:t>
                  </m:r>
                  <m:r>
                    <m:t>i</m:t>
                  </m:r>
                  <m:r>
                    <m:t>x</m:t>
                  </m:r>
                </m:sub>
              </m:sSub>
              <m:r>
                <m:rPr>
                  <m:sty m:val="p"/>
                </m:rPr>
                <m:t>&gt;</m:t>
              </m:r>
              <m:r>
                <m:t>t</m:t>
              </m:r>
            </m:oMath>
            <w:r>
              <w:rPr>
                <w:sz w:val="18"/>
              </w:rPr>
              <w:t xml:space="preserve">)</w:t>
            </w:r>
          </w:p>
        </w:tc>
        <w:tc>
          <w:tcPr/>
          <w:p>
            <w:pPr>
              <w:pStyle w:val="Compact"/>
              <w:jc w:val="left"/>
            </w:pPr>
            <w:r>
              <w:rPr>
                <w:sz w:val="18"/>
              </w:rPr>
              <w:t xml:space="preserve">Fixed, not yet paid (</w:t>
            </w:r>
            <m:oMath>
              <m:sSub>
                <m:e>
                  <m:r>
                    <m:t>T</m:t>
                  </m:r>
                </m:e>
                <m:sub>
                  <m:r>
                    <m:t>f</m:t>
                  </m:r>
                  <m:r>
                    <m:t>i</m:t>
                  </m:r>
                  <m:r>
                    <m:t>x</m:t>
                  </m:r>
                </m:sub>
              </m:sSub>
              <m:r>
                <m:rPr>
                  <m:sty m:val="p"/>
                </m:rPr>
                <m:t>≤</m:t>
              </m:r>
              <m:r>
                <m:t>t</m:t>
              </m:r>
              <m:r>
                <m:rPr>
                  <m:sty m:val="p"/>
                </m:rPr>
                <m:t>&lt;</m:t>
              </m:r>
              <m:sSub>
                <m:e>
                  <m:r>
                    <m:t>T</m:t>
                  </m:r>
                </m:e>
                <m:sub>
                  <m:r>
                    <m:t>p</m:t>
                  </m:r>
                  <m:r>
                    <m:t>a</m:t>
                  </m:r>
                  <m:r>
                    <m:t>y</m:t>
                  </m:r>
                </m:sub>
              </m:sSub>
            </m:oMath>
            <w:r>
              <w:rPr>
                <w:sz w:val="18"/>
              </w:rPr>
              <w:t xml:space="preserve">)</w:t>
            </w:r>
          </w:p>
        </w:tc>
      </w:tr>
      <w:tr>
        <w:tc>
          <w:tcPr/>
          <w:p>
            <w:pPr>
              <w:pStyle w:val="Compact"/>
              <w:jc w:val="left"/>
            </w:pPr>
            <w:r>
              <w:rPr>
                <w:sz w:val="18"/>
              </w:rPr>
              <w:t xml:space="preserve">Equity (autocall and put leg)</w:t>
            </w:r>
          </w:p>
        </w:tc>
        <w:tc>
          <w:tcPr/>
          <w:p>
            <w:pPr>
              <w:pStyle w:val="Compact"/>
              <w:jc w:val="left"/>
            </w:pPr>
            <w:r>
              <w:rPr>
                <w:sz w:val="18"/>
              </w:rPr>
              <w:t xml:space="preserve">The close on each coupon fixing date (autocall trigger) and each barrier date (put knock-in)</w:t>
            </w:r>
          </w:p>
        </w:tc>
        <w:tc>
          <w:tcPr/>
          <w:p>
            <w:pPr>
              <w:pStyle w:val="Compact"/>
              <w:jc w:val="left"/>
            </w:pPr>
            <w:r>
              <w:rPr>
                <w:sz w:val="18"/>
              </w:rPr>
              <w:t xml:space="preserve">The printed close (Price_Fixing). If a coupon has already autocalled, the deal has expired and is removed</w:t>
            </w:r>
          </w:p>
        </w:tc>
        <w:tc>
          <w:tcPr/>
          <w:p>
            <w:pPr>
              <w:pStyle w:val="Compact"/>
              <w:jc w:val="left"/>
            </w:pPr>
            <w:r>
              <w:rPr>
                <w:sz w:val="18"/>
              </w:rPr>
              <w:t xml:space="preserve">The simulated close on the fixing date. An autocall ends the path; a barrier breach is recorded</w:t>
            </w:r>
          </w:p>
        </w:tc>
        <w:tc>
          <w:tcPr/>
          <w:p>
            <w:pPr>
              <w:pStyle w:val="Compact"/>
              <w:jc w:val="left"/>
            </w:pPr>
            <w:r>
              <w:rPr>
                <w:sz w:val="18"/>
              </w:rPr>
              <w:t xml:space="preserve">Simulated by an inner Monte Carlo from the scenario at</w:t>
            </w:r>
            <w:r>
              <w:rPr>
                <w:sz w:val="18"/>
              </w:rPr>
              <w:t xml:space="preserve"> </w:t>
            </w:r>
            <m:oMath>
              <m:r>
                <m:t>t</m:t>
              </m:r>
            </m:oMath>
            <w:r>
              <w:rPr>
                <w:sz w:val="18"/>
              </w:rPr>
              <w:t xml:space="preserve">, not replaced by a forward</w:t>
            </w:r>
          </w:p>
        </w:tc>
        <w:tc>
          <w:tcPr/>
          <w:p>
            <w:pPr>
              <w:pStyle w:val="Compact"/>
              <w:jc w:val="left"/>
            </w:pPr>
            <w:r>
              <w:rPr>
                <w:sz w:val="18"/>
              </w:rPr>
              <w:t xml:space="preserve">The outcome is known, so the cash amount is known and discounted to</w:t>
            </w:r>
            <w:r>
              <w:rPr>
                <w:sz w:val="18"/>
              </w:rPr>
              <w:t xml:space="preserve"> </w:t>
            </w:r>
            <m:oMath>
              <m:sSub>
                <m:e>
                  <m:r>
                    <m:t>T</m:t>
                  </m:r>
                </m:e>
                <m:sub>
                  <m:r>
                    <m:t>p</m:t>
                  </m:r>
                  <m:r>
                    <m:t>a</m:t>
                  </m:r>
                  <m:r>
                    <m:t>y</m:t>
                  </m:r>
                </m:sub>
              </m:sSub>
            </m:oMath>
          </w:p>
        </w:tc>
      </w:tr>
      <w:tr>
        <w:tc>
          <w:tcPr/>
          <w:p>
            <w:pPr>
              <w:pStyle w:val="Compact"/>
              <w:jc w:val="left"/>
            </w:pPr>
            <w:r>
              <w:rPr>
                <w:sz w:val="18"/>
              </w:rPr>
              <w:t xml:space="preserve">Interest rate (floating leg)</w:t>
            </w:r>
          </w:p>
        </w:tc>
        <w:tc>
          <w:tcPr/>
          <w:p>
            <w:pPr>
              <w:pStyle w:val="Compact"/>
              <w:jc w:val="left"/>
            </w:pPr>
            <w:r>
              <w:rPr>
                <w:sz w:val="18"/>
              </w:rPr>
              <w:t xml:space="preserve">The term rate for each Autocall_Floating period, set at the period start</w:t>
            </w:r>
          </w:p>
        </w:tc>
        <w:tc>
          <w:tcPr/>
          <w:p>
            <w:pPr>
              <w:pStyle w:val="Compact"/>
              <w:jc w:val="left"/>
            </w:pPr>
            <w:r>
              <w:rPr>
                <w:sz w:val="18"/>
              </w:rPr>
              <w:t xml:space="preserve">The booked table amount</w:t>
            </w:r>
          </w:p>
        </w:tc>
        <w:tc>
          <w:tcPr/>
          <w:p>
            <w:pPr>
              <w:pStyle w:val="Compact"/>
              <w:jc w:val="left"/>
            </w:pPr>
            <w:r>
              <w:rPr>
                <w:sz w:val="18"/>
              </w:rPr>
              <w:t xml:space="preserve">Fixed from the simulated forecast curve on the reset date, then held</w:t>
            </w:r>
          </w:p>
        </w:tc>
        <w:tc>
          <w:tcPr/>
          <w:p>
            <w:pPr>
              <w:pStyle w:val="Compact"/>
              <w:jc w:val="left"/>
            </w:pPr>
            <w:r>
              <w:rPr>
                <w:sz w:val="18"/>
              </w:rPr>
              <w:t xml:space="preserve">The forward rate from the simulated forecast curve at</w:t>
            </w:r>
            <w:r>
              <w:rPr>
                <w:sz w:val="18"/>
              </w:rPr>
              <w:t xml:space="preserve"> </w:t>
            </w:r>
            <m:oMath>
              <m:r>
                <m:t>t</m:t>
              </m:r>
            </m:oMath>
          </w:p>
        </w:tc>
        <w:tc>
          <w:tcPr/>
          <w:p>
            <w:pPr>
              <w:pStyle w:val="Compact"/>
              <w:jc w:val="left"/>
            </w:pPr>
            <w:r>
              <w:rPr>
                <w:sz w:val="18"/>
              </w:rPr>
              <w:t xml:space="preserve">The amount is known and discounted, and paid only if the deal has not autocalled</w:t>
            </w:r>
          </w:p>
        </w:tc>
      </w:tr>
      <w:tr>
        <w:tc>
          <w:tcPr/>
          <w:p>
            <w:pPr>
              <w:pStyle w:val="Compact"/>
              <w:jc w:val="left"/>
            </w:pPr>
            <w:r>
              <w:rPr>
                <w:sz w:val="18"/>
              </w:rPr>
              <w:t xml:space="preserve">FX (quanto)</w:t>
            </w:r>
          </w:p>
        </w:tc>
        <w:tc>
          <w:tcPr/>
          <w:p>
            <w:pPr>
              <w:pStyle w:val="Compact"/>
              <w:jc w:val="left"/>
            </w:pPr>
            <w:r>
              <w:rPr>
                <w:sz w:val="18"/>
              </w:rPr>
              <w:t xml:space="preserve">None. The conversion rate is fixed in the contract (FixFXRate)</w:t>
            </w:r>
          </w:p>
        </w:tc>
        <w:tc>
          <w:tcPr/>
          <w:p>
            <w:pPr>
              <w:pStyle w:val="Compact"/>
              <w:jc w:val="left"/>
            </w:pPr>
            <w:r>
              <w:rPr>
                <w:sz w:val="18"/>
              </w:rPr>
              <w:t xml:space="preserve">n/a</w:t>
            </w:r>
          </w:p>
        </w:tc>
        <w:tc>
          <w:tcPr/>
          <w:p>
            <w:pPr>
              <w:pStyle w:val="Compact"/>
              <w:jc w:val="left"/>
            </w:pPr>
            <w:r>
              <w:rPr>
                <w:sz w:val="18"/>
              </w:rPr>
              <w:t xml:space="preserve">n/a</w:t>
            </w:r>
          </w:p>
        </w:tc>
        <w:tc>
          <w:tcPr/>
          <w:p>
            <w:pPr>
              <w:pStyle w:val="Compact"/>
              <w:jc w:val="left"/>
            </w:pPr>
            <w:r>
              <w:rPr>
                <w:sz w:val="18"/>
              </w:rPr>
              <w:t xml:space="preserve">n/a</w:t>
            </w:r>
          </w:p>
        </w:tc>
        <w:tc>
          <w:tcPr/>
          <w:p>
            <w:pPr>
              <w:pStyle w:val="Compact"/>
              <w:jc w:val="left"/>
            </w:pPr>
            <w:r>
              <w:rPr>
                <w:sz w:val="18"/>
              </w:rPr>
              <w:t xml:space="preserve">n/a. FX enters only through the quanto drift and the reporting-currency conversion (Section 4.1.6)</w:t>
            </w:r>
          </w:p>
        </w:tc>
      </w:tr>
    </w:tbl>
    <w:bookmarkEnd w:id="20"/>
    <w:bookmarkStart w:id="21" w:name="interest-rate-fixings-floating-leg"/>
    <w:p>
      <w:pPr>
        <w:pStyle w:val="Heading2"/>
      </w:pPr>
      <w:r>
        <w:t xml:space="preserve">4.1.1 Interest rate fixings (floating leg)</w:t>
      </w:r>
    </w:p>
    <w:p>
      <w:pPr>
        <w:pStyle w:val="FirstParagraph"/>
      </w:pPr>
      <w:r>
        <w:t xml:space="preserve">The autocallable swap (QEDI_CustomAutoCallSwap_V2) pays a floating amount on each Autocall_Floating date while the deal remains alive. Each period runs between consecutive floating dates, and the first period starts one Reset_Frequency before the first date. Each period pays, per unit of notional,</w:t>
      </w:r>
    </w:p>
    <w:p>
      <w:pPr>
        <w:pStyle w:val="BodyText"/>
      </w:pPr>
      <m:oMathPara>
        <m:oMathParaPr>
          <m:jc m:val="center"/>
        </m:oMathParaPr>
        <m:oMath>
          <m:d>
            <m:dPr>
              <m:begChr m:val="("/>
              <m:endChr m:val=")"/>
              <m:sepChr m:val=""/>
              <m:grow/>
            </m:dPr>
            <m:e>
              <m:sSub>
                <m:e>
                  <m:r>
                    <m:t>L</m:t>
                  </m:r>
                </m:e>
                <m:sub>
                  <m:r>
                    <m:t>k</m:t>
                  </m:r>
                </m:sub>
              </m:sSub>
              <m:r>
                <m:rPr>
                  <m:sty m:val="p"/>
                </m:rPr>
                <m:t>+</m:t>
              </m:r>
              <m:r>
                <m:t>m</m:t>
              </m:r>
            </m:e>
          </m:d>
          <m:r>
            <m:t> </m:t>
          </m:r>
          <m:sSub>
            <m:e>
              <m:r>
                <m:t>α</m:t>
              </m:r>
            </m:e>
            <m:sub>
              <m:r>
                <m:t>k</m:t>
              </m:r>
            </m:sub>
          </m:sSub>
        </m:oMath>
      </m:oMathPara>
    </w:p>
    <w:p>
      <w:pPr>
        <w:pStyle w:val="FirstParagraph"/>
      </w:pPr>
      <w:r>
        <w:t xml:space="preserve">where</w:t>
      </w:r>
      <w:r>
        <w:t xml:space="preserve"> </w:t>
      </w:r>
      <m:oMath>
        <m:sSub>
          <m:e>
            <m:r>
              <m:t>L</m:t>
            </m:r>
          </m:e>
          <m:sub>
            <m:r>
              <m:t>k</m:t>
            </m:r>
          </m:sub>
        </m:sSub>
      </m:oMath>
      <w:r>
        <w:t xml:space="preserve"> </w:t>
      </w:r>
      <w:r>
        <w:t xml:space="preserve">is the simply compounded forward rate on the deal’s Forecast_Rate curve,</w:t>
      </w:r>
      <w:r>
        <w:t xml:space="preserve"> </w:t>
      </w:r>
      <m:oMath>
        <m:r>
          <m:t>m</m:t>
        </m:r>
      </m:oMath>
      <w:r>
        <w:t xml:space="preserve"> </w:t>
      </w:r>
      <w:r>
        <w:t xml:space="preserve">is the Floating_Margin, and</w:t>
      </w:r>
      <w:r>
        <w:t xml:space="preserve"> </w:t>
      </w:r>
      <m:oMath>
        <m:sSub>
          <m:e>
            <m:r>
              <m:t>α</m:t>
            </m:r>
          </m:e>
          <m:sub>
            <m:r>
              <m:t>k</m:t>
            </m:r>
          </m:sub>
        </m:sSub>
      </m:oMath>
      <w:r>
        <w:t xml:space="preserve"> </w:t>
      </w:r>
      <w:r>
        <w:t xml:space="preserve">is the curve’s day-count fraction.</w:t>
      </w:r>
    </w:p>
    <w:p>
      <w:pPr>
        <w:pStyle w:val="BodyText"/>
      </w:pPr>
      <w:r>
        <w:t xml:space="preserve">The rate is fixed as follows:</w:t>
      </w:r>
    </w:p>
    <w:p>
      <w:pPr>
        <w:numPr>
          <w:ilvl w:val="0"/>
          <w:numId w:val="1001"/>
        </w:numPr>
        <w:pStyle w:val="Compact"/>
      </w:pPr>
      <w:r>
        <w:rPr>
          <w:bCs/>
          <w:b/>
        </w:rPr>
        <w:t xml:space="preserve">Past fixing (reset before</w:t>
      </w:r>
      <w:r>
        <w:rPr>
          <w:bCs/>
          <w:b/>
        </w:rPr>
        <w:t xml:space="preserve"> </w:t>
      </w:r>
      <m:oMath>
        <m:sSub>
          <m:e>
            <m:r>
              <m:t>t</m:t>
            </m:r>
          </m:e>
          <m:sub>
            <m:r>
              <m:t>0</m:t>
            </m:r>
          </m:sub>
        </m:sSub>
      </m:oMath>
      <w:r>
        <w:rPr>
          <w:bCs/>
          <w:b/>
        </w:rPr>
        <w:t xml:space="preserve">).</w:t>
      </w:r>
      <w:r>
        <w:t xml:space="preserve"> </w:t>
      </w:r>
      <w:r>
        <w:t xml:space="preserve">The period pays its booked table amount. RiskFlow recovers the reset rate from that amount, net of the margin.</w:t>
      </w:r>
    </w:p>
    <w:p>
      <w:pPr>
        <w:numPr>
          <w:ilvl w:val="0"/>
          <w:numId w:val="1001"/>
        </w:numPr>
        <w:pStyle w:val="Compact"/>
      </w:pPr>
      <w:r>
        <w:rPr>
          <w:bCs/>
          <w:b/>
        </w:rPr>
        <w:t xml:space="preserve">Fixed on the path (</w:t>
      </w:r>
      <m:oMath>
        <m:sSub>
          <m:e>
            <m:r>
              <m:t>t</m:t>
            </m:r>
          </m:e>
          <m:sub>
            <m:r>
              <m:t>0</m:t>
            </m:r>
          </m:sub>
        </m:sSub>
        <m:r>
          <m:rPr>
            <m:sty m:val="p"/>
          </m:rPr>
          <m:t>≤</m:t>
        </m:r>
      </m:oMath>
      <w:r>
        <w:rPr>
          <w:bCs/>
          <w:b/>
        </w:rPr>
        <w:t xml:space="preserve"> </w:t>
      </w:r>
      <w:r>
        <w:rPr>
          <w:bCs/>
          <w:b/>
        </w:rPr>
        <w:t xml:space="preserve">reset</w:t>
      </w:r>
      <w:r>
        <w:rPr>
          <w:bCs/>
          <w:b/>
        </w:rPr>
        <w:t xml:space="preserve"> </w:t>
      </w:r>
      <m:oMath>
        <m:r>
          <m:rPr>
            <m:sty m:val="p"/>
          </m:rPr>
          <m:t>≤</m:t>
        </m:r>
        <m:r>
          <m:t>t</m:t>
        </m:r>
      </m:oMath>
      <w:r>
        <w:rPr>
          <w:bCs/>
          <w:b/>
        </w:rPr>
        <w:t xml:space="preserve">).</w:t>
      </w:r>
      <w:r>
        <w:t xml:space="preserve"> </w:t>
      </w:r>
      <w:r>
        <w:t xml:space="preserve">The rate is set from the scenario’s simulated forecast curve on the reset date,</w:t>
      </w:r>
      <w:r>
        <w:t xml:space="preserve"> </w:t>
      </w:r>
      <m:oMath>
        <m:r>
          <m:t>L</m:t>
        </m:r>
        <m:r>
          <m:rPr>
            <m:sty m:val="p"/>
          </m:rPr>
          <m:t>=</m:t>
        </m:r>
        <m:d>
          <m:dPr>
            <m:begChr m:val="("/>
            <m:endChr m:val=")"/>
            <m:sepChr m:val=""/>
            <m:grow/>
          </m:dPr>
          <m:e>
            <m:r>
              <m:t>D</m:t>
            </m:r>
            <m:d>
              <m:dPr>
                <m:begChr m:val="("/>
                <m:endChr m:val=")"/>
                <m:sepChr m:val=""/>
                <m:grow/>
              </m:dPr>
              <m:e>
                <m:sSub>
                  <m:e>
                    <m:r>
                      <m:t>T</m:t>
                    </m:r>
                  </m:e>
                  <m:sub>
                    <m:r>
                      <m:t>s</m:t>
                    </m:r>
                    <m:r>
                      <m:t>t</m:t>
                    </m:r>
                    <m:r>
                      <m:t>a</m:t>
                    </m:r>
                    <m:r>
                      <m:t>r</m:t>
                    </m:r>
                    <m:r>
                      <m:t>t</m:t>
                    </m:r>
                  </m:sub>
                </m:sSub>
              </m:e>
            </m:d>
            <m:r>
              <m:rPr>
                <m:sty m:val="p"/>
              </m:rPr>
              <m:t>/</m:t>
            </m:r>
            <m:r>
              <m:t>D</m:t>
            </m:r>
            <m:d>
              <m:dPr>
                <m:begChr m:val="("/>
                <m:endChr m:val=")"/>
                <m:sepChr m:val=""/>
                <m:grow/>
              </m:dPr>
              <m:e>
                <m:sSub>
                  <m:e>
                    <m:r>
                      <m:t>T</m:t>
                    </m:r>
                  </m:e>
                  <m:sub>
                    <m:r>
                      <m:t>e</m:t>
                    </m:r>
                    <m:r>
                      <m:t>n</m:t>
                    </m:r>
                    <m:r>
                      <m:t>d</m:t>
                    </m:r>
                  </m:sub>
                </m:sSub>
              </m:e>
            </m:d>
            <m:r>
              <m:rPr>
                <m:sty m:val="p"/>
              </m:rPr>
              <m:t>−</m:t>
            </m:r>
            <m:r>
              <m:t>1</m:t>
            </m:r>
          </m:e>
        </m:d>
        <m:r>
          <m:rPr>
            <m:sty m:val="p"/>
          </m:rPr>
          <m:t>/</m:t>
        </m:r>
        <m:r>
          <m:t>α</m:t>
        </m:r>
      </m:oMath>
      <w:r>
        <w:t xml:space="preserve">, and held from then on.</w:t>
      </w:r>
    </w:p>
    <w:p>
      <w:pPr>
        <w:numPr>
          <w:ilvl w:val="0"/>
          <w:numId w:val="1001"/>
        </w:numPr>
        <w:pStyle w:val="Compact"/>
      </w:pPr>
      <w:r>
        <w:rPr>
          <w:bCs/>
          <w:b/>
        </w:rPr>
        <w:t xml:space="preserve">Future fixing (reset after</w:t>
      </w:r>
      <w:r>
        <w:rPr>
          <w:bCs/>
          <w:b/>
        </w:rPr>
        <w:t xml:space="preserve"> </w:t>
      </w:r>
      <m:oMath>
        <m:r>
          <m:t>t</m:t>
        </m:r>
      </m:oMath>
      <w:r>
        <w:rPr>
          <w:bCs/>
          <w:b/>
        </w:rPr>
        <w:t xml:space="preserve">).</w:t>
      </w:r>
      <w:r>
        <w:t xml:space="preserve"> </w:t>
      </w:r>
      <w:r>
        <w:t xml:space="preserve">The rate is the forward implied by the simulated curve at</w:t>
      </w:r>
      <w:r>
        <w:t xml:space="preserve"> </w:t>
      </w:r>
      <m:oMath>
        <m:r>
          <m:t>t</m:t>
        </m:r>
      </m:oMath>
      <w:r>
        <w:t xml:space="preserve">.</w:t>
      </w:r>
    </w:p>
    <w:p>
      <w:pPr>
        <w:pStyle w:val="FirstParagraph"/>
      </w:pPr>
      <w:r>
        <w:t xml:space="preserve">Unlike a plain swap, each floating payment is contingent on survival. It is paid only if the note has not autocalled. Within the inner simulation, each payment is therefore weighted by the probability that the note survives to that date.</w:t>
      </w:r>
    </w:p>
    <w:p>
      <w:pPr>
        <w:pStyle w:val="BodyText"/>
      </w:pPr>
      <w:r>
        <w:t xml:space="preserve">A floating payment dated between a coupon’s fixing date and its payment date is still paid by a note that autocalls on that fixing. This is because the termination takes effect on the coupon’s payment date.</w:t>
      </w:r>
    </w:p>
    <w:p>
      <w:pPr>
        <w:pStyle w:val="BodyText"/>
      </w:pPr>
      <w:r>
        <w:t xml:space="preserve">Discounting uses the simulated discount curve. The equity forward uses the equity’s own repo curve (Equity_Zero) and its dividend curve. Each curve is interpolated as specified in RiskFlow’s Price Factor Interpolation.</w:t>
      </w:r>
    </w:p>
    <w:bookmarkEnd w:id="21"/>
    <w:bookmarkStart w:id="22" w:name="Xa8496cec79b303c744831a63d3d62e58621139d"/>
    <w:p>
      <w:pPr>
        <w:pStyle w:val="Heading2"/>
      </w:pPr>
      <w:r>
        <w:t xml:space="preserve">4.1.3 Equity fixings (autocallable swap and booked put leg)</w:t>
      </w:r>
    </w:p>
    <w:p>
      <w:pPr>
        <w:pStyle w:val="FirstParagraph"/>
      </w:pPr>
      <w:r>
        <w:t xml:space="preserve">The autocall’s equity fixings are the closes on its coupon fixing dates and its barrier dates. Each coupon is decided on its fixing date: the note autocalls if the close is at or above threshold × strike. The coupon is then paid on its later payment date.</w:t>
      </w:r>
    </w:p>
    <w:p>
      <w:pPr>
        <w:pStyle w:val="BodyText"/>
      </w:pPr>
      <w:r>
        <w:rPr>
          <w:bCs/>
          <w:b/>
        </w:rPr>
        <w:t xml:space="preserve">Autocallable swap</w:t>
      </w:r>
    </w:p>
    <w:p>
      <w:pPr>
        <w:numPr>
          <w:ilvl w:val="0"/>
          <w:numId w:val="1002"/>
        </w:numPr>
        <w:pStyle w:val="Compact"/>
      </w:pPr>
      <w:r>
        <w:rPr>
          <w:bCs/>
          <w:b/>
        </w:rPr>
        <w:t xml:space="preserve">Past fixing (</w:t>
      </w:r>
      <m:oMath>
        <m:sSub>
          <m:e>
            <m:r>
              <m:t>T</m:t>
            </m:r>
          </m:e>
          <m:sub>
            <m:r>
              <m:t>f</m:t>
            </m:r>
            <m:r>
              <m:t>i</m:t>
            </m:r>
            <m:r>
              <m:t>x</m:t>
            </m:r>
          </m:sub>
        </m:sSub>
        <m:r>
          <m:rPr>
            <m:sty m:val="p"/>
          </m:rPr>
          <m:t>&lt;</m:t>
        </m:r>
        <m:sSub>
          <m:e>
            <m:r>
              <m:t>t</m:t>
            </m:r>
          </m:e>
          <m:sub>
            <m:r>
              <m:t>0</m:t>
            </m:r>
          </m:sub>
        </m:sSub>
      </m:oMath>
      <w:r>
        <w:rPr>
          <w:bCs/>
          <w:b/>
        </w:rPr>
        <w:t xml:space="preserve">).</w:t>
      </w:r>
      <w:r>
        <w:t xml:space="preserve"> </w:t>
      </w:r>
      <w:r>
        <w:t xml:space="preserve">The printed close (Price_Fixing) is used. If a coupon has already autocalled on its print, the note ended before the base date. RiskFlow removes the deal (InstrumentExpired), and it contributes zero exposure. If a coupon has printed but not yet been paid, it is decided on its print. A fixing on the base date reads the base-date spot.</w:t>
      </w:r>
    </w:p>
    <w:p>
      <w:pPr>
        <w:numPr>
          <w:ilvl w:val="0"/>
          <w:numId w:val="1002"/>
        </w:numPr>
        <w:pStyle w:val="Compact"/>
      </w:pPr>
      <w:r>
        <w:rPr>
          <w:bCs/>
          <w:b/>
        </w:rPr>
        <w:t xml:space="preserve">Fixed on the path (</w:t>
      </w:r>
      <m:oMath>
        <m:sSub>
          <m:e>
            <m:r>
              <m:t>t</m:t>
            </m:r>
          </m:e>
          <m:sub>
            <m:r>
              <m:t>0</m:t>
            </m:r>
          </m:sub>
        </m:sSub>
        <m:r>
          <m:rPr>
            <m:sty m:val="p"/>
          </m:rPr>
          <m:t>≤</m:t>
        </m:r>
        <m:sSub>
          <m:e>
            <m:r>
              <m:t>T</m:t>
            </m:r>
          </m:e>
          <m:sub>
            <m:r>
              <m:t>f</m:t>
            </m:r>
            <m:r>
              <m:t>i</m:t>
            </m:r>
            <m:r>
              <m:t>x</m:t>
            </m:r>
          </m:sub>
        </m:sSub>
        <m:r>
          <m:rPr>
            <m:sty m:val="p"/>
          </m:rPr>
          <m:t>≤</m:t>
        </m:r>
        <m:r>
          <m:t>t</m:t>
        </m:r>
      </m:oMath>
      <w:r>
        <w:rPr>
          <w:bCs/>
          <w:b/>
        </w:rPr>
        <w:t xml:space="preserve">).</w:t>
      </w:r>
      <w:r>
        <w:t xml:space="preserve"> </w:t>
      </w:r>
      <w:r>
        <w:t xml:space="preserve">The close is read from the simulated path on the fixing date, which is always on the simulation grid. A path that autocalls pays its coupon once and is worth zero thereafter, and this termination is carried forward to later dates. A fixing on</w:t>
      </w:r>
      <w:r>
        <w:t xml:space="preserve"> </w:t>
      </w:r>
      <m:oMath>
        <m:r>
          <m:t>t</m:t>
        </m:r>
      </m:oMath>
      <w:r>
        <w:t xml:space="preserve"> </w:t>
      </w:r>
      <w:r>
        <w:t xml:space="preserve">itself is the spot at</w:t>
      </w:r>
      <w:r>
        <w:t xml:space="preserve"> </w:t>
      </w:r>
      <m:oMath>
        <m:r>
          <m:t>t</m:t>
        </m:r>
      </m:oMath>
      <w:r>
        <w:t xml:space="preserve">: an observation, not a simulation step.</w:t>
      </w:r>
    </w:p>
    <w:p>
      <w:pPr>
        <w:numPr>
          <w:ilvl w:val="0"/>
          <w:numId w:val="1002"/>
        </w:numPr>
        <w:pStyle w:val="Compact"/>
      </w:pPr>
      <w:r>
        <w:rPr>
          <w:bCs/>
          <w:b/>
        </w:rPr>
        <w:t xml:space="preserve">Future fixing (</w:t>
      </w:r>
      <m:oMath>
        <m:sSub>
          <m:e>
            <m:r>
              <m:t>T</m:t>
            </m:r>
          </m:e>
          <m:sub>
            <m:r>
              <m:t>f</m:t>
            </m:r>
            <m:r>
              <m:t>i</m:t>
            </m:r>
            <m:r>
              <m:t>x</m:t>
            </m:r>
          </m:sub>
        </m:sSub>
        <m:r>
          <m:rPr>
            <m:sty m:val="p"/>
          </m:rPr>
          <m:t>&gt;</m:t>
        </m:r>
        <m:r>
          <m:t>t</m:t>
        </m:r>
      </m:oMath>
      <w:r>
        <w:rPr>
          <w:bCs/>
          <w:b/>
        </w:rPr>
        <w:t xml:space="preserve">).</w:t>
      </w:r>
      <w:r>
        <w:t xml:space="preserve"> </w:t>
      </w:r>
      <w:r>
        <w:t xml:space="preserve">The payoff depends on the whole sequence of future closes, so a future fixing cannot be replaced by a single forward price. Instead, an inner Monte Carlo simulates the remaining fixings from each scenario at</w:t>
      </w:r>
      <w:r>
        <w:t xml:space="preserve"> </w:t>
      </w:r>
      <m:oMath>
        <m:r>
          <m:t>t</m:t>
        </m:r>
      </m:oMath>
      <w:r>
        <w:t xml:space="preserve">:</w:t>
      </w:r>
    </w:p>
    <w:p>
      <w:pPr>
        <w:numPr>
          <w:ilvl w:val="1"/>
          <w:numId w:val="1003"/>
        </w:numPr>
        <w:pStyle w:val="Compact"/>
      </w:pPr>
      <w:r>
        <w:t xml:space="preserve">The model is lognormal, with its drift taken from that scenario’s curves (repo, dividends, and for a quanto the drift adjustment of Section 4.1.6).</w:t>
      </w:r>
    </w:p>
    <w:p>
      <w:pPr>
        <w:numPr>
          <w:ilvl w:val="1"/>
          <w:numId w:val="1003"/>
        </w:numPr>
        <w:pStyle w:val="Compact"/>
      </w:pPr>
      <w:r>
        <w:t xml:space="preserve">Its volatility is read from the implied surface at the level each decision tests: the trigger level for the coupons, and the put strike for the put leg.</w:t>
      </w:r>
    </w:p>
    <w:p>
      <w:pPr>
        <w:numPr>
          <w:ilvl w:val="1"/>
          <w:numId w:val="1003"/>
        </w:numPr>
        <w:pStyle w:val="Compact"/>
      </w:pPr>
      <w:r>
        <w:t xml:space="preserve">At each fixing, RiskFlow computes analytically the probability that the path survives (does not autocall). It books the coupon weighted by the probability of autocalling, and draws the next close conditional on survival (One-Step Survival; Section 10).</w:t>
      </w:r>
    </w:p>
    <w:p>
      <w:pPr>
        <w:numPr>
          <w:ilvl w:val="0"/>
          <w:numId w:val="1002"/>
        </w:numPr>
        <w:pStyle w:val="Compact"/>
      </w:pPr>
      <w:r>
        <w:rPr>
          <w:bCs/>
          <w:b/>
        </w:rPr>
        <w:t xml:space="preserve">Fixed, not yet paid (</w:t>
      </w:r>
      <m:oMath>
        <m:sSub>
          <m:e>
            <m:r>
              <m:t>T</m:t>
            </m:r>
          </m:e>
          <m:sub>
            <m:r>
              <m:t>f</m:t>
            </m:r>
            <m:r>
              <m:t>i</m:t>
            </m:r>
            <m:r>
              <m:t>x</m:t>
            </m:r>
          </m:sub>
        </m:sSub>
        <m:r>
          <m:rPr>
            <m:sty m:val="p"/>
          </m:rPr>
          <m:t>≤</m:t>
        </m:r>
        <m:r>
          <m:t>t</m:t>
        </m:r>
        <m:r>
          <m:rPr>
            <m:sty m:val="p"/>
          </m:rPr>
          <m:t>&lt;</m:t>
        </m:r>
        <m:sSub>
          <m:e>
            <m:r>
              <m:t>T</m:t>
            </m:r>
          </m:e>
          <m:sub>
            <m:r>
              <m:t>p</m:t>
            </m:r>
            <m:r>
              <m:t>a</m:t>
            </m:r>
            <m:r>
              <m:t>y</m:t>
            </m:r>
          </m:sub>
        </m:sSub>
      </m:oMath>
      <w:r>
        <w:rPr>
          <w:bCs/>
          <w:b/>
        </w:rPr>
        <w:t xml:space="preserve">).</w:t>
      </w:r>
      <w:r>
        <w:t xml:space="preserve"> </w:t>
      </w:r>
      <w:r>
        <w:t xml:space="preserve">The outcome is known on the path, so the coupon is either a known amount or zero. Its value is that amount discounted to the payment date.</w:t>
      </w:r>
    </w:p>
    <w:p>
      <w:pPr>
        <w:pStyle w:val="FirstParagraph"/>
      </w:pPr>
      <w:r>
        <w:rPr>
          <w:bCs/>
          <w:b/>
        </w:rPr>
        <w:t xml:space="preserve">Booked put leg (European put, European digital and their up-and-in contras)</w:t>
      </w:r>
    </w:p>
    <w:p>
      <w:pPr>
        <w:pStyle w:val="BodyText"/>
      </w:pPr>
      <w:r>
        <w:t xml:space="preserve">The put leg uses the same equity fixings:</w:t>
      </w:r>
    </w:p>
    <w:p>
      <w:pPr>
        <w:numPr>
          <w:ilvl w:val="0"/>
          <w:numId w:val="1004"/>
        </w:numPr>
        <w:pStyle w:val="Compact"/>
      </w:pPr>
      <w:r>
        <w:rPr>
          <w:bCs/>
          <w:b/>
        </w:rPr>
        <w:t xml:space="preserve">European options.</w:t>
      </w:r>
      <w:r>
        <w:t xml:space="preserve"> </w:t>
      </w:r>
      <w:r>
        <w:t xml:space="preserve">These are valued in closed form on each scenario’s forward, with the volatility read at the strike. The digital is valued as a tight put spread at</w:t>
      </w:r>
      <w:r>
        <w:t xml:space="preserve"> </w:t>
      </w:r>
      <m:oMath>
        <m:r>
          <m:t>K</m:t>
        </m:r>
        <m:d>
          <m:dPr>
            <m:begChr m:val="("/>
            <m:endChr m:val=")"/>
            <m:sepChr m:val=""/>
            <m:grow/>
          </m:dPr>
          <m:e>
            <m:r>
              <m:t>1</m:t>
            </m:r>
            <m:r>
              <m:rPr>
                <m:sty m:val="p"/>
              </m:rPr>
              <m:t>±</m:t>
            </m:r>
            <m:r>
              <m:t>ε</m:t>
            </m:r>
          </m:e>
        </m:d>
      </m:oMath>
      <w:r>
        <w:t xml:space="preserve"> </w:t>
      </w:r>
      <w:r>
        <w:t xml:space="preserve">when Relative_Digital_Spread is set.</w:t>
      </w:r>
    </w:p>
    <w:p>
      <w:pPr>
        <w:numPr>
          <w:ilvl w:val="0"/>
          <w:numId w:val="1004"/>
        </w:numPr>
        <w:pStyle w:val="Compact"/>
      </w:pPr>
      <w:r>
        <w:rPr>
          <w:bCs/>
          <w:b/>
        </w:rPr>
        <w:t xml:space="preserve">Contras.</w:t>
      </w:r>
      <w:r>
        <w:t xml:space="preserve"> </w:t>
      </w:r>
      <w:r>
        <w:t xml:space="preserve">A contra knocks in when the close on a monitoring date is above its barrier:</w:t>
      </w:r>
    </w:p>
    <w:p>
      <w:pPr>
        <w:numPr>
          <w:ilvl w:val="1"/>
          <w:numId w:val="1005"/>
        </w:numPr>
        <w:pStyle w:val="Compact"/>
      </w:pPr>
      <w:r>
        <w:rPr>
          <w:iCs/>
          <w:i/>
        </w:rPr>
        <w:t xml:space="preserve">Past (on or before</w:t>
      </w:r>
      <w:r>
        <w:rPr>
          <w:iCs/>
          <w:i/>
        </w:rPr>
        <w:t xml:space="preserve"> </w:t>
      </w:r>
      <m:oMath>
        <m:sSub>
          <m:e>
            <m:r>
              <m:t>t</m:t>
            </m:r>
          </m:e>
          <m:sub>
            <m:r>
              <m:t>0</m:t>
            </m:r>
          </m:sub>
        </m:sSub>
      </m:oMath>
      <w:r>
        <w:rPr>
          <w:iCs/>
          <w:i/>
        </w:rPr>
        <w:t xml:space="preserve">):</w:t>
      </w:r>
      <w:r>
        <w:t xml:space="preserve"> </w:t>
      </w:r>
      <w:r>
        <w:t xml:space="preserve">the observed barrier fixings are used. If any observed close is at or above the barrier, the contra has knocked in and becomes the corresponding European.</w:t>
      </w:r>
    </w:p>
    <w:p>
      <w:pPr>
        <w:numPr>
          <w:ilvl w:val="1"/>
          <w:numId w:val="1005"/>
        </w:numPr>
        <w:pStyle w:val="Compact"/>
      </w:pPr>
      <w:r>
        <w:rPr>
          <w:iCs/>
          <w:i/>
        </w:rPr>
        <w:t xml:space="preserve">Fixed on the path (</w:t>
      </w:r>
      <m:oMath>
        <m:sSub>
          <m:e>
            <m:r>
              <m:t>t</m:t>
            </m:r>
          </m:e>
          <m:sub>
            <m:r>
              <m:t>0</m:t>
            </m:r>
          </m:sub>
        </m:sSub>
      </m:oMath>
      <w:r>
        <w:rPr>
          <w:iCs/>
          <w:i/>
        </w:rPr>
        <w:t xml:space="preserve"> </w:t>
      </w:r>
      <w:r>
        <w:rPr>
          <w:iCs/>
          <w:i/>
        </w:rPr>
        <w:t xml:space="preserve">to</w:t>
      </w:r>
      <w:r>
        <w:rPr>
          <w:iCs/>
          <w:i/>
        </w:rPr>
        <w:t xml:space="preserve"> </w:t>
      </w:r>
      <m:oMath>
        <m:r>
          <m:t>t</m:t>
        </m:r>
      </m:oMath>
      <w:r>
        <w:rPr>
          <w:iCs/>
          <w:i/>
        </w:rPr>
        <w:t xml:space="preserve">):</w:t>
      </w:r>
      <w:r>
        <w:t xml:space="preserve"> </w:t>
      </w:r>
      <w:r>
        <w:t xml:space="preserve">the simulated close is used, and the contra knocks in on a close strictly above the barrier. Once knocked in, it is valued as the European.</w:t>
      </w:r>
    </w:p>
    <w:p>
      <w:pPr>
        <w:numPr>
          <w:ilvl w:val="1"/>
          <w:numId w:val="1005"/>
        </w:numPr>
        <w:pStyle w:val="Compact"/>
      </w:pPr>
      <w:r>
        <w:rPr>
          <w:iCs/>
          <w:i/>
        </w:rPr>
        <w:t xml:space="preserve">Future (after</w:t>
      </w:r>
      <w:r>
        <w:rPr>
          <w:iCs/>
          <w:i/>
        </w:rPr>
        <w:t xml:space="preserve"> </w:t>
      </w:r>
      <m:oMath>
        <m:r>
          <m:t>t</m:t>
        </m:r>
      </m:oMath>
      <w:r>
        <w:rPr>
          <w:iCs/>
          <w:i/>
        </w:rPr>
        <w:t xml:space="preserve">):</w:t>
      </w:r>
      <w:r>
        <w:t xml:space="preserve"> </w:t>
      </w:r>
      <w:r>
        <w:t xml:space="preserve">monitoring dates are simulated by the same inner One-Step Survival Monte Carlo. The contra is priced by in–out parity: the European less the knocked-out option, floored at zero.</w:t>
      </w:r>
    </w:p>
    <w:p>
      <w:pPr>
        <w:numPr>
          <w:ilvl w:val="0"/>
          <w:numId w:val="1004"/>
        </w:numPr>
        <w:pStyle w:val="Compact"/>
      </w:pPr>
      <w:r>
        <w:rPr>
          <w:bCs/>
          <w:b/>
        </w:rPr>
        <w:t xml:space="preserve">After expiry and before settlement.</w:t>
      </w:r>
      <w:r>
        <w:t xml:space="preserve"> </w:t>
      </w:r>
      <w:r>
        <w:t xml:space="preserve">Each option’s payoff is fixed on the expiry close.</w:t>
      </w:r>
    </w:p>
    <w:bookmarkEnd w:id="22"/>
    <w:bookmarkStart w:id="23" w:name="fx-quanto-autocall"/>
    <w:p>
      <w:pPr>
        <w:pStyle w:val="Heading2"/>
      </w:pPr>
      <w:r>
        <w:t xml:space="preserve">4.1.6 FX (quanto autocall)</w:t>
      </w:r>
    </w:p>
    <w:p>
      <w:pPr>
        <w:pStyle w:val="FirstParagraph"/>
      </w:pPr>
      <w:r>
        <w:t xml:space="preserve">The quanto autocall references a EUR equity (SX5E) and pays in ZAR at a conversion rate fixed in the contract (FixFXRate). It therefore has no FX reset and no FX fixing. FX enters the valuation in two ways, neither of which is a fixing:</w:t>
      </w:r>
    </w:p>
    <w:p>
      <w:pPr>
        <w:numPr>
          <w:ilvl w:val="0"/>
          <w:numId w:val="1006"/>
        </w:numPr>
      </w:pPr>
      <w:r>
        <w:rPr>
          <w:bCs/>
          <w:b/>
        </w:rPr>
        <w:t xml:space="preserve">Quanto drift adjustment.</w:t>
      </w:r>
      <w:r>
        <w:t xml:space="preserve"> </w:t>
      </w:r>
      <w:r>
        <w:t xml:space="preserve">At each simulation date the equity drift is adjusted by</w:t>
      </w:r>
    </w:p>
    <w:p>
      <w:pPr>
        <w:pStyle w:val="BodyText"/>
      </w:pPr>
      <m:oMathPara>
        <m:oMathParaPr>
          <m:jc m:val="center"/>
        </m:oMathParaPr>
        <m:oMath>
          <m:r>
            <m:rPr>
              <m:sty m:val="p"/>
            </m:rPr>
            <m:t>−</m:t>
          </m:r>
          <m:r>
            <m:t> </m:t>
          </m:r>
          <m:r>
            <m:t>ρ</m:t>
          </m:r>
          <m:r>
            <m:t> </m:t>
          </m:r>
          <m:sSubSup>
            <m:e>
              <m:r>
                <m:t>σ</m:t>
              </m:r>
            </m:e>
            <m:sub>
              <m:r>
                <m:t>S</m:t>
              </m:r>
            </m:sub>
            <m:sup>
              <m:r>
                <m:t>A</m:t>
              </m:r>
              <m:r>
                <m:t>T</m:t>
              </m:r>
              <m:r>
                <m:t>M</m:t>
              </m:r>
            </m:sup>
          </m:sSubSup>
          <m:d>
            <m:dPr>
              <m:begChr m:val="("/>
              <m:endChr m:val=")"/>
              <m:sepChr m:val=""/>
              <m:grow/>
            </m:dPr>
            <m:e>
              <m:r>
                <m:t>τ</m:t>
              </m:r>
            </m:e>
          </m:d>
          <m:r>
            <m:t> </m:t>
          </m:r>
          <m:sSubSup>
            <m:e>
              <m:r>
                <m:t>σ</m:t>
              </m:r>
            </m:e>
            <m:sub>
              <m:r>
                <m:t>F</m:t>
              </m:r>
              <m:r>
                <m:t>X</m:t>
              </m:r>
            </m:sub>
            <m:sup>
              <m:r>
                <m:t>A</m:t>
              </m:r>
              <m:r>
                <m:t>T</m:t>
              </m:r>
              <m:r>
                <m:t>M</m:t>
              </m:r>
            </m:sup>
          </m:sSubSup>
          <m:d>
            <m:dPr>
              <m:begChr m:val="("/>
              <m:endChr m:val=")"/>
              <m:sepChr m:val=""/>
              <m:grow/>
            </m:dPr>
            <m:e>
              <m:r>
                <m:t>τ</m:t>
              </m:r>
            </m:e>
          </m:d>
        </m:oMath>
      </m:oMathPara>
    </w:p>
    <w:p>
      <w:pPr>
        <w:numPr>
          <w:ilvl w:val="0"/>
          <w:numId w:val="1000"/>
        </w:numPr>
      </w:pPr>
      <w:r>
        <w:t xml:space="preserve">where</w:t>
      </w:r>
      <w:r>
        <w:t xml:space="preserve"> </w:t>
      </w:r>
      <m:oMath>
        <m:r>
          <m:t>τ</m:t>
        </m:r>
      </m:oMath>
      <w:r>
        <w:t xml:space="preserve"> </w:t>
      </w:r>
      <w:r>
        <w:t xml:space="preserve">is the remaining time to the deal’s final date,</w:t>
      </w:r>
      <w:r>
        <w:t xml:space="preserve"> </w:t>
      </w:r>
      <m:oMath>
        <m:sSubSup>
          <m:e>
            <m:r>
              <m:t>σ</m:t>
            </m:r>
          </m:e>
          <m:sub>
            <m:r>
              <m:t>S</m:t>
            </m:r>
          </m:sub>
          <m:sup>
            <m:r>
              <m:t>A</m:t>
            </m:r>
            <m:r>
              <m:t>T</m:t>
            </m:r>
            <m:r>
              <m:t>M</m:t>
            </m:r>
          </m:sup>
        </m:sSubSup>
      </m:oMath>
      <w:r>
        <w:t xml:space="preserve"> </w:t>
      </w:r>
      <w:r>
        <w:t xml:space="preserve">and</w:t>
      </w:r>
      <w:r>
        <w:t xml:space="preserve"> </w:t>
      </w:r>
      <m:oMath>
        <m:sSubSup>
          <m:e>
            <m:r>
              <m:t>σ</m:t>
            </m:r>
          </m:e>
          <m:sub>
            <m:r>
              <m:t>F</m:t>
            </m:r>
            <m:r>
              <m:t>X</m:t>
            </m:r>
          </m:sub>
          <m:sup>
            <m:r>
              <m:t>A</m:t>
            </m:r>
            <m:r>
              <m:t>T</m:t>
            </m:r>
            <m:r>
              <m:t>M</m:t>
            </m:r>
          </m:sup>
        </m:sSubSup>
      </m:oMath>
      <w:r>
        <w:t xml:space="preserve"> </w:t>
      </w:r>
      <w:r>
        <w:t xml:space="preserve">are the at-the-money implied volatilities of the equity and of EUR/ZAR, and</w:t>
      </w:r>
      <w:r>
        <w:t xml:space="preserve"> </w:t>
      </w:r>
      <m:oMath>
        <m:r>
          <m:t>ρ</m:t>
        </m:r>
      </m:oMath>
      <w:r>
        <w:t xml:space="preserve"> </w:t>
      </w:r>
      <w:r>
        <w:t xml:space="preserve">is the equity/FX correlation. The adjustment is recalculated at every simulation date from the remaining term.</w:t>
      </w:r>
    </w:p>
    <w:p>
      <w:pPr>
        <w:numPr>
          <w:ilvl w:val="0"/>
          <w:numId w:val="1006"/>
        </w:numPr>
      </w:pPr>
      <w:r>
        <w:rPr>
          <w:bCs/>
          <w:b/>
        </w:rPr>
        <w:t xml:space="preserve">Conversion to the reporting currency.</w:t>
      </w:r>
      <w:r>
        <w:t xml:space="preserve"> </w:t>
      </w:r>
      <w:r>
        <w:t xml:space="preserve">Where the payoff currency differs from the reporting currency, the value at</w:t>
      </w:r>
      <w:r>
        <w:t xml:space="preserve"> </w:t>
      </w:r>
      <m:oMath>
        <m:r>
          <m:t>t</m:t>
        </m:r>
      </m:oMath>
      <w:r>
        <w:t xml:space="preserve"> </w:t>
      </w:r>
      <w:r>
        <w:t xml:space="preserve">is converted at the simulated FX spot at</w:t>
      </w:r>
      <w:r>
        <w:t xml:space="preserve"> </w:t>
      </w:r>
      <m:oMath>
        <m:r>
          <m:t>t</m:t>
        </m:r>
      </m:oMath>
      <w:r>
        <w:t xml:space="preserve">. This is a conversion on the valuation date, not a fixing.</w:t>
      </w:r>
    </w:p>
    <w:bookmarkEnd w:id="23"/>
    <w:bookmarkStart w:id="24" w:name="X21f8115e8acba81482052d8d658b6a2dbf6df50"/>
    <w:p>
      <w:pPr>
        <w:pStyle w:val="Heading2"/>
      </w:pPr>
      <w:r>
        <w:t xml:space="preserve">4.1.7 Autocall-specific treatment across simulation dates</w:t>
      </w:r>
    </w:p>
    <w:p>
      <w:pPr>
        <w:pStyle w:val="FirstParagraph"/>
      </w:pPr>
      <w:r>
        <w:t xml:space="preserve">Three features of the autocall need care beyond the general fixing rules:</w:t>
      </w:r>
    </w:p>
    <w:p>
      <w:pPr>
        <w:numPr>
          <w:ilvl w:val="0"/>
          <w:numId w:val="1007"/>
        </w:numPr>
        <w:pStyle w:val="Compact"/>
      </w:pPr>
      <w:r>
        <w:rPr>
          <w:bCs/>
          <w:b/>
        </w:rPr>
        <w:t xml:space="preserve">Path history.</w:t>
      </w:r>
      <w:r>
        <w:t xml:space="preserve"> </w:t>
      </w:r>
      <w:r>
        <w:t xml:space="preserve">Whether the note has autocalled, and whether a barrier has been breached, depends on every fixing already passed on that path. That history is carried from one simulation date to the next and is never recomputed from the current spot.</w:t>
      </w:r>
    </w:p>
    <w:p>
      <w:pPr>
        <w:numPr>
          <w:ilvl w:val="0"/>
          <w:numId w:val="1007"/>
        </w:numPr>
        <w:pStyle w:val="Compact"/>
      </w:pPr>
      <w:r>
        <w:rPr>
          <w:bCs/>
          <w:b/>
        </w:rPr>
        <w:t xml:space="preserve">Decision and payment dates.</w:t>
      </w:r>
      <w:r>
        <w:t xml:space="preserve"> </w:t>
      </w:r>
      <w:r>
        <w:t xml:space="preserve">A coupon is decided on its fixing date and paid on its payment date. Between the two, the outcome is known and only the discounting remains.</w:t>
      </w:r>
    </w:p>
    <w:p>
      <w:pPr>
        <w:numPr>
          <w:ilvl w:val="0"/>
          <w:numId w:val="1007"/>
        </w:numPr>
        <w:pStyle w:val="Compact"/>
      </w:pPr>
      <w:r>
        <w:rPr>
          <w:bCs/>
          <w:b/>
        </w:rPr>
        <w:t xml:space="preserve">Interpolated MTM.</w:t>
      </w:r>
      <w:r>
        <w:t xml:space="preserve"> </w:t>
      </w:r>
      <w:r>
        <w:t xml:space="preserve">RiskFlow values each deal only on its own pricing grid. On other exposure dates the MTM is interpolated linearly, which does not reflect an autocall, knock-in or payment between the two pricing dates. For a European paired with its contra, it can also leave one leg priced and the other interpolated on the same date. Adding every deal’s event dates to the base time grid ensures each deal is valued on every exposure date.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2026-10-26T06:17:14Z</dcterms:created>
  <dcterms:modified xsi:type="dcterms:W3CDTF">2026-10-26T06:17:14Z</dcterms:modified>
</cp:coreProperties>
</file>

<file path=docProps/custom.xml><?xml version="1.0" encoding="utf-8"?>
<Properties xmlns="http://schemas.openxmlformats.org/officeDocument/2006/custom-properties" xmlns:vt="http://schemas.openxmlformats.org/officeDocument/2006/docPropsVTypes"/>
</file>