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Robin's decisions on ET's feedback</w:t>
      </w:r>
    </w:p>
    <w:p>
      <w:pPr>
        <w:pStyle w:val="Heading2"/>
      </w:pPr>
      <w:r>
        <w:t>Purpose</w:t>
      </w:r>
    </w:p>
    <w:p>
      <w:r>
        <w:t>For each annotation, I choose one of the following:</w:t>
      </w:r>
    </w:p>
    <w:p>
      <w:pPr>
        <w:pStyle w:val="ListBullet"/>
      </w:pPr>
      <w:r>
        <w:rPr>
          <w:b/>
        </w:rPr>
        <w:t>ET</w:t>
      </w:r>
      <w:r>
        <w:t>: accept Emmeric's suggestion.</w:t>
      </w:r>
    </w:p>
    <w:p>
      <w:pPr>
        <w:pStyle w:val="ListBullet"/>
      </w:pPr>
      <w:r>
        <w:rPr>
          <w:b/>
        </w:rPr>
        <w:t>AI</w:t>
      </w:r>
      <w:r>
        <w:t>: use the assistant's recommendation.</w:t>
      </w:r>
    </w:p>
    <w:p>
      <w:pPr>
        <w:pStyle w:val="ListBullet"/>
      </w:pPr>
      <w:r>
        <w:rPr>
          <w:b/>
        </w:rPr>
        <w:t>RW</w:t>
      </w:r>
      <w:r>
        <w:t>: use my wording, decision, or additional information.</w:t>
      </w:r>
    </w:p>
    <w:p>
      <w:r>
        <w:t>We will later prepare a clear response document in which Emmeric, my co-promotor, can see which comments were accepted, adapted, or declined.</w:t>
      </w:r>
    </w:p>
    <w:p>
      <w:pPr>
        <w:pStyle w:val="Heading2"/>
      </w:pPr>
      <w:r>
        <w:t>Decisions</w:t>
      </w:r>
    </w:p>
    <w:p>
      <w:pPr>
        <w:pStyle w:val="Heading3"/>
      </w:pPr>
      <w:r>
        <w:t>1. Geometry-dependent scalar</w:t>
      </w:r>
    </w:p>
    <w:p>
      <w:r>
        <w:rPr>
          <w:b/>
        </w:rPr>
        <w:t>Decision: ET.</w:t>
      </w:r>
    </w:p>
    <w:p>
      <w:r>
        <w:t>Accept “geometry-dependent.” Use polished final wording rather than a literal single-word substitution:</w:t>
      </w:r>
    </w:p>
    <w:p>
      <w:pPr>
        <w:pStyle w:val="Decisionquote"/>
      </w:pPr>
      <w:r>
        <w:t>Integrating the local law over the visible nonconvex body surface yields a generalized Cauchy whole-body identity governed by a single geometry-dependent scalar.</w:t>
      </w:r>
    </w:p>
    <w:p>
      <w:pPr>
        <w:pStyle w:val="Heading3"/>
      </w:pPr>
      <w:r>
        <w:t>2. Polarization-aware versus polarization-inclusive</w:t>
      </w:r>
    </w:p>
    <w:p>
      <w:r>
        <w:rPr>
          <w:b/>
        </w:rPr>
        <w:t>Decision: AI.</w:t>
      </w:r>
    </w:p>
    <w:p>
      <w:r>
        <w:t>Keep “polarization-aware.” Explain the choice in the response report.</w:t>
      </w:r>
    </w:p>
    <w:p>
      <w:r>
        <w:t>Suggested response:</w:t>
      </w:r>
    </w:p>
    <w:p>
      <w:pPr>
        <w:pStyle w:val="Decisionquote"/>
      </w:pPr>
      <w:r>
        <w:t>We retained “polarization-aware” because the calculation resolves the local TE and TM energy fractions. “Polarization-inclusive” could suggest only that several polarizations were included in the validation set.</w:t>
      </w:r>
    </w:p>
    <w:p>
      <w:pPr>
        <w:pStyle w:val="Heading3"/>
      </w:pPr>
      <w:r>
        <w:t>3. Variation among FDTD implementations</w:t>
      </w:r>
    </w:p>
    <w:p>
      <w:r>
        <w:rPr>
          <w:b/>
        </w:rPr>
        <w:t>Decision: RW.</w:t>
      </w:r>
    </w:p>
    <w:p>
      <w:r>
        <w:t>Do not add the alleged 20% inter-implementation variation to the abstract. Explain in the response report that the abstract uses the better-controlled tissue-property uncertainty comparison. Do not state that the 20% figure is established unless we obtain a direct primary source for inter-code variation.</w:t>
      </w:r>
    </w:p>
    <w:p>
      <w:r>
        <w:t>Suggested response:</w:t>
      </w:r>
    </w:p>
    <w:p>
      <w:pPr>
        <w:pStyle w:val="Decisionquote"/>
      </w:pPr>
      <w:r>
        <w:t>We agree that numerical-reference variability is relevant, but we prefer not to add it to the abstract. The matched validation is more cleanly compared with the uncertainty propagated from measured tissue properties. The direction-level FDTD scatter is reported in the validation section.</w:t>
      </w:r>
    </w:p>
    <w:p>
      <w:pPr>
        <w:pStyle w:val="Heading3"/>
      </w:pPr>
      <w:r>
        <w:t>4. Exposure on or of the human body</w:t>
      </w:r>
    </w:p>
    <w:p>
      <w:r>
        <w:rPr>
          <w:b/>
        </w:rPr>
        <w:t>Decision: ET.</w:t>
      </w:r>
    </w:p>
    <w:p>
      <w:r>
        <w:t>Change “exposure on the human body” to “exposure of the human body.”</w:t>
      </w:r>
    </w:p>
    <w:p>
      <w:pPr>
        <w:pStyle w:val="Heading3"/>
      </w:pPr>
      <w:r>
        <w:t>5. Validated in four independent ways</w:t>
      </w:r>
    </w:p>
    <w:p>
      <w:r>
        <w:rPr>
          <w:b/>
        </w:rPr>
        <w:t>Decision: ET.</w:t>
      </w:r>
    </w:p>
    <w:p>
      <w:r>
        <w:t>Insert “in”:</w:t>
      </w:r>
    </w:p>
    <w:p>
      <w:pPr>
        <w:pStyle w:val="Decisionquote"/>
      </w:pPr>
      <w:r>
        <w:t>...validated in four independent ways.</w:t>
      </w:r>
    </w:p>
    <w:p>
      <w:pPr>
        <w:pStyle w:val="Heading3"/>
      </w:pPr>
      <w:r>
        <w:t>6. Ambient-occlusion scalar</w:t>
      </w:r>
    </w:p>
    <w:p>
      <w:r>
        <w:rPr>
          <w:b/>
        </w:rPr>
        <w:t>Decision: AI.</w:t>
      </w:r>
    </w:p>
    <w:p>
      <w:r>
        <w:t>Use the shorter wording:</w:t>
      </w:r>
    </w:p>
    <w:p>
      <w:pPr>
        <w:pStyle w:val="Decisionquote"/>
      </w:pPr>
      <w:r>
        <w:t>Whole-body absorbed power reduces to a flux-weighted transmission scalar and a single ambient-occlusion scalar.</w:t>
      </w:r>
    </w:p>
    <w:p>
      <w:pPr>
        <w:pStyle w:val="Heading3"/>
      </w:pPr>
      <w:r>
        <w:t>7. Matrix-vector multiplication and timing</w:t>
      </w:r>
    </w:p>
    <w:p>
      <w:r>
        <w:rPr>
          <w:b/>
        </w:rPr>
        <w:t>Decision: AI.</w:t>
      </w:r>
    </w:p>
    <w:p>
      <w:r>
        <w:t>Fix the grammar but retain the timing result:</w:t>
      </w:r>
    </w:p>
    <w:p>
      <w:pPr>
        <w:pStyle w:val="Decisionquote"/>
      </w:pPr>
      <w:r>
        <w:t>For a body mesh under many incident paths, the absorbed-power map is a single matrix-vector multiplication, evaluated in under 10 ms.</w:t>
      </w:r>
    </w:p>
    <w:p>
      <w:pPr>
        <w:pStyle w:val="Heading3"/>
      </w:pPr>
      <w:r>
        <w:t>8. Section or equation numbers in the flowchart</w:t>
      </w:r>
    </w:p>
    <w:p>
      <w:r>
        <w:rPr>
          <w:b/>
        </w:rPr>
        <w:t>Decision: RW.</w:t>
      </w:r>
    </w:p>
    <w:p>
      <w:r>
        <w:t>Do not add the references to the figure. Explain that they made the flowchart too crowded and that the caption already maps the reductions to the relevant derivations.</w:t>
      </w:r>
    </w:p>
    <w:p>
      <w:r>
        <w:t>Suggested response:</w:t>
      </w:r>
    </w:p>
    <w:p>
      <w:pPr>
        <w:pStyle w:val="Decisionquote"/>
      </w:pPr>
      <w:r>
        <w:t>I tried adding equation and section references to the flowchart, but the result became too crowded. The caption already maps each reduction to the relevant derivation, so I retained the cleaner figure. I can share the alternate version if you would like to compare them.</w:t>
      </w:r>
    </w:p>
    <w:p>
      <w:pPr>
        <w:pStyle w:val="Heading3"/>
      </w:pPr>
      <w:r>
        <w:t>9. Polarization-independent value</w:t>
      </w:r>
    </w:p>
    <w:p>
      <w:r>
        <w:rPr>
          <w:b/>
        </w:rPr>
        <w:t>Decision: ET, with the scope made explicit.</w:t>
      </w:r>
    </w:p>
    <w:p>
      <w:r>
        <w:t>Use:</w:t>
      </w:r>
    </w:p>
    <w:p>
      <w:pPr>
        <w:pStyle w:val="Decisionquote"/>
      </w:pPr>
      <w:r>
        <w:t>At normal incidence, $\mu=1$ and $\xi=\tilde n$, giving the polarization-independent normal-incidence value...</w:t>
      </w:r>
    </w:p>
    <w:p>
      <w:r>
        <w:t>This avoids implying polarization independence at oblique incidence.</w:t>
      </w:r>
    </w:p>
    <w:p>
      <w:pPr>
        <w:pStyle w:val="Heading3"/>
      </w:pPr>
      <w:r>
        <w:t>10. Circularly polarized illumination</w:t>
      </w:r>
    </w:p>
    <w:p>
      <w:r>
        <w:rPr>
          <w:b/>
        </w:rPr>
        <w:t>Decision: ET.</w:t>
      </w:r>
    </w:p>
    <w:p>
      <w:r>
        <w:t>Change “circular illumination” to “circularly polarized illumination.”</w:t>
      </w:r>
    </w:p>
    <w:p>
      <w:pPr>
        <w:pStyle w:val="Heading3"/>
      </w:pPr>
      <w:r>
        <w:t>11. Linearly polarized illumination</w:t>
      </w:r>
    </w:p>
    <w:p>
      <w:r>
        <w:rPr>
          <w:b/>
        </w:rPr>
        <w:t>Decision: ET's likely intent.</w:t>
      </w:r>
    </w:p>
    <w:p>
      <w:r>
        <w:t>Use “linearly polarized,” not the literal copied replacement “circularly polarized.” Do not mention the apparent copy-paste error in the response report.</w:t>
      </w:r>
    </w:p>
    <w:p>
      <w:r>
        <w:t>Final sentence for items 10 and 11:</w:t>
      </w:r>
    </w:p>
    <w:p>
      <w:pPr>
        <w:pStyle w:val="Decisionquote"/>
      </w:pPr>
      <w:r>
        <w:t>The polarization correction vanishes pointwise for circularly polarized illumination, in expectation for randomly oriented linearly polarized illumination, and to within 2.5% under multipath averaging with at least 20 paths.</w:t>
      </w:r>
    </w:p>
    <w:p>
      <w:pPr>
        <w:pStyle w:val="Heading3"/>
      </w:pPr>
      <w:r>
        <w:t>12. Uncommented Section III highlight</w:t>
      </w:r>
    </w:p>
    <w:p>
      <w:r>
        <w:rPr>
          <w:b/>
        </w:rPr>
        <w:t>Decision: ask jointly with item 16.</w:t>
      </w:r>
    </w:p>
    <w:p>
      <w:r>
        <w:t>No manuscript change is justified by the highlight alone.</w:t>
      </w:r>
    </w:p>
    <w:p>
      <w:pPr>
        <w:pStyle w:val="Heading3"/>
      </w:pPr>
      <w:r>
        <w:t>13. Extend Figure 3 to 90 degrees</w:t>
      </w:r>
    </w:p>
    <w:p>
      <w:r>
        <w:rPr>
          <w:b/>
        </w:rPr>
        <w:t>Decision: ET.</w:t>
      </w:r>
    </w:p>
    <w:p>
      <w:r>
        <w:t xml:space="preserve">Extend both Figure 3 panels to $90^\circ$. The correct generator is </w:t>
      </w:r>
      <w:r>
        <w:rPr>
          <w:rFonts w:ascii="Aptos Mono" w:hAnsi="Aptos Mono"/>
          <w:color w:val="373737"/>
          <w:sz w:val="19"/>
        </w:rPr>
        <w:t>scripts/apd_direction_analysis.py</w:t>
      </w:r>
      <w:r>
        <w:t>. It currently samples and displays only $0^\circ$ to $85^\circ$.</w:t>
      </w:r>
    </w:p>
    <w:p>
      <w:r>
        <w:t>Required script changes:</w:t>
      </w:r>
    </w:p>
    <w:p>
      <w:pPr>
        <w:pStyle w:val="ListBullet"/>
      </w:pPr>
      <w:r>
        <w:t xml:space="preserve">Change </w:t>
      </w:r>
      <w:r>
        <w:rPr>
          <w:rFonts w:ascii="Aptos Mono" w:hAnsi="Aptos Mono"/>
          <w:color w:val="373737"/>
          <w:sz w:val="19"/>
        </w:rPr>
        <w:t>theta_deg = np.linspace(0, 85, 400)</w:t>
      </w:r>
      <w:r>
        <w:t xml:space="preserve"> to include $90^\circ$.</w:t>
      </w:r>
    </w:p>
    <w:p>
      <w:pPr>
        <w:pStyle w:val="ListBullet"/>
      </w:pPr>
      <w:r>
        <w:t>Change both x-limits from 85 to 90.</w:t>
      </w:r>
    </w:p>
    <w:p>
      <w:pPr>
        <w:pStyle w:val="ListBullet"/>
      </w:pPr>
      <w:r>
        <w:t>Add 90 to both x-tick lists.</w:t>
      </w:r>
    </w:p>
    <w:p>
      <w:pPr>
        <w:pStyle w:val="ListBullet"/>
      </w:pPr>
      <w:r>
        <w:t xml:space="preserve">Regenerate </w:t>
      </w:r>
      <w:r>
        <w:rPr>
          <w:rFonts w:ascii="Aptos Mono" w:hAnsi="Aptos Mono"/>
          <w:color w:val="373737"/>
          <w:sz w:val="19"/>
        </w:rPr>
        <w:t>figures/apd_angle_panel_T.pdf</w:t>
      </w:r>
      <w:r>
        <w:t xml:space="preserve"> and</w:t>
      </w:r>
    </w:p>
    <w:p>
      <w:r>
        <w:rPr>
          <w:rFonts w:ascii="Aptos Mono" w:hAnsi="Aptos Mono"/>
          <w:color w:val="373737"/>
          <w:sz w:val="19"/>
        </w:rPr>
        <w:t>figures/apd_angle_panel_APD.pdf</w:t>
      </w:r>
      <w:r>
        <w:t xml:space="preserve"> in PDF mode.</w:t>
      </w:r>
    </w:p>
    <w:p>
      <w:r>
        <w:t>Keep the text simple, but do not describe the full-range approximation error as 5.6%. See item 15.</w:t>
      </w:r>
    </w:p>
    <w:p>
      <w:pPr>
        <w:pStyle w:val="Heading3"/>
      </w:pPr>
      <w:r>
        <w:t>14. Frequency range of the pseudo-Brewster evidence</w:t>
      </w:r>
    </w:p>
    <w:p>
      <w:r>
        <w:rPr>
          <w:b/>
        </w:rPr>
        <w:t>Decision: RW.</w:t>
      </w:r>
    </w:p>
    <w:p>
      <w:r>
        <w:t>Make no change. Omit this item from the response report.</w:t>
      </w:r>
    </w:p>
    <w:p>
      <w:pPr>
        <w:pStyle w:val="Heading3"/>
      </w:pPr>
      <w:r>
        <w:t>15. Replace Table I with concise text</w:t>
      </w:r>
    </w:p>
    <w:p>
      <w:r>
        <w:rPr>
          <w:b/>
        </w:rPr>
        <w:t>Decision: RW.</w:t>
      </w:r>
    </w:p>
    <w:p>
      <w:r>
        <w:t>Remove Table I and thank Emmeric for the space-saving suggestion in the response report.</w:t>
      </w:r>
    </w:p>
    <w:p>
      <w:r>
        <w:t>Final writing:</w:t>
      </w:r>
    </w:p>
    <w:p>
      <w:pPr>
        <w:pStyle w:val="Decisionquote"/>
      </w:pPr>
      <w:r>
        <w:t>$T_{\mathrm{avg}}/T_0$ is at most 1.056 across $[0^\circ,90^\circ]$ on skin at 28 GHz. Below $20^\circ$, the deviation stays below 0.2%.</w:t>
      </w:r>
    </w:p>
    <w:p>
      <w:r>
        <w:t>Suggested response:</w:t>
      </w:r>
    </w:p>
    <w:p>
      <w:pPr>
        <w:pStyle w:val="Decisionquote"/>
      </w:pPr>
      <w:r>
        <w:t>Thank you. We removed the redundant angle-by-angle table and retained the key behavior in the text. We also extended Figure 3 to $90^\circ$ so that the grazing-incidence behavior is visible.</w:t>
      </w:r>
    </w:p>
    <w:p>
      <w:pPr>
        <w:pStyle w:val="Heading3"/>
      </w:pPr>
      <w:r>
        <w:t>16. Uncommented Cauchy-heading highlight</w:t>
      </w:r>
    </w:p>
    <w:p>
      <w:r>
        <w:rPr>
          <w:b/>
        </w:rPr>
        <w:t>Decision: ask jointly with item 12.</w:t>
      </w:r>
    </w:p>
    <w:p>
      <w:r>
        <w:t>Suggested one-sentence question:</w:t>
      </w:r>
    </w:p>
    <w:p>
      <w:pPr>
        <w:pStyle w:val="Decisionquote"/>
      </w:pPr>
      <w:r>
        <w:t>You highlighted the headings “Method: pseudo-Brewster compensation” and “Generalized Cauchy formula” without an attached comment. Did you intend a change to either heading?</w:t>
      </w:r>
    </w:p>
    <w:p>
      <w:pPr>
        <w:pStyle w:val="Heading3"/>
      </w:pPr>
      <w:r>
        <w:t>17. Remove both theorem environments</w:t>
      </w:r>
    </w:p>
    <w:p>
      <w:r>
        <w:rPr>
          <w:b/>
        </w:rPr>
        <w:t>Decision: RW.</w:t>
      </w:r>
    </w:p>
    <w:p>
      <w:r>
        <w:t>Agree with Emmeric that the result does not need to be presented as a theorem. Do not replace it with “Proposition 1.”</w:t>
      </w:r>
    </w:p>
    <w:p>
      <w:r>
        <w:t>Keep the opening sentence:</w:t>
      </w:r>
    </w:p>
    <w:p>
      <w:pPr>
        <w:pStyle w:val="Decisionquote"/>
      </w:pPr>
      <w:r>
        <w:t>The generalized Cauchy formula is the central whole-body identity.</w:t>
      </w:r>
    </w:p>
    <w:p>
      <w:r>
        <w:t>Then place the current theorem statement in normal, non-italic text. Continue directly into the derivation without a separate proof heading or a QED box. Replace:</w:t>
      </w:r>
    </w:p>
    <w:p>
      <w:pPr>
        <w:pStyle w:val="Decisionquote"/>
      </w:pPr>
      <w:r>
        <w:t>Apply Fubini's theorem...</w:t>
      </w:r>
    </w:p>
    <w:p>
      <w:r>
        <w:t>with:</w:t>
      </w:r>
    </w:p>
    <w:p>
      <w:pPr>
        <w:pStyle w:val="Decisionquote"/>
      </w:pPr>
      <w:r>
        <w:t>To see why, apply Fubini's theorem...</w:t>
      </w:r>
    </w:p>
    <w:p>
      <w:r>
        <w:t>Apply the same treatment to Theorem 2 in the compliance section. Remove the theorem environment and keep the statement in normal, non-italic text. Do not start a new paragraph after “The following bound links the cube quantity to APD.” Continue directly:</w:t>
      </w:r>
    </w:p>
    <w:p>
      <w:pPr>
        <w:pStyle w:val="Decisionquote"/>
      </w:pPr>
      <w:r>
        <w:t>The following bound links the cube quantity to APD. For an axis-aligned 10 g cube placed per IEC/IEEE 62704-1 on a planar three-layer body, the peak spatial-average SAR satisfies</w:t>
      </w:r>
    </w:p>
    <w:p>
      <w:r>
        <w:t>Then display Eq. (18) and continue with “where...” in normal text. Do not add a theorem heading, proof heading, QED box, or extra line break before “For an axis-aligned 10 g cube.”</w:t>
      </w:r>
    </w:p>
    <w:p>
      <w:r>
        <w:t>Suggested response:</w:t>
      </w:r>
    </w:p>
    <w:p>
      <w:pPr>
        <w:pStyle w:val="Decisionquote"/>
      </w:pPr>
      <w:r>
        <w:t>Agreed. We removed both theorem environments. The generalized Cauchy result is now presented as the central whole-body identity followed directly by its short derivation, and the 10 g cube bound is stated directly in the compliance text.</w:t>
      </w:r>
    </w:p>
    <w:p>
      <w:pPr>
        <w:pStyle w:val="Heading3"/>
      </w:pPr>
      <w:r>
        <w:t>18. Intuition for the $S^2$ identity</w:t>
      </w:r>
    </w:p>
    <w:p>
      <w:r>
        <w:rPr>
          <w:b/>
        </w:rPr>
        <w:t>Decision: RW.</w:t>
      </w:r>
    </w:p>
    <w:p>
      <w:r>
        <w:t>Do not change the manuscript. Give only a brief explanation in the response report.</w:t>
      </w:r>
    </w:p>
    <w:p>
      <w:r>
        <w:t>Suggested response:</w:t>
      </w:r>
    </w:p>
    <w:p>
      <w:pPr>
        <w:pStyle w:val="Decisionquote"/>
      </w:pPr>
      <w:r>
        <w:t>Here $S^2$ denotes the sphere of all incident directions, not the body surface. Choosing the local normal as the polar axis reduces the identity to the elementary cosine integral over one hemisphere, which equals $\pi$.</w:t>
      </w:r>
    </w:p>
    <w:p>
      <w:pPr>
        <w:pStyle w:val="Heading3"/>
      </w:pPr>
      <w:r>
        <w:t>19. Delete “from 1841”</w:t>
      </w:r>
    </w:p>
    <w:p>
      <w:r>
        <w:rPr>
          <w:b/>
        </w:rPr>
        <w:t>Decision: RW.</w:t>
      </w:r>
    </w:p>
    <w:p>
      <w:r>
        <w:t>Make no manuscript change. Omit this item from the response report.</w:t>
      </w:r>
    </w:p>
    <w:p>
      <w:pPr>
        <w:pStyle w:val="Heading3"/>
      </w:pPr>
      <w:r>
        <w:t>20. Omit the compliance-bounds section</w:t>
      </w:r>
    </w:p>
    <w:p>
      <w:r>
        <w:rPr>
          <w:b/>
        </w:rPr>
        <w:t>Decision: RW.</w:t>
      </w:r>
    </w:p>
    <w:p>
      <w:r>
        <w:t>Keep the section. Omit this item from the response report.</w:t>
      </w:r>
    </w:p>
    <w:p>
      <w:pPr>
        <w:pStyle w:val="Heading3"/>
      </w:pPr>
      <w:r>
        <w:t>21. Conservativeness relative to FDTD</w:t>
      </w:r>
    </w:p>
    <w:p>
      <w:r>
        <w:rPr>
          <w:b/>
        </w:rPr>
        <w:t>Decision: RW.</w:t>
      </w:r>
    </w:p>
    <w:p>
      <w:r>
        <w:t xml:space="preserve">Make no manuscript change now. Omit this item from the response report. Revisit the conservativeness wording and the </w:t>
      </w:r>
      <w:r>
        <w:rPr>
          <w:rFonts w:ascii="Aptos Mono" w:hAnsi="Aptos Mono"/>
          <w:color w:val="373737"/>
          <w:sz w:val="19"/>
        </w:rPr>
        <w:t>R(f)</w:t>
      </w:r>
      <w:r>
        <w:t xml:space="preserve"> sign labels later.</w:t>
      </w:r>
    </w:p>
    <w:p>
      <w:pPr>
        <w:pStyle w:val="Heading2"/>
      </w:pPr>
      <w:r>
        <w:t>Bibliographic update</w:t>
      </w:r>
    </w:p>
    <w:p>
      <w:r>
        <w:t>The current reference reads:</w:t>
      </w:r>
    </w:p>
    <w:p>
      <w:pPr>
        <w:pStyle w:val="Decisionquote"/>
      </w:pPr>
      <w:r>
        <w:t>R. Wydaeghe et al., “Environmental and auto-induced RF-EMF adult and children far-field exposure simulations between 450 MHz and 26 GHz,” Phys. Med. Biol., 2026, under review.</w:t>
      </w:r>
    </w:p>
    <w:p>
      <w:r>
        <w:t>The paper has now been accepted. For now, use:</w:t>
      </w:r>
    </w:p>
    <w:p>
      <w:pPr>
        <w:pStyle w:val="Decisionquote"/>
      </w:pPr>
      <w:r>
        <w:t>R. Wydaeghe et al., “Environmental and auto-induced RF-EMF adult and children far-field exposure simulations between 450 MHz and 26 GHz,” Phys. Med. Biol., accepted for publication, 2026.</w:t>
      </w:r>
    </w:p>
    <w:p>
      <w:r>
        <w:t>Do not include a DOI yet. Revisit the bibliographic details later.</w:t>
      </w:r>
    </w:p>
    <w:p>
      <w:pPr>
        <w:pStyle w:val="Heading2"/>
      </w:pPr>
      <w:r>
        <w:t>Latexdiff deliverable for Emmeric</w:t>
      </w:r>
    </w:p>
    <w:p>
      <w:r>
        <w:t>After all accepted manuscript changes are complete, prepare a compiled before-and-after LaTeX diff for Emmeric.</w:t>
      </w:r>
    </w:p>
    <w:p>
      <w:pPr>
        <w:pStyle w:val="ListBullet"/>
      </w:pPr>
      <w:r>
        <w:t xml:space="preserve">Use </w:t>
      </w:r>
      <w:r>
        <w:rPr>
          <w:rFonts w:ascii="Aptos Mono" w:hAnsi="Aptos Mono"/>
          <w:color w:val="373737"/>
          <w:sz w:val="19"/>
        </w:rPr>
        <w:t>v3_to_coauthors/paper.tex</w:t>
      </w:r>
      <w:r>
        <w:t xml:space="preserve"> as the unmodified before version.</w:t>
      </w:r>
    </w:p>
    <w:p>
      <w:pPr>
        <w:pStyle w:val="ListBullet"/>
      </w:pPr>
      <w:r>
        <w:t>Use the final revised manuscript source as the after version.</w:t>
      </w:r>
    </w:p>
    <w:p>
      <w:pPr>
        <w:pStyle w:val="ListBullet"/>
      </w:pPr>
      <w:r>
        <w:t xml:space="preserve">Generate the diff with </w:t>
      </w:r>
      <w:r>
        <w:rPr>
          <w:rFonts w:ascii="Aptos Mono" w:hAnsi="Aptos Mono"/>
          <w:color w:val="373737"/>
          <w:sz w:val="19"/>
        </w:rPr>
        <w:t>latexdiff --flatten</w:t>
      </w:r>
      <w:r>
        <w:t xml:space="preserve"> so included content is expanded.</w:t>
      </w:r>
    </w:p>
    <w:p>
      <w:pPr>
        <w:pStyle w:val="ListBullet"/>
      </w:pPr>
      <w:r>
        <w:t>Compile the diff to PDF and inspect every changed region visually.</w:t>
      </w:r>
    </w:p>
    <w:p>
      <w:pPr>
        <w:pStyle w:val="ListBullet"/>
      </w:pPr>
      <w:r>
        <w:t>Send the latexdiff PDF with the response document.</w:t>
      </w:r>
    </w:p>
    <w:p>
      <w:pPr>
        <w:pStyle w:val="ListBullet"/>
      </w:pPr>
      <w:r>
        <w:t>If the SI changes, prepare a separate SI latexdiff using</w:t>
      </w:r>
    </w:p>
    <w:p>
      <w:r>
        <w:rPr>
          <w:rFonts w:ascii="Aptos Mono" w:hAnsi="Aptos Mono"/>
          <w:color w:val="373737"/>
          <w:sz w:val="19"/>
        </w:rPr>
        <w:t>v3_to_coauthors/paper_SI.tex</w:t>
      </w:r>
      <w:r>
        <w:t xml:space="preserve"> as its before version.</w:t>
      </w:r>
    </w:p>
    <w:p>
      <w:r>
        <w:t>Planned command structure:</w:t>
      </w:r>
    </w:p>
    <w:p>
      <w:pPr>
        <w:pStyle w:val="Codeblock"/>
        <w:shd w:fill="F2F2F2"/>
      </w:pPr>
      <w:r>
        <w:t>latexdiff --flatten v3_to_coauthors/paper.tex FINAL_PAPER.tex \</w:t>
      </w:r>
    </w:p>
    <w:p>
      <w:pPr>
        <w:pStyle w:val="Codeblock"/>
        <w:shd w:fill="F2F2F2"/>
      </w:pPr>
      <w:r>
        <w:t xml:space="preserve">  &gt; v3_to_coauthors/tap_paper_v3_et_latexdiff.tex</w:t>
      </w:r>
    </w:p>
    <w:p>
      <w:pPr>
        <w:pStyle w:val="Codeblock"/>
        <w:shd w:fill="F2F2F2"/>
      </w:pPr>
      <w:r>
        <w:t>latexmk -pdf v3_to_coauthors/tap_paper_v3_et_latexdiff.tex</w:t>
      </w:r>
    </w:p>
    <w:p>
      <w:r>
        <w:t xml:space="preserve">Replace </w:t>
      </w:r>
      <w:r>
        <w:rPr>
          <w:rFonts w:ascii="Aptos Mono" w:hAnsi="Aptos Mono"/>
          <w:color w:val="373737"/>
          <w:sz w:val="19"/>
        </w:rPr>
        <w:t>FINAL_PAPER.tex</w:t>
      </w:r>
      <w:r>
        <w:t xml:space="preserve"> with the actual revised source path after the edits are complete.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87878"/>
        <w:sz w:val="16"/>
      </w:rPr>
      <w:t>ET feedback decisions | TAP paper v3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quote">
    <w:name w:val="Decision quote"/>
    <w:pPr>
      <w:spacing w:after="100"/>
      <w:ind w:left="403" w:right="216"/>
    </w:pPr>
    <w:rPr>
      <w:rFonts w:ascii="Aptos" w:hAnsi="Aptos"/>
      <w:i/>
      <w:color w:val="404040"/>
      <w:sz w:val="21"/>
    </w:rPr>
  </w:style>
  <w:style w:type="paragraph" w:customStyle="1" w:styleId="Codeblock">
    <w:name w:val="Code block"/>
    <w:pPr>
      <w:spacing w:after="0"/>
      <w:ind w:left="360"/>
    </w:pPr>
    <w:rPr>
      <w:rFonts w:ascii="Aptos Mono" w:hAnsi="Aptos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Robin's decisions on ET's feedback</dc:title>
  <dc:subject>TAP paper v3 co-promotor feedback decisions</dc:subject>
  <dc:creator>Robin Wydaeghe</dc:creator>
  <cp:keywords/>
  <dc:description>generated by python-docx</dc:description>
  <cp:lastModifiedBy/>
  <cp:revision>1</cp:revision>
  <dcterms:created xsi:type="dcterms:W3CDTF">2013-12-23T23:15:00Z</dcterms:created>
  <dcterms:modified xsi:type="dcterms:W3CDTF">2013-12-23T23:15:00Z</dcterms:modified>
  <cp:category/>
</cp:coreProperties>
</file>