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ad10212da3d3d1ec8a57bed9b92e52d30fb909f"/>
    <w:p>
      <w:pPr>
        <w:pStyle w:val="Heading1"/>
      </w:pPr>
      <w:r>
        <w:t xml:space="preserve">Advice of the promotors / supervisors on the status of research results that can create value</w:t>
      </w:r>
    </w:p>
    <w:p>
      <w:pPr>
        <w:pStyle w:val="FirstParagraph"/>
      </w:pPr>
      <w:r>
        <w:t xml:space="preserve">Issued under Articles 17, 26, 27 and 30 of the Education and Examination Code for Doctoral Matters, Ghent University.</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Doctoral student</w:t>
            </w:r>
          </w:p>
        </w:tc>
        <w:tc>
          <w:tcPr/>
          <w:p>
            <w:pPr>
              <w:pStyle w:val="Compact"/>
            </w:pPr>
            <w:r>
              <w:t xml:space="preserve">Robin Wydaeghe</w:t>
            </w:r>
          </w:p>
        </w:tc>
      </w:tr>
      <w:tr>
        <w:tc>
          <w:tcPr/>
          <w:p>
            <w:pPr>
              <w:pStyle w:val="Compact"/>
            </w:pPr>
            <w:r>
              <w:t xml:space="preserve">Dissertation</w:t>
            </w:r>
          </w:p>
        </w:tc>
        <w:tc>
          <w:tcPr/>
          <w:p>
            <w:pPr>
              <w:pStyle w:val="Compact"/>
            </w:pPr>
            <w:r>
              <w:t xml:space="preserve">Hybrid Computational Methods for 6G Exposure Assessment</w:t>
            </w:r>
          </w:p>
        </w:tc>
      </w:tr>
      <w:tr>
        <w:tc>
          <w:tcPr/>
          <w:p>
            <w:pPr>
              <w:pStyle w:val="Compact"/>
            </w:pPr>
            <w:r>
              <w:t xml:space="preserve">Degree</w:t>
            </w:r>
          </w:p>
        </w:tc>
        <w:tc>
          <w:tcPr/>
          <w:p>
            <w:pPr>
              <w:pStyle w:val="Compact"/>
            </w:pPr>
            <w:r>
              <w:t xml:space="preserve">Doctor of Engineering Physics</w:t>
            </w:r>
          </w:p>
        </w:tc>
      </w:tr>
      <w:tr>
        <w:tc>
          <w:tcPr/>
          <w:p>
            <w:pPr>
              <w:pStyle w:val="Compact"/>
            </w:pPr>
            <w:r>
              <w:t xml:space="preserve">Faculty</w:t>
            </w:r>
          </w:p>
        </w:tc>
        <w:tc>
          <w:tcPr/>
          <w:p>
            <w:pPr>
              <w:pStyle w:val="Compact"/>
            </w:pPr>
            <w:r>
              <w:t xml:space="preserve">Faculty of Engineering and Architecture</w:t>
            </w:r>
          </w:p>
        </w:tc>
      </w:tr>
      <w:tr>
        <w:tc>
          <w:tcPr/>
          <w:p>
            <w:pPr>
              <w:pStyle w:val="Compact"/>
            </w:pPr>
            <w:r>
              <w:t xml:space="preserve">Department</w:t>
            </w:r>
          </w:p>
        </w:tc>
        <w:tc>
          <w:tcPr/>
          <w:p>
            <w:pPr>
              <w:pStyle w:val="Compact"/>
            </w:pPr>
            <w:r>
              <w:t xml:space="preserve">Department of Information Technology (INTEC), WAVES research group (UGent-imec)</w:t>
            </w:r>
          </w:p>
        </w:tc>
      </w:tr>
      <w:tr>
        <w:tc>
          <w:tcPr/>
          <w:p>
            <w:pPr>
              <w:pStyle w:val="Compact"/>
            </w:pPr>
            <w:r>
              <w:t xml:space="preserve">Promotors / supervisors</w:t>
            </w:r>
          </w:p>
        </w:tc>
        <w:tc>
          <w:tcPr/>
          <w:p>
            <w:pPr>
              <w:pStyle w:val="Compact"/>
            </w:pPr>
            <w:r>
              <w:t xml:space="preserve">prof. dr. ir. Wout Joseph, prof. dr. ir. Emmeric Tanghe</w:t>
            </w:r>
          </w:p>
        </w:tc>
      </w:tr>
      <w:tr>
        <w:tc>
          <w:tcPr/>
          <w:p>
            <w:pPr>
              <w:pStyle w:val="Compact"/>
            </w:pPr>
            <w:r>
              <w:t xml:space="preserve">Confidentiality procedure</w:t>
            </w:r>
          </w:p>
        </w:tc>
        <w:tc>
          <w:tcPr/>
          <w:p>
            <w:pPr>
              <w:pStyle w:val="Compact"/>
            </w:pPr>
            <w:r>
              <w:t xml:space="preserve">Option 1b of the scheme in the annex to the Code (confidentiality during the first part of the doctoral examination, patent application to be filed before the public defence)</w:t>
            </w:r>
          </w:p>
        </w:tc>
      </w:tr>
    </w:tbl>
    <w:bookmarkStart w:id="9" w:name="recommendation-on-submission"/>
    <w:p>
      <w:pPr>
        <w:pStyle w:val="Heading2"/>
      </w:pPr>
      <w:r>
        <w:t xml:space="preserve">1. Recommendation on submission</w:t>
      </w:r>
    </w:p>
    <w:p>
      <w:pPr>
        <w:pStyle w:val="FirstParagraph"/>
      </w:pPr>
      <w:r>
        <w:t xml:space="preserve">The promotors / supervisors recommend submitting this dissertation to the Faculty Council. Under Article 26 §1, this advice contains the required clause on the status of research results that can create value and on the restrictions on their disclosure under Article 17 §3.</w:t>
      </w:r>
    </w:p>
    <w:bookmarkEnd w:id="9"/>
    <w:bookmarkStart w:id="10" w:name="X0fb3c7448bb9dba7d0d1456f90972021635b438"/>
    <w:p>
      <w:pPr>
        <w:pStyle w:val="Heading2"/>
      </w:pPr>
      <w:r>
        <w:t xml:space="preserve">2. Status of the research results that can create value</w:t>
      </w:r>
    </w:p>
    <w:p>
      <w:pPr>
        <w:pStyle w:val="FirstParagraph"/>
      </w:pPr>
      <w:r>
        <w:t xml:space="preserve">The dissertation contains research results that can create value. They concern computational methods and software for assessing human exposure to wireless networks.</w:t>
      </w:r>
    </w:p>
    <w:p>
      <w:pPr>
        <w:pStyle w:val="BodyText"/>
      </w:pPr>
      <w:r>
        <w:t xml:space="preserve">Under Article 17 §2, these results were reported to the Technology Transfer Office before any publication. An invention disclosure was filed under Ghent University reference P2026/040 (file 32471) on 15 April 2026. The file is handled by Alessandro Biondi of the Technology Transfer Office. A patent application based on this disclosure is in preparation. No priority filing has been made yet, and the results have not been publicly disclosed in any form.</w:t>
      </w:r>
    </w:p>
    <w:bookmarkEnd w:id="10"/>
    <w:bookmarkStart w:id="11" w:name="restrictions-on-disclosure"/>
    <w:p>
      <w:pPr>
        <w:pStyle w:val="Heading2"/>
      </w:pPr>
      <w:r>
        <w:t xml:space="preserve">3. Restrictions on disclosure</w:t>
      </w:r>
    </w:p>
    <w:p>
      <w:pPr>
        <w:pStyle w:val="FirstParagraph"/>
      </w:pPr>
      <w:r>
        <w:t xml:space="preserve">Pending the priority filing, the following restrictions apply under Article 17 §3.</w:t>
      </w:r>
    </w:p>
    <w:p>
      <w:pPr>
        <w:numPr>
          <w:ilvl w:val="0"/>
          <w:numId w:val="1001"/>
        </w:numPr>
      </w:pPr>
      <w:r>
        <w:t xml:space="preserve">On the written request of the Valorisation Office to the dean, the measures of Article 27 §4 are applied. The dissertation must be handled confidentially by all members of the Examination Board. The chair of the Examination Board informs Ghent University employees in writing of the confidentiality of the relevant parts when forwarding the dissertation. For each member who is not a Ghent University employee, the chair ensures that a confidentiality agreement has been signed by that member or an affiliated organization before the dissertation is forwarded.</w:t>
      </w:r>
    </w:p>
    <w:p>
      <w:pPr>
        <w:numPr>
          <w:ilvl w:val="0"/>
          <w:numId w:val="1001"/>
        </w:numPr>
      </w:pPr>
      <w:r>
        <w:t xml:space="preserve">The Valorisation Office aims to have secured legal protection of the results before the public defence (Article 27 §4, 3°). If the priority filing has not been made by then, the procedure of Article 30 §2 applies, and the public defence proceeds under the emergency procedures for conditional publication set in consultation with the Technology Transfer Office.</w:t>
      </w:r>
    </w:p>
    <w:p>
      <w:pPr>
        <w:numPr>
          <w:ilvl w:val="0"/>
          <w:numId w:val="1001"/>
        </w:numPr>
      </w:pPr>
      <w:r>
        <w:t xml:space="preserve">Access to the digital version of the dissertation filed in Biblio is restricted under Article 30 §8 until 1 January 2027.</w:t>
      </w:r>
    </w:p>
    <w:p>
      <w:pPr>
        <w:pStyle w:val="FirstParagraph"/>
      </w:pPr>
      <w:r>
        <w:t xml:space="preserve">The members of the Examination Board will receive the complete reading version only after the Faculty Council has appointed the Examination Board, after the Dean’s Office has sent its guidelines to the supervisor and the Examination Board, and after all required non-disclosure agreements have been signed. The restrictions in items 1 to 3 concern only disclosure outside the doctoral examination.</w:t>
      </w:r>
    </w:p>
    <w:bookmarkEnd w:id="11"/>
    <w:bookmarkStart w:id="12" w:name="confidentiality-procedure"/>
    <w:p>
      <w:pPr>
        <w:pStyle w:val="Heading2"/>
      </w:pPr>
      <w:r>
        <w:t xml:space="preserve">4. Confidentiality procedure</w:t>
      </w:r>
    </w:p>
    <w:p>
      <w:pPr>
        <w:pStyle w:val="FirstParagraph"/>
      </w:pPr>
      <w:r>
        <w:t xml:space="preserve">The confidentiality procedure of the annex to the Code (</w:t>
      </w:r>
      <w:r>
        <w:t xml:space="preserve">“Carrying out a doctorate or a research project in due consideration of confidentiality aspects”</w:t>
      </w:r>
      <w:r>
        <w:t xml:space="preserve">, point 4.2) applies under option 1b: the patent application will be filed after the first part of the doctoral examination and before the public defence, so confidentiality applies to that first part.</w:t>
      </w:r>
    </w:p>
    <w:p>
      <w:pPr>
        <w:numPr>
          <w:ilvl w:val="0"/>
          <w:numId w:val="1002"/>
        </w:numPr>
      </w:pPr>
      <w:r>
        <w:t xml:space="preserve">The reading version of the dissertation will carry the confidentiality notice of the Dean’s Office (doctoraat.ea@ugent.be) on its first page.</w:t>
      </w:r>
    </w:p>
    <w:p>
      <w:pPr>
        <w:numPr>
          <w:ilvl w:val="0"/>
          <w:numId w:val="1002"/>
        </w:numPr>
      </w:pPr>
      <w:r>
        <w:t xml:space="preserve">All proposed members of the Examination Board will be informed of the confidentiality of the reading version. Members who are not Ghent University employees will sign a non-disclosure agreement, preferably before the submission to the Faculty Council.</w:t>
      </w:r>
    </w:p>
    <w:p>
      <w:pPr>
        <w:numPr>
          <w:ilvl w:val="0"/>
          <w:numId w:val="1002"/>
        </w:numPr>
      </w:pPr>
      <w:r>
        <w:t xml:space="preserve">The reading version will be distributed only after all required non-disclosure agreements have been signed. The Dean’s Office checks the first page, checks with the doctoral student whether the required agreements have been signed, informs the Examination Board of the confidentiality, and notifies the Technology Transfer Office advisor named above of the submission.</w:t>
      </w:r>
    </w:p>
    <w:p>
      <w:pPr>
        <w:numPr>
          <w:ilvl w:val="0"/>
          <w:numId w:val="1002"/>
        </w:numPr>
      </w:pPr>
      <w:r>
        <w:t xml:space="preserve">The first part of the doctoral examination will take place under confidentiality. All attendants will be bound by it.</w:t>
      </w:r>
    </w:p>
    <w:p>
      <w:pPr>
        <w:numPr>
          <w:ilvl w:val="0"/>
          <w:numId w:val="1002"/>
        </w:numPr>
      </w:pPr>
      <w:r>
        <w:t xml:space="preserve">The public defence and the final dissertation are public, subject to the restriction on the Biblio version in item 3 of section 3. The title and the public summary of the dissertation contain no confidential information.</w:t>
      </w:r>
    </w:p>
    <w:bookmarkEnd w:id="12"/>
    <w:bookmarkStart w:id="13" w:name="signature"/>
    <w:p>
      <w:pPr>
        <w:pStyle w:val="Heading2"/>
      </w:pPr>
      <w:r>
        <w:t xml:space="preserve">Signature</w:t>
      </w:r>
    </w:p>
    <w:p>
      <w:pPr>
        <w:pStyle w:val="FirstParagraph"/>
      </w:pPr>
      <w:r>
        <w:t xml:space="preserve">Ghent, August 2026</w:t>
      </w:r>
    </w:p>
    <w:p>
      <w:pPr>
        <w:pStyle w:val="BodyText"/>
      </w:pPr>
      <w:r>
        <w:t xml:space="preserve">prof. dr. ir. Wout Joseph</w:t>
      </w:r>
      <w:r>
        <w:t xml:space="preserve"> </w:t>
      </w:r>
      <w:r>
        <w:t xml:space="preserve">Promotor / supervisor</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2026-08-21T12:20:15Z</dcterms:created>
  <dcterms:modified xsi:type="dcterms:W3CDTF">2026-08-21T12:20:15Z</dcterms:modified>
</cp:coreProperties>
</file>

<file path=docProps/custom.xml><?xml version="1.0" encoding="utf-8"?>
<Properties xmlns="http://schemas.openxmlformats.org/officeDocument/2006/custom-properties" xmlns:vt="http://schemas.openxmlformats.org/officeDocument/2006/docPropsVTypes"/>
</file>