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5DBC0">
      <w:pPr>
        <w:rPr>
          <w:rFonts w:hint="eastAsia" w:ascii="Times New Roman" w:hAnsi="Times New Roman" w:cs="Times New Roman"/>
          <w:b/>
          <w:sz w:val="28"/>
          <w:lang w:eastAsia="zh-CN"/>
        </w:rPr>
      </w:pPr>
      <w:r>
        <w:rPr>
          <w:rFonts w:hint="eastAsia" w:ascii="Times New Roman" w:hAnsi="Times New Roman" w:cs="Times New Roman"/>
          <w:b/>
          <w:sz w:val="28"/>
          <w:lang w:eastAsia="zh-CN"/>
        </w:rPr>
        <w:t>Highlights</w:t>
      </w:r>
    </w:p>
    <w:p w14:paraId="4A7DB47D">
      <w:pPr>
        <w:rPr>
          <w:rFonts w:hint="eastAsia" w:ascii="Times New Roman" w:hAnsi="Times New Roman" w:cs="Times New Roman"/>
          <w:b/>
          <w:sz w:val="28"/>
          <w:lang w:eastAsia="zh-CN"/>
        </w:rPr>
      </w:pPr>
    </w:p>
    <w:p w14:paraId="348E309B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• GPU-accelerated semi-analytical framework achieves 50</w:t>
      </w:r>
      <w:r>
        <w:rPr>
          <w:rFonts w:hint="eastAsia" w:ascii="Times New Roman" w:hAnsi="Times New Roman" w:cs="Times New Roman"/>
          <w:b w:val="0"/>
          <w:sz w:val="22"/>
          <w:lang w:val="en-US" w:eastAsia="zh-CN"/>
        </w:rPr>
        <w:t>X</w:t>
      </w:r>
      <w:r>
        <w:rPr>
          <w:rFonts w:hint="eastAsia" w:ascii="Times New Roman" w:hAnsi="Times New Roman" w:cs="Times New Roman"/>
          <w:b w:val="0"/>
          <w:sz w:val="22"/>
          <w:lang w:eastAsia="zh-CN"/>
        </w:rPr>
        <w:t>–341</w:t>
      </w:r>
      <w:r>
        <w:rPr>
          <w:rFonts w:hint="eastAsia" w:ascii="Times New Roman" w:hAnsi="Times New Roman" w:cs="Times New Roman"/>
          <w:b w:val="0"/>
          <w:sz w:val="22"/>
          <w:lang w:val="en-US" w:eastAsia="zh-CN"/>
        </w:rPr>
        <w:t>X</w:t>
      </w:r>
      <w:bookmarkStart w:id="0" w:name="_GoBack"/>
      <w:bookmarkEnd w:id="0"/>
      <w:r>
        <w:rPr>
          <w:rFonts w:hint="eastAsia" w:ascii="Times New Roman" w:hAnsi="Times New Roman" w:cs="Times New Roman"/>
          <w:b w:val="0"/>
          <w:sz w:val="22"/>
          <w:lang w:eastAsia="zh-CN"/>
        </w:rPr>
        <w:t xml:space="preserve"> speedup over 28-core CPU for transient pressure simulation in fractured reservoirs.</w:t>
      </w:r>
    </w:p>
    <w:p w14:paraId="3428A66A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p w14:paraId="10926873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• Systematic ablation analysis reveals Green's function separability accounts for 46% of cumulative speedup—outweighing hardware-level optimization.</w:t>
      </w:r>
    </w:p>
    <w:p w14:paraId="4880AB53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p w14:paraId="6EED32CC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• Field validation against western China shale gas well data reproduces all six diagnostic flow regimes with relative error below 0.4%.</w:t>
      </w:r>
    </w:p>
    <w:p w14:paraId="39DD5322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p w14:paraId="5863C87E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• Computational method generalizes to geothermal, groundwater, and crustal mechanics applications governed by convolution-type integral equations.</w:t>
      </w:r>
    </w:p>
    <w:p w14:paraId="7CA7CA90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p w14:paraId="04F9619A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• Complete source code provided as Supplementary Material with compilation and benchmark scripts.</w:t>
      </w:r>
    </w:p>
    <w:p w14:paraId="5AFEACA8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p w14:paraId="0F24ABB7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3796B"/>
    <w:rsid w:val="1FA3796B"/>
    <w:rsid w:val="3265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603</Characters>
  <Lines>0</Lines>
  <Paragraphs>0</Paragraphs>
  <TotalTime>0</TotalTime>
  <ScaleCrop>false</ScaleCrop>
  <LinksUpToDate>false</LinksUpToDate>
  <CharactersWithSpaces>681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2026-06-05T02:11:00Z</dcterms:created>
  <dc:creator>无为</dc:creator>
  <cp:lastModifiedBy>无为</cp:lastModifiedBy>
  <dcterms:modified xsi:type="dcterms:W3CDTF">2026-06-05T02:14:17Z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696E06271A2D4ECCAC2F991797C09334_11</vt:lpwstr>
  </property>
  <property fmtid="{D5CDD505-2E9C-101B-9397-08002B2CF9AE}" pid="4" name="KSOTemplateDocerSaveRecord">
    <vt:lpwstr>eyJoZGlkIjoiNzlhNTE5MGFkZTE2YTc5NGMwYzE1YmZjNWFlNDYzMTkiLCJ1c2VySWQiOiIxMjM2NzIwODI2In0=</vt:lpwstr>
  </property>
</Properties>
</file>