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May 26, 2026</w:t>
      </w:r>
    </w:p>
    <w:p>
      <w:pPr>
        <w:spacing w:after="240"/>
      </w:pPr>
      <w:r>
        <w:t>Dear Editor,</w:t>
      </w:r>
    </w:p>
    <w:p>
      <w:pPr>
        <w:spacing w:after="160"/>
        <w:ind w:firstLine="0"/>
      </w:pPr>
      <w:r>
        <w:t>We are pleased to submit our manuscript entitled "“Fracture-Conforming PEBI Grids with Integrated CPR–SA-AMG Preconditioning and Non-Blocking MPI Communication for Scalable Black-Oil Simulation of Shale Reservoirs” for consideration for publication in Computers &amp; Geosciences.</w:t>
      </w:r>
    </w:p>
    <w:p>
      <w:pPr>
        <w:spacing w:after="160"/>
        <w:ind w:firstLine="0"/>
      </w:pPr>
      <w:r>
        <w:t>The numerical simulation of multi-stage hydraulically fractured shale-oil reservoirs confronts three tightly coupled computational bottlenecks: geometric mismatch at fracture–matrix interfaces, severe ill-conditioning of the Jacobian system (permeability contrasts exceeding nine orders of magnitude), and communication-dominated parallel overhead at scale. Prior work has addressed these challenges independently—Cartesian LGR, EDFM, and unstructured meshing for geometry; CPR–AMG and Block-ILU for algebra; non-blocking MPI for concurrency—but no study has demonstrated their causal interdependence.</w:t>
      </w:r>
    </w:p>
    <w:p>
      <w:pPr>
        <w:spacing w:after="160"/>
        <w:ind w:firstLine="0"/>
      </w:pPr>
      <w:r>
        <w:t>The central contribution of this manuscript is the recognition that mesh generation, pressure-system preconditioning, and MPI communication scheduling form a causal chain (the Geometry–Algebra–Concurrency triad): fracture-conforming discretization restores diagonal dominance in the Jacobian, which reduces the Krylov iteration count, which in turn widens the window for asynchronous communication overlap. We demonstrate this causal structure through:</w:t>
      </w:r>
    </w:p>
    <w:p>
      <w:pPr>
        <w:spacing w:after="160"/>
        <w:ind w:firstLine="0"/>
      </w:pPr>
      <w:r>
        <w:t>(1) A fracture-conforming PEBI grid generator based on constrained Delaunay–Voronoi tessellation within a 2.5D extrusion formulation, achieving K-orthogonality (θ ≤ 5°) across 97.1% of interior faces and a near-fracture pressure error of 0.31%—improvements of 53–83% over EDFM, Cartesian LGR, and Cartesian uniform discretizations.</w:t>
      </w:r>
    </w:p>
    <w:p>
      <w:pPr>
        <w:spacing w:after="160"/>
        <w:ind w:firstLine="0"/>
      </w:pPr>
      <w:r>
        <w:t>(2) A CPR–SA-AMG preconditioner that reduces GMRES iterations from 312 to 21 (72.7% reduction in linear-solve time), with mesh-isolation experiments confirming that K-orthogonality independently accelerates the solver by a factor of 1.81×.</w:t>
      </w:r>
    </w:p>
    <w:p>
      <w:pPr>
        <w:spacing w:after="160"/>
        <w:ind w:firstLine="0"/>
      </w:pPr>
      <w:r>
        <w:t>(3) A non-blocking MPI communication scheme achieving 73% communication overlap and 82.0% strong-scaling efficiency on 512 ranks (32-million-cell five-well pad), with 91.3% weak-scaling efficiency from 64 to 512 ranks.</w:t>
      </w:r>
    </w:p>
    <w:p>
      <w:pPr>
        <w:spacing w:after="160"/>
        <w:ind w:firstLine="0"/>
      </w:pPr>
      <w:r>
        <w:t>(4) A spectral conditioning proxy κ̂(A) defined via the implicitly restarted Arnoldi method (ARPACK/SLEPc, τ = 10⁻⁶), cross-validated against sparse LU factorization (agreement within 15%), that quantifies the algebraic benefit of fracture-conforming discretization. Under 1,247 stochastically generated natural fractures, κ̂(A) increases by only 2.87× relative to the DFN-free PEBI baseline, versus 18.6× and 11.4× for standard unstructured and Cartesian LGR grids.</w:t>
      </w:r>
    </w:p>
    <w:p>
      <w:pPr>
        <w:spacing w:after="160"/>
        <w:ind w:firstLine="0"/>
      </w:pPr>
      <w:r>
        <w:t>(5) DFN Monte Carlo validation (25 realizations) showing ten-year cumulative oil production increases by 21.8 ± 4.3%, and SPE 10 benchmarking confirming multiphase accuracy on unstructured PEBI grids (0.93% cumulative oil deviation at approximately half the reference cell count).</w:t>
      </w:r>
    </w:p>
    <w:p>
      <w:pPr>
        <w:spacing w:after="160"/>
        <w:ind w:firstLine="0"/>
      </w:pPr>
      <w:r>
        <w:t>All results are rigorously scoped within the 2.5D extrusion formulation (applicable to reservoirs dominated by vertical or near-vertical fractures), with explicit discussion of the limitations regarding fully three-dimensional non-planar fracture networks (Section 4.3).</w:t>
      </w:r>
    </w:p>
    <w:p>
      <w:pPr>
        <w:spacing w:after="160"/>
        <w:ind w:firstLine="0"/>
      </w:pPr>
      <w:r>
        <w:t>This manuscript aligns with CAGEO’s scope in computational geoscience methodology: it presents a complete numerical framework—mesh generation, linear solver design, and parallel implementation—for a problem of direct relevance to unconventional reservoir engineering. A reproducible-materials package (meshes, input decks, DFN seeds, tabulated data) accompanies this submission.</w:t>
      </w:r>
    </w:p>
    <w:p>
      <w:pPr>
        <w:spacing w:after="160"/>
        <w:ind w:firstLine="0"/>
      </w:pPr>
      <w:r>
        <w:t>This manuscript has not been published previously and is not under consideration elsewhere. All authors have approved the manuscript and agree with its submission to Computers &amp; Geosciences. The authors declare no competing financial interests.</w:t>
      </w:r>
    </w:p>
    <w:p/>
    <w:p>
      <w:pPr>
        <w:spacing w:after="80"/>
      </w:pPr>
      <w:r>
        <w:rPr>
          <w:b/>
        </w:rPr>
        <w:t>Manuscript Details:</w:t>
      </w:r>
    </w:p>
    <w:p>
      <w:pPr>
        <w:spacing w:after="40"/>
        <w:ind w:left="567"/>
      </w:pPr>
      <w:r>
        <w:t>Word count (body): approximately 12,000</w:t>
      </w:r>
    </w:p>
    <w:p>
      <w:pPr>
        <w:spacing w:after="40"/>
        <w:ind w:left="567"/>
      </w:pPr>
      <w:r>
        <w:t>Figures: 12</w:t>
      </w:r>
    </w:p>
    <w:p>
      <w:pPr>
        <w:spacing w:after="40"/>
        <w:ind w:left="567"/>
      </w:pPr>
      <w:r>
        <w:t>Tables: 15 (+ 3 supplementary: Tables S1, 9b, 12b)</w:t>
      </w:r>
    </w:p>
    <w:p>
      <w:pPr>
        <w:spacing w:after="40"/>
        <w:ind w:left="567"/>
      </w:pPr>
      <w:r>
        <w:t>References: 32</w:t>
      </w:r>
    </w:p>
    <w:p>
      <w:pPr>
        <w:spacing w:after="40"/>
        <w:ind w:left="567"/>
      </w:pPr>
      <w:r>
        <w:t>Supplementary materials: Reproducible materials folder (meshes/, input_decks/, dfn_seeds/, tabulated_data/)</w:t>
      </w:r>
    </w:p>
    <w:p/>
    <w:p>
      <w:pPr>
        <w:spacing w:after="240"/>
      </w:pPr>
      <w:r>
        <w:t>We appreciate your time and consideration and look forward to the reviewers’ feedback.</w:t>
      </w:r>
    </w:p>
    <w:p>
      <w:pPr>
        <w:spacing w:after="400"/>
      </w:pPr>
      <w:r>
        <w:t>Sincerely,</w:t>
      </w:r>
    </w:p>
    <w:p>
      <w:pPr>
        <w:spacing w:after="40"/>
      </w:pPr>
      <w:r>
        <w:t>Rongwang Yin</w:t>
      </w:r>
    </w:p>
    <w:p>
      <w:pPr>
        <w:spacing w:after="40"/>
      </w:pPr>
      <w:r>
        <w:t>Basic Experiment and Training Center, Hefei University</w:t>
      </w:r>
    </w:p>
    <w:p>
      <w:pPr>
        <w:spacing w:after="240"/>
      </w:pPr>
      <w:r>
        <w:t>Hefei 230601, P.R. China</w:t>
      </w:r>
    </w:p>
    <w:p>
      <w:pPr>
        <w:spacing w:after="40"/>
      </w:pPr>
      <w:r>
        <w:t>Shaowei Zhang (Corresponding Author)</w:t>
      </w:r>
    </w:p>
    <w:p>
      <w:pPr>
        <w:spacing w:after="40"/>
      </w:pPr>
      <w:r>
        <w:t>School of Computer Engineering, Anhui Wenda University of Information Engineering</w:t>
      </w:r>
    </w:p>
    <w:p>
      <w:r>
        <w:t>Hefei 231201, P.R. China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