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A5857A">
      <w:pPr>
        <w:spacing w:before="0" w:after="240" w:line="360" w:lineRule="auto"/>
        <w:ind w:firstLine="0"/>
        <w:jc w:val="center"/>
        <w:rPr>
          <w:rFonts w:ascii="Times New Roman" w:hAnsi="Times New Roman" w:cs="Times New Roman"/>
          <w:color w:val="auto"/>
          <w:sz w:val="32"/>
          <w:szCs w:val="32"/>
        </w:rPr>
      </w:pPr>
      <w:bookmarkStart w:id="0" w:name="Xa89942faaa30bcf8b9c14bc2d5af6cf3118a37d"/>
      <w:r>
        <w:rPr>
          <w:rFonts w:ascii="Times New Roman" w:hAnsi="Times New Roman" w:cs="Times New Roman"/>
          <w:b/>
          <w:bCs/>
          <w:color w:val="auto"/>
          <w:sz w:val="32"/>
          <w:szCs w:val="32"/>
        </w:rPr>
        <w:t>Fracture-Conforming PEBI Grids with Integrated CPR–SA-AMG Preconditioning and Non-Blocking MPI Communication for Scalable Black-Oil Simulation of Shale Reservoirs</w:t>
      </w:r>
      <w:bookmarkEnd w:id="0"/>
    </w:p>
    <w:p w14:paraId="72312B2D">
      <w:pPr>
        <w:pStyle w:val="3"/>
        <w:spacing w:after="60" w:line="300" w:lineRule="auto"/>
        <w:ind w:firstLine="0"/>
        <w:jc w:val="center"/>
        <w:rPr>
          <w:rFonts w:ascii="Times New Roman" w:hAnsi="Times New Roman" w:cs="Times New Roman"/>
          <w:color w:val="auto"/>
          <w:sz w:val="24"/>
          <w:szCs w:val="24"/>
        </w:rPr>
      </w:pPr>
      <w:bookmarkStart w:id="1" w:name="abstract"/>
      <w:r>
        <w:rPr>
          <w:rFonts w:hint="eastAsia" w:ascii="Times New Roman" w:hAnsi="Times New Roman" w:eastAsia="Times New Roman" w:cs="Times New Roman"/>
          <w:color w:val="auto"/>
          <w:sz w:val="24"/>
          <w:szCs w:val="24"/>
        </w:rPr>
        <w:t>Rongwang Yin</w:t>
      </w:r>
      <w:r>
        <w:rPr>
          <w:rFonts w:hint="eastAsia" w:ascii="Times New Roman" w:hAnsi="Times New Roman" w:eastAsia="Times New Roman" w:cs="Times New Roman"/>
          <w:color w:val="auto"/>
          <w:sz w:val="24"/>
          <w:szCs w:val="24"/>
          <w:vertAlign w:val="superscript"/>
        </w:rPr>
        <w:t xml:space="preserve"> 1</w:t>
      </w:r>
      <w:r>
        <w:rPr>
          <w:rFonts w:hint="eastAsia" w:ascii="Times New Roman" w:hAnsi="Times New Roman" w:eastAsia="Times New Roman" w:cs="Times New Roman"/>
          <w:color w:val="auto"/>
          <w:sz w:val="24"/>
          <w:szCs w:val="24"/>
        </w:rPr>
        <w:t>, Shaowei Zhang</w:t>
      </w:r>
      <w:r>
        <w:rPr>
          <w:rFonts w:hint="eastAsia" w:ascii="Times New Roman" w:hAnsi="Times New Roman" w:eastAsia="Times New Roman" w:cs="Times New Roman"/>
          <w:color w:val="auto"/>
          <w:sz w:val="24"/>
          <w:szCs w:val="24"/>
          <w:vertAlign w:val="superscript"/>
        </w:rPr>
        <w:t xml:space="preserve"> 2, *</w:t>
      </w:r>
    </w:p>
    <w:p w14:paraId="424DE2AF">
      <w:pPr>
        <w:pStyle w:val="3"/>
        <w:spacing w:before="360" w:after="0" w:line="300" w:lineRule="auto"/>
        <w:ind w:firstLine="0"/>
        <w:jc w:val="center"/>
        <w:rPr>
          <w:rFonts w:ascii="Times New Roman" w:hAnsi="Times New Roman" w:cs="Times New Roman"/>
          <w:color w:val="auto"/>
          <w:sz w:val="28"/>
          <w:szCs w:val="28"/>
        </w:rPr>
      </w:pPr>
      <w:r>
        <w:rPr>
          <w:rFonts w:hint="eastAsia" w:ascii="Times New Roman" w:hAnsi="Times New Roman" w:eastAsia="Times New Roman" w:cs="Times New Roman"/>
          <w:i/>
          <w:iCs/>
          <w:color w:val="auto"/>
          <w:sz w:val="22"/>
          <w:szCs w:val="22"/>
        </w:rPr>
        <w:t xml:space="preserve">1. </w:t>
      </w:r>
      <w:r>
        <w:rPr>
          <w:rFonts w:hint="eastAsia" w:ascii="Times New Roman" w:hAnsi="Times New Roman" w:eastAsia="Times New Roman" w:cs="Times New Roman"/>
          <w:i/>
          <w:iCs/>
          <w:color w:val="auto"/>
          <w:sz w:val="22"/>
          <w:szCs w:val="22"/>
          <w:lang w:val="en-US"/>
        </w:rPr>
        <w:t>Basic Experiment and Training Center</w:t>
      </w:r>
      <w:r>
        <w:rPr>
          <w:rFonts w:hint="eastAsia" w:ascii="Times New Roman" w:hAnsi="Times New Roman" w:eastAsia="Times New Roman" w:cs="Times New Roman"/>
          <w:i/>
          <w:iCs/>
          <w:color w:val="auto"/>
          <w:sz w:val="22"/>
          <w:szCs w:val="22"/>
        </w:rPr>
        <w:t>, Hefei University, Hefei 230601, P.R. China</w:t>
      </w:r>
    </w:p>
    <w:p w14:paraId="7A4F5DCD">
      <w:pPr>
        <w:pStyle w:val="3"/>
        <w:spacing w:before="360" w:after="0" w:line="300" w:lineRule="auto"/>
        <w:ind w:firstLine="0"/>
        <w:jc w:val="center"/>
        <w:rPr>
          <w:rFonts w:ascii="Times New Roman" w:hAnsi="Times New Roman" w:cs="Times New Roman"/>
          <w:color w:val="auto"/>
          <w:sz w:val="28"/>
          <w:szCs w:val="28"/>
        </w:rPr>
      </w:pPr>
      <w:r>
        <w:rPr>
          <w:rFonts w:hint="eastAsia" w:ascii="Times New Roman" w:hAnsi="Times New Roman" w:eastAsia="Times New Roman" w:cs="Times New Roman"/>
          <w:i/>
          <w:iCs/>
          <w:color w:val="auto"/>
          <w:sz w:val="22"/>
          <w:szCs w:val="22"/>
        </w:rPr>
        <w:t>2</w:t>
      </w:r>
      <w:r>
        <w:rPr>
          <w:rFonts w:hint="eastAsia" w:ascii="Times New Roman" w:hAnsi="Times New Roman" w:eastAsia="宋体" w:cs="Times New Roman"/>
          <w:i/>
          <w:iCs/>
          <w:color w:val="auto"/>
          <w:sz w:val="22"/>
          <w:szCs w:val="22"/>
          <w:lang w:val="en-US" w:eastAsia="zh-CN"/>
        </w:rPr>
        <w:t xml:space="preserve">. </w:t>
      </w:r>
      <w:r>
        <w:rPr>
          <w:rFonts w:hint="eastAsia" w:ascii="Times New Roman" w:hAnsi="Times New Roman" w:eastAsia="Times New Roman" w:cs="Times New Roman"/>
          <w:i/>
          <w:iCs/>
          <w:color w:val="auto"/>
          <w:sz w:val="22"/>
          <w:szCs w:val="22"/>
        </w:rPr>
        <w:t>School of Computer Engineering, Anhui Wenda University of Information Engineering, Hefei 231201, P.R. China</w:t>
      </w:r>
    </w:p>
    <w:p w14:paraId="7A37D425">
      <w:pPr>
        <w:spacing w:before="240" w:after="60"/>
        <w:ind w:firstLine="0"/>
        <w:jc w:val="left"/>
        <w:rPr>
          <w:rFonts w:ascii="Times New Roman" w:hAnsi="Times New Roman" w:cs="Times New Roman"/>
          <w:color w:val="auto"/>
          <w:sz w:val="24"/>
          <w:szCs w:val="24"/>
        </w:rPr>
      </w:pPr>
      <w:r>
        <w:rPr>
          <w:rFonts w:ascii="Times New Roman" w:hAnsi="Times New Roman" w:cs="Times New Roman"/>
          <w:b/>
          <w:bCs/>
          <w:color w:val="auto"/>
          <w:sz w:val="24"/>
          <w:szCs w:val="24"/>
        </w:rPr>
        <w:t>Abstract</w:t>
      </w:r>
      <w:bookmarkEnd w:id="1"/>
    </w:p>
    <w:p w14:paraId="66AF63E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Numerical simulation of hydraulically fractured shale-oil reservoirs confronts three interdependent bottlenecks: geometric mismatch at fracture–matrix interfaces, severe Jacobian ill-conditioning from extreme permeability contrasts, and communication-bound parallel overhead. Cartesian local grid refinement (LGR) and embedded discrete fracture models (EDFM) each address only a subset of these challenges. This paper presents an integrated black-oil simulation framework that treats mesh generation, pressure-system preconditioning, and MPI communication scheduling as a single design problem.</w:t>
      </w:r>
    </w:p>
    <w:p w14:paraId="1242A92D">
      <w:pPr>
        <w:spacing w:line="360" w:lineRule="auto"/>
        <w:ind w:firstLine="480"/>
        <w:jc w:val="both"/>
      </w:pPr>
      <w:r>
        <w:rPr>
          <w:rFonts w:ascii="Times New Roman" w:hAnsi="Times New Roman"/>
          <w:sz w:val="24"/>
        </w:rPr>
        <w:t>The framework employs fracture-conforming perpendicular-bisector (PEBI) grids constructed via constrained Delaunay–Voronoi tessellation within a 2.5D extrusion formulation. K-orthogonality is maintained across 97.1% of interior faces. Against the analytical Ei-function solution, near-fracture pressure error is 0.31% at 1 m, representing improvements of 53.0–83.4% over EDFM and Cartesian discretizations. The CPR–SA-AMG preconditioner reduces GMRES iterations from 312 to 21, a 72.7% reduction in linear-solve time. On a 32-million-cell model at 512 MPI ranks, the simulator sustains 82.0% strong-scaling and 91.3% weak-scaling efficiency, with 73% communication overlap. Under 1,247 natural fractures, the spectral conditioning proxy rises by only 2.94× (Monte Carlo ensemble, n = 25) versus 18.6× for unstructured grids. An SPE 10 benchmark (0.52M cells) tracks the 1.12M-cell reference within 0.93% cumulative oil deviation. A single-well case confirms robustness to well-pattern variation.</w:t>
      </w:r>
    </w:p>
    <w:p w14:paraId="3942ECAE">
      <w:pPr>
        <w:spacing w:line="360" w:lineRule="auto"/>
        <w:ind w:firstLine="480"/>
        <w:jc w:val="both"/>
      </w:pPr>
      <w:r>
        <w:rPr>
          <w:rFonts w:ascii="Times New Roman" w:hAnsi="Times New Roman"/>
          <w:sz w:val="24"/>
        </w:rPr>
        <w:t>These findings establish fracture-conforming discretization as an enabling strategy for simultaneous algebraic efficiency and parallel scalability in shale-reservoir simulation. The results support an empirically observed Geometry–Algebra–Concurrency Triad in which mesh orthogonality, solver convergence, and communication overlap are quantitatively coupled through systematic dependencies.</w:t>
      </w:r>
    </w:p>
    <w:p w14:paraId="7F77BC37">
      <w:pPr>
        <w:spacing w:before="240" w:after="60" w:line="360" w:lineRule="auto"/>
        <w:ind w:firstLine="480" w:firstLineChars="200"/>
        <w:jc w:val="both"/>
        <w:rPr>
          <w:rFonts w:ascii="Times New Roman" w:hAnsi="Times New Roman" w:cs="Times New Roman"/>
          <w:color w:val="auto"/>
          <w:sz w:val="24"/>
          <w:szCs w:val="24"/>
        </w:rPr>
      </w:pPr>
      <w:r>
        <w:rPr>
          <w:rFonts w:ascii="Times New Roman" w:hAnsi="Times New Roman"/>
          <w:b/>
          <w:sz w:val="24"/>
        </w:rPr>
        <w:t>Keywords: PEBI grid; K-orthogonality; CPR–SA-AMG preconditioning; discrete fracture network; black-oil simulation; high-performance computing; unconventional reservoirs; parallel scalability</w:t>
      </w:r>
    </w:p>
    <w:p w14:paraId="5009FF25">
      <w:pPr>
        <w:pStyle w:val="2"/>
        <w:spacing w:before="120" w:after="60" w:line="360" w:lineRule="auto"/>
        <w:jc w:val="left"/>
        <w:rPr>
          <w:rFonts w:ascii="Times New Roman" w:hAnsi="Times New Roman" w:cs="Times New Roman"/>
          <w:color w:val="auto"/>
          <w:sz w:val="28"/>
          <w:szCs w:val="28"/>
        </w:rPr>
      </w:pPr>
      <w:bookmarkStart w:id="2" w:name="introduction"/>
      <w:r>
        <w:rPr>
          <w:rFonts w:ascii="Times New Roman" w:hAnsi="Times New Roman" w:cs="Times New Roman"/>
          <w:b/>
          <w:bCs/>
          <w:color w:val="auto"/>
          <w:sz w:val="28"/>
          <w:szCs w:val="28"/>
        </w:rPr>
        <w:t>1 Introduction</w:t>
      </w:r>
      <w:bookmarkEnd w:id="2"/>
    </w:p>
    <w:p w14:paraId="0438571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Shale-oil reservoirs pose a computational challenge without easy compromise. Matrix permeability in the nano-Darcy range coexists with conductive fractures exceeding 10^3-10^6 mD, generating permeability contrasts beyond nine orders of magnitude (Palagi and Aziz, 1994a; Peaceman, 1983; Saad, 2003). Numerical simulation of multi-stage hydraulically fractured horizontal wells (MFHWs) therefore demands simultaneous fidelity in spatial discretization near fracture faces, algebraic solver robustness under extreme stiffness, and parallel execution efficiency. In practice these are seldom tackled together--industrial workflows optimize one component at a time, shifting the bottleneck elsewhere.</w:t>
      </w:r>
    </w:p>
    <w:p w14:paraId="07B40B91">
      <w:pPr>
        <w:pStyle w:val="4"/>
        <w:spacing w:before="120" w:after="60" w:line="360" w:lineRule="auto"/>
        <w:jc w:val="left"/>
        <w:rPr>
          <w:rFonts w:ascii="Times New Roman" w:hAnsi="Times New Roman" w:cs="Times New Roman"/>
          <w:color w:val="auto"/>
          <w:sz w:val="24"/>
          <w:szCs w:val="24"/>
        </w:rPr>
      </w:pPr>
      <w:bookmarkStart w:id="3" w:name="limitations-of-current-paradigms"/>
      <w:r>
        <w:rPr>
          <w:rFonts w:ascii="Times New Roman" w:hAnsi="Times New Roman" w:cs="Times New Roman"/>
          <w:b/>
          <w:bCs/>
          <w:color w:val="auto"/>
          <w:sz w:val="24"/>
          <w:szCs w:val="24"/>
        </w:rPr>
        <w:t>1.1 Limitations of Current Paradigms</w:t>
      </w:r>
      <w:bookmarkEnd w:id="3"/>
    </w:p>
    <w:p w14:paraId="5902F97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Cartesian local grid refinement (LGR) dominates industry practice because of its structured indexing. Its staircase approximation of fracture faces violates K-orthogonality at transition faces, introducing truncation error in the two-point flux approximation precisely where pressure gradients are steepest (Palagi and Aziz, 1994a; Karimi-Fard et al., 2004; Aavatsmark et al., 1998a, 1998b). Recent work addresses this through hybrid TPFA-MFD schemes (Dong et al., 2023) and MPFA-H formulations on unstructured meshes (da Silva et al., 2024).</w:t>
      </w:r>
    </w:p>
    <w:p w14:paraId="2531046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Embedded discrete fracture models (EDFM) and their projection-based variants take a different path: instead of regridding around fractures, they insert non-neighboring connections (NNCs) between fracture and matrix domains (Karimi-Fard et al., 2004; Moinfar et al., 2014). Rapid maturation of the EDFM family has unfolded over the past three years. Projection-based formulations (pEDFM) now resolve blocking fractures through continuous projection algorithms (Rashid and Olorode, 2024), enriched-embedded variants (nEDFM) capture pressure discontinuities on both faces of conductive fractures via local enrichment functions (Jiao et al., 2024), and transient source-function-based corrections (tSEDFM) address the long-standing pseudo-steady-state limitation of classical EDFM transmissibilities (Z. Zhang et al., 2024). A comprehensive review by Poli et al. (2024) catalogues over 150 EDFM publications and identifies fracture-intersection treatment and coupled flow–geomechanics (An et al., 2024) as the dominant active research fronts. Concurrently, the extension of pEDFM to unstructured tetrahedral grids (pEDFM-U; Cavalcante et al., 2024) and the first streamline-based pEDFM formulation (Rao et al., 2025) have extended the reach of NNC methods beyond their original Cartesian scope. The advantage is clear: the grid stays fixed. The trade-off is equally clear: the transfer operators are approximations, and those approximations degrade precisely where fidelity matters most—at dense fracture intersections and near fracture tips, where the r⁻¹ pressure asymptote governs the solution (Moinfar et al., 2014; Bourdet et al., 1989). Dual-continuum approaches are cheaper still computationally, but they collapse discrete fracture character into effective transfer functions. That suffices for a dense, uniform background fracture fabric; it fails for the sparse, heterogeneous conductive pathways controlling many shale plays (Warren and Root, 1963; Kazemi et al., 1976). Recent multi-porosity multi-permeability (MPMP) frameworks (Zheng et al., 2025) now preserve continuum-type computational efficiency while approaching the geometric fidelity of discrete fracture representations. Coupled flow–geomechanics extensions of these hybrid frameworks (Li et al., 2024) have demonstrated up to 20% productivity reduction attributable to stress-dependent fracture conductivity in shale gas wells.</w:t>
      </w:r>
    </w:p>
    <w:p w14:paraId="3B947B9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On the solver front, the extreme permeability contrast in shale systems drives unpreconditioned Jacobian condition numbers into the 10^7-10^8 range, defeating standard incomplete factorization preconditioners and inflating both solve time and synchronization overhead (Behie and Forsyth, 1984; Saad, 2003).</w:t>
      </w:r>
    </w:p>
    <w:p w14:paraId="2233CD7D">
      <w:pPr>
        <w:pStyle w:val="4"/>
        <w:spacing w:before="120" w:after="60" w:line="360" w:lineRule="auto"/>
        <w:jc w:val="left"/>
        <w:rPr>
          <w:rFonts w:ascii="Times New Roman" w:hAnsi="Times New Roman" w:cs="Times New Roman"/>
          <w:color w:val="auto"/>
          <w:sz w:val="24"/>
          <w:szCs w:val="24"/>
        </w:rPr>
      </w:pPr>
      <w:bookmarkStart w:id="4" w:name="unresolved-scientific-questions"/>
      <w:r>
        <w:rPr>
          <w:rFonts w:ascii="Times New Roman" w:hAnsi="Times New Roman" w:cs="Times New Roman"/>
          <w:b/>
          <w:bCs/>
          <w:color w:val="auto"/>
          <w:sz w:val="24"/>
          <w:szCs w:val="24"/>
        </w:rPr>
        <w:t>1.2 Unresolved Scientific Questions</w:t>
      </w:r>
      <w:bookmarkEnd w:id="4"/>
    </w:p>
    <w:p w14:paraId="738A66E4">
      <w:pPr>
        <w:pStyle w:val="3"/>
        <w:spacing w:before="0" w:after="0" w:line="360" w:lineRule="auto"/>
        <w:ind w:firstLine="480"/>
        <w:jc w:val="both"/>
        <w:rPr>
          <w:rFonts w:ascii="Times New Roman" w:hAnsi="Times New Roman" w:cs="Times New Roman"/>
          <w:color w:val="auto"/>
          <w:sz w:val="24"/>
          <w:szCs w:val="24"/>
        </w:rPr>
      </w:pPr>
      <w:r>
        <w:rPr>
          <w:rFonts w:hint="eastAsia" w:ascii="Times New Roman" w:hAnsi="Times New Roman" w:eastAsia="宋体" w:cs="Times New Roman"/>
          <w:color w:val="auto"/>
          <w:sz w:val="24"/>
          <w:szCs w:val="24"/>
          <w:lang w:eastAsia="zh-CN"/>
        </w:rPr>
        <w:t>A structural gap emerges from the preceding review. Fracture-conforming PEBI grids can, in principle, eliminate the geometric error that plagues both LGR and EDFM, but the mesh generation, linear algebra, and parallel decomposition communities have pursued these topics largely in isolation (Cao et al., 2005; Karypis and Kumar, 1998). Recent advances across all three fronts argue for integration: CPR-AMG extensions for well degrees of freedom (Nilsen et al., 2023) and thermal-compositional systems (Cremon et al., 2024; M. Zhang et al., 2024); anisotropic centroidal Voronoi tessellation for 3D polyhedral meshes (Marin et al., 2024); parallel-in-time discretizations (Cheng et al., 2023) and field-split preconditioned algorithms beyond 27,000 cores (Shi et al., 2024); and communication-avoiding Krylov methods (Hoemmen, 2010) and GPU-accelerated multigrid (Anzt et al., 2022).</w:t>
      </w:r>
    </w:p>
    <w:p w14:paraId="2694481C">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(1) Can an automated PEBI generator deliver provable K-orthogonality </w:t>
      </w:r>
      <m:oMath>
        <m:r>
          <m:rPr/>
          <m:t>θ ≤ 5°</m:t>
        </m:r>
      </m:oMath>
      <w:r>
        <w:rPr>
          <w:rFonts w:ascii="Times New Roman" w:hAnsi="Times New Roman"/>
          <w:sz w:val="24"/>
        </w:rPr>
        <w:t xml:space="preserve"> when multiple intersecting natural fractures constrain the mesh?</w:t>
      </w:r>
    </w:p>
    <w:p w14:paraId="77B865D0">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(2) If geometric flux error is removed, what happens to the Jacobian condition number — and can a CPR–AMG solver exploit whatever spectral structure emerges in black-oil problems?</w:t>
      </w:r>
    </w:p>
    <w:p w14:paraId="1DB35732">
      <w:pPr>
        <w:ind w:firstLine="480"/>
      </w:pPr>
      <w:r>
        <w:rPr>
          <w:rFonts w:ascii="Times New Roman" w:hAnsi="Times New Roman"/>
          <w:sz w:val="24"/>
        </w:rPr>
        <w:t>(3) Will persistent asynchronous MPI communication mask the latency-bound halo exchanges that irregular PEBI decompositions incur, and can this be sustained past 512 ranks?</w:t>
      </w:r>
    </w:p>
    <w:p w14:paraId="5A99CE8C">
      <w:pPr>
        <w:pStyle w:val="4"/>
        <w:spacing w:before="120" w:after="60" w:line="360" w:lineRule="auto"/>
        <w:jc w:val="left"/>
        <w:rPr>
          <w:rFonts w:ascii="Times New Roman" w:hAnsi="Times New Roman" w:cs="Times New Roman"/>
          <w:color w:val="auto"/>
          <w:sz w:val="24"/>
          <w:szCs w:val="24"/>
        </w:rPr>
      </w:pPr>
      <w:bookmarkStart w:id="5" w:name="scope-and-contributions"/>
      <w:r>
        <w:rPr>
          <w:rFonts w:ascii="Times New Roman" w:hAnsi="Times New Roman" w:cs="Times New Roman"/>
          <w:b/>
          <w:bCs/>
          <w:color w:val="auto"/>
          <w:sz w:val="24"/>
          <w:szCs w:val="24"/>
        </w:rPr>
        <w:t>1.3 Scope and Contributions</w:t>
      </w:r>
      <w:bookmarkEnd w:id="5"/>
    </w:p>
    <w:p w14:paraId="5066F51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We advance the following hypothesis, to be tested experimentally: geometric discretization error, algebraic stiffness, and communication overhead share a common origin. When the computational topology fails to match the physical flow topology, all three problems intensify. The framework operates within a layered 2.5D extrusion formulation suitable for reservoirs with predominantly vertical fractures. The individual components--PEBI meshing (Heinemann et al., 1991; Palagi and Aziz, 1994a; Verma and Aziz, 1997), CPR preconditioning (Wallis et al., 1985), SA-AMG (Vanek et al., 1996), and non-blocking MPI--are well-established. The present contribution is their system-level integration, not component-level invention.</w:t>
      </w:r>
    </w:p>
    <w:p w14:paraId="51027860">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 Research gaps and corresponding quantified contributions.</w:t>
      </w:r>
    </w:p>
    <w:tbl>
      <w:tblPr>
        <w:tblStyle w:val="28"/>
        <w:tblW w:w="9884"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96"/>
        <w:gridCol w:w="2543"/>
        <w:gridCol w:w="3163"/>
        <w:gridCol w:w="2582"/>
      </w:tblGrid>
      <w:tr w14:paraId="64882D3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24B1824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Domain</w:t>
            </w:r>
          </w:p>
        </w:tc>
        <w:tc>
          <w:tcPr>
            <w:tcW w:w="2633" w:type="dxa"/>
            <w:tcBorders>
              <w:bottom w:val="single" w:color="auto" w:sz="0" w:space="0"/>
            </w:tcBorders>
            <w:vAlign w:val="center"/>
          </w:tcPr>
          <w:p w14:paraId="0942358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Identified Limitation</w:t>
            </w:r>
          </w:p>
        </w:tc>
        <w:tc>
          <w:tcPr>
            <w:tcW w:w="3216" w:type="dxa"/>
            <w:tcBorders>
              <w:bottom w:val="single" w:color="auto" w:sz="0" w:space="0"/>
            </w:tcBorders>
            <w:vAlign w:val="center"/>
          </w:tcPr>
          <w:p w14:paraId="73508A3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Innovation</w:t>
            </w:r>
          </w:p>
        </w:tc>
        <w:tc>
          <w:tcPr>
            <w:tcW w:w="2667" w:type="dxa"/>
            <w:tcBorders>
              <w:bottom w:val="single" w:color="auto" w:sz="0" w:space="0"/>
            </w:tcBorders>
            <w:vAlign w:val="center"/>
          </w:tcPr>
          <w:p w14:paraId="6FF1400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Quantified Outcome</w:t>
            </w:r>
          </w:p>
        </w:tc>
      </w:tr>
      <w:tr w14:paraId="60B95D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FF123C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Geometry</w:t>
            </w:r>
          </w:p>
        </w:tc>
        <w:tc>
          <w:tcPr>
            <w:tcW w:w="2633" w:type="dxa"/>
            <w:vAlign w:val="center"/>
          </w:tcPr>
          <w:p w14:paraId="3ECDDD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LGR staircase error (Palagi and Aziz, 1994a); EDFM near-tip transfer error (Moinfar et al., 2014)</w:t>
            </w:r>
          </w:p>
        </w:tc>
        <w:tc>
          <w:tcPr>
            <w:tcW w:w="3216" w:type="dxa"/>
            <w:vAlign w:val="center"/>
          </w:tcPr>
          <w:p w14:paraId="28982B5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Constrained Delaunay PEBI with </w:t>
            </w:r>
            <m:oMath>
              <m:r>
                <m:rPr>
                  <m:nor/>
                  <m:sty m:val="p"/>
                </m:rPr>
                <w:rPr>
                  <w:b w:val="0"/>
                  <w:i w:val="0"/>
                  <w:color w:val="auto"/>
                </w:rPr>
                <m:t>tanh</m:t>
              </m:r>
            </m:oMath>
            <w:r>
              <w:rPr>
                <w:rFonts w:ascii="Times New Roman" w:hAnsi="Times New Roman" w:cs="Times New Roman"/>
                <w:color w:val="auto"/>
                <w:sz w:val="20"/>
                <w:szCs w:val="20"/>
              </w:rPr>
              <w:t xml:space="preserve"> density function</w:t>
            </w:r>
          </w:p>
        </w:tc>
        <w:tc>
          <w:tcPr>
            <w:tcW w:w="2667" w:type="dxa"/>
            <w:vAlign w:val="center"/>
          </w:tcPr>
          <w:p w14:paraId="5809FD8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97.1% faces satisfy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r>
              <w:rPr>
                <w:rFonts w:ascii="Times New Roman" w:hAnsi="Times New Roman" w:cs="Times New Roman"/>
                <w:color w:val="auto"/>
                <w:sz w:val="20"/>
                <w:szCs w:val="20"/>
              </w:rPr>
              <w:t>; near-fracture pressure error 0.31%</w:t>
            </w:r>
          </w:p>
        </w:tc>
      </w:tr>
      <w:tr w14:paraId="7A0695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8C4D0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Algebra</w:t>
            </w:r>
          </w:p>
        </w:tc>
        <w:tc>
          <w:tcPr>
            <w:tcW w:w="2633" w:type="dxa"/>
            <w:vAlign w:val="center"/>
          </w:tcPr>
          <w:p w14:paraId="61F277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ILU stagnation at high conductivity contrast (Wallis et al., 1985; Vaněk et al., 1996)</w:t>
            </w:r>
          </w:p>
        </w:tc>
        <w:tc>
          <w:tcPr>
            <w:tcW w:w="3216" w:type="dxa"/>
            <w:vAlign w:val="center"/>
          </w:tcPr>
          <w:p w14:paraId="00D5C6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 + SA-AMG + Block-ILU(0) hybrid preconditioner</w:t>
            </w:r>
          </w:p>
        </w:tc>
        <w:tc>
          <w:tcPr>
            <w:tcW w:w="2667" w:type="dxa"/>
            <w:vAlign w:val="center"/>
          </w:tcPr>
          <w:p w14:paraId="4187CC2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reduced from 312 to 21; linear-solve time reduced by 72.7%</w:t>
            </w:r>
          </w:p>
        </w:tc>
      </w:tr>
      <w:tr w14:paraId="37AE46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68" w:type="dxa"/>
            <w:vAlign w:val="center"/>
          </w:tcPr>
          <w:p w14:paraId="4FB5389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Parallelism</w:t>
            </w:r>
          </w:p>
        </w:tc>
        <w:tc>
          <w:tcPr>
            <w:tcW w:w="2633" w:type="dxa"/>
            <w:vAlign w:val="center"/>
          </w:tcPr>
          <w:p w14:paraId="74E6896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Blocking MPI dominates at &gt;256 cores (Karypis and Kumar, 1998; Amdahl, 1967)</w:t>
            </w:r>
          </w:p>
        </w:tc>
        <w:tc>
          <w:tcPr>
            <w:tcW w:w="3216" w:type="dxa"/>
            <w:vAlign w:val="center"/>
          </w:tcPr>
          <w:p w14:paraId="042B834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Persistent non-blocking MPI with computation–communication overlap</w:t>
            </w:r>
          </w:p>
        </w:tc>
        <w:tc>
          <w:tcPr>
            <w:tcW w:w="2667" w:type="dxa"/>
            <w:vAlign w:val="center"/>
          </w:tcPr>
          <w:p w14:paraId="3B70A1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73% communication latency masked; 82.5% strong-scaling efficiency at 512 cores; 91.3% weak-scaling efficiency</w:t>
            </w:r>
          </w:p>
        </w:tc>
      </w:tr>
    </w:tbl>
    <w:p w14:paraId="15695B58">
      <w:pPr>
        <w:pStyle w:val="34"/>
        <w:rPr>
          <w:color w:val="auto"/>
        </w:rPr>
      </w:pPr>
      <w:r>
        <w:rPr>
          <w:color w:val="auto"/>
        </w:rPr>
        <w:drawing>
          <wp:inline distT="0" distB="0" distL="114300" distR="114300">
            <wp:extent cx="5334000" cy="1941195"/>
            <wp:effectExtent l="0" t="0" r="0" b="0"/>
            <wp:doc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 1. Conceptual comparison of fracture-simulation paradigms. (a) Cartesian LGR with staircase artifacts at oblique fracture faces. (b) EDFM with non-neighboring connections (dashed lines) coupling fracture and matrix domains. (c) Fracture-conforming PEBI with exact face–fracture alignment."/>
                    <pic:cNvPicPr>
                      <a:picLocks noChangeAspect="1" noChangeArrowheads="1"/>
                    </pic:cNvPicPr>
                  </pic:nvPicPr>
                  <pic:blipFill>
                    <a:blip r:embed="rId5"/>
                    <a:stretch>
                      <a:fillRect/>
                    </a:stretch>
                  </pic:blipFill>
                  <pic:spPr>
                    <a:xfrm>
                      <a:off x="0" y="0"/>
                      <a:ext cx="5334000" cy="1941526"/>
                    </a:xfrm>
                    <a:prstGeom prst="rect">
                      <a:avLst/>
                    </a:prstGeom>
                    <a:noFill/>
                    <a:ln w="9525">
                      <a:noFill/>
                    </a:ln>
                  </pic:spPr>
                </pic:pic>
              </a:graphicData>
            </a:graphic>
          </wp:inline>
        </w:drawing>
      </w:r>
    </w:p>
    <w:p w14:paraId="3BC295A0">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1. Conceptual comparison of fracture-simulation paradigms. (a) Cartesian LGR with staircase artifacts at oblique fracture faces. (b) EDFM with non-neighboring connections (dashed lines) coupling fracture and matrix domains. (c) Fracture-conforming PEBI with exact face–fracture alignment.</w:t>
      </w:r>
    </w:p>
    <w:p w14:paraId="3D405A05">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24"/>
        </w:rPr>
        <w:t>Each component of this framework—PEBI grid generation (Heinemann et al., 1991; Palagi and Aziz, 1994a; Verma and Aziz, 1997), CPR preconditioning (Wallis et al., 1985), SA-AMG (Vaněk et al., 1996), and non-blocking MPI communication—is well-established in its respective literature. The present contribution lies not in the invention of any single component, but in their integrated design within a unified framework that exploits the empirically observed quantitative relationships among geometric fidelity (K-orthogonality), algebraic conditioning (diagonal dominance of the Jacobian), and parallel communication concurrency (computation–communication overlap). The contribution is one of system-level integration rather than component-level invention: each individual module—PEBI meshing, CPR preconditioning, SA-AMG, and non-blocking MPI—has been validated in prior work. This system-level integration—rather than independent optimization of each module—distinguishes the approach from the segmented workflows currently prevailing in industry practice.</w:t>
      </w:r>
    </w:p>
    <w:p w14:paraId="3B77BB2B">
      <w:pPr>
        <w:pStyle w:val="2"/>
        <w:spacing w:before="120" w:after="60" w:line="360" w:lineRule="auto"/>
        <w:jc w:val="left"/>
        <w:rPr>
          <w:rFonts w:ascii="Times New Roman" w:hAnsi="Times New Roman" w:cs="Times New Roman"/>
          <w:color w:val="auto"/>
          <w:sz w:val="28"/>
          <w:szCs w:val="28"/>
        </w:rPr>
      </w:pPr>
      <w:bookmarkStart w:id="6" w:name="methodology"/>
      <w:r>
        <w:rPr>
          <w:rFonts w:ascii="Times New Roman" w:hAnsi="Times New Roman" w:cs="Times New Roman"/>
          <w:b/>
          <w:bCs/>
          <w:color w:val="auto"/>
          <w:sz w:val="28"/>
          <w:szCs w:val="28"/>
        </w:rPr>
        <w:t>2 Methodology</w:t>
      </w:r>
      <w:bookmarkEnd w:id="6"/>
    </w:p>
    <w:p w14:paraId="2C14A57C">
      <w:pPr>
        <w:pStyle w:val="4"/>
        <w:spacing w:before="120" w:after="60" w:line="360" w:lineRule="auto"/>
        <w:jc w:val="left"/>
        <w:rPr>
          <w:rFonts w:ascii="Times New Roman" w:hAnsi="Times New Roman" w:cs="Times New Roman"/>
          <w:color w:val="auto"/>
          <w:sz w:val="24"/>
          <w:szCs w:val="24"/>
        </w:rPr>
      </w:pPr>
      <w:bookmarkStart w:id="7" w:name="governing-equations"/>
      <w:r>
        <w:rPr>
          <w:rFonts w:ascii="Times New Roman" w:hAnsi="Times New Roman" w:cs="Times New Roman"/>
          <w:b/>
          <w:bCs/>
          <w:color w:val="auto"/>
          <w:sz w:val="24"/>
          <w:szCs w:val="24"/>
        </w:rPr>
        <w:t>2.1 Governing Equations</w:t>
      </w:r>
      <w:bookmarkEnd w:id="7"/>
    </w:p>
    <w:p w14:paraId="375B6EB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Within the fracture-conforming PEBI framework, an isothermal, fully implicit, three-phase black-oil system is solved. The black-oil formulation treats the hydrocarbon system as two pseudo-components (oil and gas) at surface conditions, with mass transfer between phases represented through the solution gas–oil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the oil and gas formation volume factors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While the framework does not incorporate a fully compositional formulation with equation-of-state-based phase equilibria in the present study, the CPR–SA-AMG preconditioning strategy is designed to extend to compositional systems where the pressure block retains a fundamentally elliptic character; this extension lies beyond the present scope and is discussed further in Section 4.3.</w:t>
      </w:r>
    </w:p>
    <w:p w14:paraId="6140413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an arbitrary phase </w:t>
      </w:r>
      <m:oMath>
        <m:r>
          <m:rPr/>
          <w:rPr>
            <w:rFonts w:ascii="Times New Roman" w:hAnsi="Times New Roman" w:cs="Times New Roman"/>
            <w:color w:val="auto"/>
            <w:sz w:val="24"/>
            <w:szCs w:val="24"/>
          </w:rPr>
          <m:t>p∈{o,g,w}</m:t>
        </m:r>
      </m:oMath>
      <w:r>
        <w:rPr>
          <w:rFonts w:ascii="Times New Roman" w:hAnsi="Times New Roman" w:cs="Times New Roman"/>
          <w:color w:val="auto"/>
          <w:sz w:val="24"/>
          <w:szCs w:val="24"/>
        </w:rPr>
        <w:t>, the mass conservation equation is expressed as</w:t>
      </w:r>
    </w:p>
    <w:p w14:paraId="3AE9D73F">
      <w:pPr>
        <w:pStyle w:val="3"/>
        <w:spacing w:before="0" w:after="120"/>
        <w:ind w:firstLine="480" w:firstLineChars="200"/>
        <w:jc w:val="both"/>
        <w:rPr>
          <w:color w:val="auto"/>
        </w:rPr>
      </w:pPr>
      <m:oMathPara>
        <m:oMathParaPr>
          <m:jc m:val="center"/>
        </m:oMathParaPr>
        <m:oMath>
          <m:f>
            <m:fPr>
              <m:ctrlPr>
                <w:rPr>
                  <w:color w:val="auto"/>
                </w:rPr>
              </m:ctrlPr>
            </m:fPr>
            <m:num>
              <m:r>
                <m:rPr/>
                <w:rPr>
                  <w:color w:val="auto"/>
                </w:rPr>
                <m:t>∂</m:t>
              </m:r>
              <m:ctrlPr>
                <w:rPr>
                  <w:color w:val="auto"/>
                </w:rPr>
              </m:ctrlPr>
            </m:num>
            <m:den>
              <m:r>
                <m:rPr/>
                <w:rPr>
                  <w:color w:val="auto"/>
                </w:rPr>
                <m:t>∂t</m:t>
              </m:r>
              <m:ctrlPr>
                <w:rPr>
                  <w:color w:val="auto"/>
                </w:rPr>
              </m:ctrlPr>
            </m:den>
          </m:f>
          <m:d>
            <m:dPr>
              <m:ctrlPr>
                <w:rPr>
                  <w:color w:val="auto"/>
                </w:rPr>
              </m:ctrlPr>
            </m:dPr>
            <m:e>
              <m:f>
                <m:fPr>
                  <m:ctrlPr>
                    <w:rPr>
                      <w:color w:val="auto"/>
                    </w:rPr>
                  </m:ctrlPr>
                </m:fPr>
                <m:num>
                  <m:r>
                    <m:rPr/>
                    <w:rPr>
                      <w:color w:val="auto"/>
                    </w:rPr>
                    <m:t>ϕ</m:t>
                  </m:r>
                  <m:sSub>
                    <m:sSubPr>
                      <m:ctrlPr>
                        <w:rPr>
                          <w:color w:val="auto"/>
                        </w:rPr>
                      </m:ctrlPr>
                    </m:sSubPr>
                    <m:e>
                      <m:r>
                        <m:rPr/>
                        <w:rPr>
                          <w:color w:val="auto"/>
                        </w:rPr>
                        <m:t>S</m:t>
                      </m:r>
                      <m:ctrlPr>
                        <w:rPr>
                          <w:color w:val="auto"/>
                        </w:rPr>
                      </m:ctrlPr>
                    </m:e>
                    <m:sub>
                      <m:r>
                        <m:rPr/>
                        <w:rPr>
                          <w:color w:val="auto"/>
                        </w:rPr>
                        <m:t>p</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g∇z)</m:t>
              </m:r>
              <m:ctrlPr>
                <w:rPr>
                  <w:color w:val="auto"/>
                </w:rPr>
              </m:ctrlPr>
            </m:e>
          </m:d>
          <m:r>
            <m:rPr/>
            <w:rPr>
              <w:color w:val="auto"/>
            </w:rPr>
            <m:t>+</m:t>
          </m:r>
          <m:f>
            <m:fPr>
              <m:ctrlPr>
                <w:rPr>
                  <w:color w:val="auto"/>
                </w:rPr>
              </m:ctrlPr>
            </m:fPr>
            <m:num>
              <m:sSub>
                <m:sSubPr>
                  <m:ctrlPr>
                    <w:rPr>
                      <w:color w:val="auto"/>
                    </w:rPr>
                  </m:ctrlPr>
                </m:sSubPr>
                <m:e>
                  <m:r>
                    <m:rPr/>
                    <w:rPr>
                      <w:color w:val="auto"/>
                    </w:rPr>
                    <m:t>q</m:t>
                  </m:r>
                  <m:ctrlPr>
                    <w:rPr>
                      <w:color w:val="auto"/>
                    </w:rPr>
                  </m:ctrlPr>
                </m:e>
                <m:sub>
                  <m:r>
                    <m:rPr/>
                    <w:rPr>
                      <w:color w:val="auto"/>
                    </w:rPr>
                    <m:t>p</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w:rPr>
              <w:color w:val="auto"/>
            </w:rPr>
            <m:t>  (1)</m:t>
          </m:r>
        </m:oMath>
      </m:oMathPara>
    </w:p>
    <w:p w14:paraId="5F439B58">
      <w:pPr>
        <w:pStyle w:val="3"/>
        <w:spacing w:before="0" w:after="120"/>
        <w:ind w:firstLine="480" w:firstLineChars="200"/>
        <w:jc w:val="both"/>
        <w:rPr>
          <w:color w:val="auto"/>
        </w:rPr>
      </w:pPr>
      <m:oMathPara>
        <m:oMathParaPr>
          <m:jc m:val="center"/>
        </m:oMathParaPr>
        <m:oMath>
          <m:sSub>
            <m:sSubPr>
              <m:ctrlPr>
                <w:rPr>
                  <w:color w:val="auto"/>
                </w:rPr>
              </m:ctrlPr>
            </m:sSubPr>
            <m:e>
              <m:r>
                <m:rPr>
                  <m:sty m:val="b"/>
                </m:rPr>
                <w:rPr>
                  <w:color w:val="auto"/>
                </w:rPr>
                <m:t>u</m:t>
              </m:r>
              <m:ctrlPr>
                <w:rPr>
                  <w:color w:val="auto"/>
                </w:rPr>
              </m:ctrlPr>
            </m:e>
            <m:sub>
              <m:r>
                <m:rPr/>
                <w:rPr>
                  <w:color w:val="auto"/>
                </w:rPr>
                <m:t>p</m:t>
              </m:r>
              <m:ctrlPr>
                <w:rPr>
                  <w:color w:val="auto"/>
                </w:rPr>
              </m:ctrlPr>
            </m:sub>
          </m:sSub>
          <m:r>
            <m:rPr/>
            <w:rPr>
              <w:color w:val="auto"/>
            </w:rPr>
            <m:t>=−</m:t>
          </m:r>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g∇z)  (2)</m:t>
          </m:r>
        </m:oMath>
      </m:oMathPara>
    </w:p>
    <w:p w14:paraId="59B1C8D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accompanying saturation constraint is given by</w:t>
      </w:r>
    </w:p>
    <w:p w14:paraId="7BA9C72A">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S</m:t>
              </m:r>
              <m:ctrlPr>
                <w:rPr>
                  <w:color w:val="auto"/>
                </w:rPr>
              </m:ctrlPr>
            </m:e>
            <m:sub>
              <m:r>
                <m:rPr/>
                <w:rPr>
                  <w:color w:val="auto"/>
                </w:rPr>
                <m:t>o</m:t>
              </m:r>
              <m:ctrlPr>
                <w:rPr>
                  <w:color w:val="auto"/>
                </w:rPr>
              </m:ctrlPr>
            </m:sub>
          </m:sSub>
          <m:r>
            <m:rPr/>
            <w:rPr>
              <w:color w:val="auto"/>
            </w:rPr>
            <m:t>+</m:t>
          </m:r>
          <m:sSub>
            <m:sSubPr>
              <m:ctrlPr>
                <w:rPr>
                  <w:color w:val="auto"/>
                </w:rPr>
              </m:ctrlPr>
            </m:sSubPr>
            <m:e>
              <m:r>
                <m:rPr/>
                <w:rPr>
                  <w:color w:val="auto"/>
                </w:rPr>
                <m:t>S</m:t>
              </m:r>
              <m:ctrlPr>
                <w:rPr>
                  <w:color w:val="auto"/>
                </w:rPr>
              </m:ctrlPr>
            </m:e>
            <m:sub>
              <m:r>
                <m:rPr/>
                <w:rPr>
                  <w:color w:val="auto"/>
                </w:rPr>
                <m:t>g</m:t>
              </m:r>
              <m:ctrlPr>
                <w:rPr>
                  <w:color w:val="auto"/>
                </w:rPr>
              </m:ctrlPr>
            </m:sub>
          </m:sSub>
          <m:r>
            <m:rPr/>
            <w:rPr>
              <w:color w:val="auto"/>
            </w:rPr>
            <m:t>+</m:t>
          </m:r>
          <m:sSub>
            <m:sSubPr>
              <m:ctrlPr>
                <w:rPr>
                  <w:color w:val="auto"/>
                </w:rPr>
              </m:ctrlPr>
            </m:sSubPr>
            <m:e>
              <m:r>
                <m:rPr/>
                <w:rPr>
                  <w:color w:val="auto"/>
                </w:rPr>
                <m:t>S</m:t>
              </m:r>
              <m:ctrlPr>
                <w:rPr>
                  <w:color w:val="auto"/>
                </w:rPr>
              </m:ctrlPr>
            </m:e>
            <m:sub>
              <m:r>
                <m:rPr/>
                <w:rPr>
                  <w:color w:val="auto"/>
                </w:rPr>
                <m:t>w</m:t>
              </m:r>
              <m:ctrlPr>
                <w:rPr>
                  <w:color w:val="auto"/>
                </w:rPr>
              </m:ctrlPr>
            </m:sub>
          </m:sSub>
          <m:r>
            <m:rPr/>
            <w:rPr>
              <w:color w:val="auto"/>
            </w:rPr>
            <m:t>=1  (3)</m:t>
          </m:r>
        </m:oMath>
      </m:oMathPara>
    </w:p>
    <w:p w14:paraId="4014C4B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pressure dependence of porosity is represented through the linear rock compressibility relation</w:t>
      </w:r>
    </w:p>
    <w:p w14:paraId="71BDB753">
      <w:pPr>
        <w:pStyle w:val="3"/>
        <w:spacing w:before="0" w:after="120"/>
        <w:ind w:firstLine="480" w:firstLineChars="200"/>
        <w:jc w:val="both"/>
        <w:rPr>
          <w:color w:val="auto"/>
        </w:rPr>
      </w:pPr>
      <m:oMathPara>
        <m:oMathParaPr>
          <m:jc m:val="center"/>
        </m:oMathParaPr>
        <m:oMath>
          <m:r>
            <m:rPr/>
            <w:rPr>
              <w:color w:val="auto"/>
            </w:rPr>
            <m:t>ϕ=</m:t>
          </m:r>
          <m:sSub>
            <m:sSubPr>
              <m:ctrlPr>
                <w:rPr>
                  <w:color w:val="auto"/>
                </w:rPr>
              </m:ctrlPr>
            </m:sSubPr>
            <m:e>
              <m:r>
                <m:rPr/>
                <w:rPr>
                  <w:color w:val="auto"/>
                </w:rPr>
                <m:t>ϕ</m:t>
              </m:r>
              <m:ctrlPr>
                <w:rPr>
                  <w:color w:val="auto"/>
                </w:rPr>
              </m:ctrlPr>
            </m:e>
            <m:sub>
              <m:r>
                <m:rPr/>
                <w:rPr>
                  <w:color w:val="auto"/>
                </w:rPr>
                <m:t>0</m:t>
              </m:r>
              <m:ctrlPr>
                <w:rPr>
                  <w:color w:val="auto"/>
                </w:rPr>
              </m:ctrlPr>
            </m:sub>
          </m:sSub>
          <m:d>
            <m:dPr>
              <m:begChr m:val="["/>
              <m:endChr m:val="]"/>
              <m:ctrlPr>
                <w:rPr>
                  <w:color w:val="auto"/>
                </w:rPr>
              </m:ctrlPr>
            </m:dPr>
            <m:e>
              <m:r>
                <m:rPr/>
                <w:rPr>
                  <w:color w:val="auto"/>
                </w:rPr>
                <m:t>1+</m:t>
              </m:r>
              <m:sSub>
                <m:sSubPr>
                  <m:ctrlPr>
                    <w:rPr>
                      <w:color w:val="auto"/>
                    </w:rPr>
                  </m:ctrlPr>
                </m:sSubPr>
                <m:e>
                  <m:r>
                    <m:rPr/>
                    <w:rPr>
                      <w:color w:val="auto"/>
                    </w:rPr>
                    <m:t>c</m:t>
                  </m:r>
                  <m:ctrlPr>
                    <w:rPr>
                      <w:color w:val="auto"/>
                    </w:rPr>
                  </m:ctrlPr>
                </m:e>
                <m:sub>
                  <m:r>
                    <m:rPr/>
                    <w:rPr>
                      <w:color w:val="auto"/>
                    </w:rPr>
                    <m:t>r</m:t>
                  </m:r>
                  <m:ctrlPr>
                    <w:rPr>
                      <w:color w:val="auto"/>
                    </w:rPr>
                  </m:ctrlPr>
                </m:sub>
              </m:sSub>
              <m:r>
                <m:rPr/>
                <w:rPr>
                  <w:color w:val="auto"/>
                </w:rPr>
                <m:t>(p−</m:t>
              </m:r>
              <m:sSub>
                <m:sSubPr>
                  <m:ctrlPr>
                    <w:rPr>
                      <w:color w:val="auto"/>
                    </w:rPr>
                  </m:ctrlPr>
                </m:sSubPr>
                <m:e>
                  <m:r>
                    <m:rPr/>
                    <w:rPr>
                      <w:color w:val="auto"/>
                    </w:rPr>
                    <m:t>p</m:t>
                  </m:r>
                  <m:ctrlPr>
                    <w:rPr>
                      <w:color w:val="auto"/>
                    </w:rPr>
                  </m:ctrlPr>
                </m:e>
                <m:sub>
                  <m:r>
                    <m:rPr/>
                    <w:rPr>
                      <w:color w:val="auto"/>
                    </w:rPr>
                    <m:t>0</m:t>
                  </m:r>
                  <m:ctrlPr>
                    <w:rPr>
                      <w:color w:val="auto"/>
                    </w:rPr>
                  </m:ctrlPr>
                </m:sub>
              </m:sSub>
              <m:r>
                <m:rPr/>
                <w:rPr>
                  <w:color w:val="auto"/>
                </w:rPr>
                <m:t>)</m:t>
              </m:r>
              <m:ctrlPr>
                <w:rPr>
                  <w:color w:val="auto"/>
                </w:rPr>
              </m:ctrlPr>
            </m:e>
          </m:d>
          <m:r>
            <m:rPr/>
            <w:rPr>
              <w:color w:val="auto"/>
            </w:rPr>
            <m:t>  (4)</m:t>
          </m:r>
        </m:oMath>
      </m:oMathPara>
    </w:p>
    <w:p w14:paraId="58C792D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For the dissolved gas component, the total-gas conservation relation takes the conventional black-oil form</w:t>
      </w:r>
    </w:p>
    <w:p w14:paraId="78A11890">
      <w:pPr>
        <w:pStyle w:val="3"/>
        <w:spacing w:before="0" w:after="120"/>
        <w:ind w:firstLine="480" w:firstLineChars="200"/>
        <w:jc w:val="both"/>
        <w:rPr>
          <w:color w:val="auto"/>
        </w:rPr>
      </w:pPr>
      <m:oMathPara>
        <m:oMathParaPr>
          <m:jc m:val="center"/>
        </m:oMathParaPr>
        <m:oMath>
          <m:f>
            <m:fPr>
              <m:ctrlPr>
                <w:rPr>
                  <w:color w:val="auto"/>
                </w:rPr>
              </m:ctrlPr>
            </m:fPr>
            <m:num>
              <m:r>
                <m:rPr/>
                <w:rPr>
                  <w:color w:val="auto"/>
                </w:rPr>
                <m:t>∂</m:t>
              </m:r>
              <m:ctrlPr>
                <w:rPr>
                  <w:color w:val="auto"/>
                </w:rPr>
              </m:ctrlPr>
            </m:num>
            <m:den>
              <m:r>
                <m:rPr/>
                <w:rPr>
                  <w:color w:val="auto"/>
                </w:rPr>
                <m:t>∂t</m:t>
              </m:r>
              <m:ctrlPr>
                <w:rPr>
                  <w:color w:val="auto"/>
                </w:rPr>
              </m:ctrlPr>
            </m:den>
          </m:f>
          <m:d>
            <m:dPr>
              <m:begChr m:val="["/>
              <m:endChr m:val="]"/>
              <m:ctrlPr>
                <w:rPr>
                  <w:color w:val="auto"/>
                </w:rPr>
              </m:ctrlPr>
            </m:dPr>
            <m:e>
              <m:r>
                <m:rPr/>
                <w:rPr>
                  <w:color w:val="auto"/>
                </w:rPr>
                <m:t>ϕ</m:t>
              </m:r>
              <m:d>
                <m:dPr>
                  <m:ctrlPr>
                    <w:rPr>
                      <w:color w:val="auto"/>
                    </w:rPr>
                  </m:ctrlPr>
                </m:dPr>
                <m:e>
                  <m:f>
                    <m:fPr>
                      <m:ctrlPr>
                        <w:rPr>
                          <w:color w:val="auto"/>
                        </w:rPr>
                      </m:ctrlPr>
                    </m:fPr>
                    <m:num>
                      <m:sSub>
                        <m:sSubPr>
                          <m:ctrlPr>
                            <w:rPr>
                              <w:color w:val="auto"/>
                            </w:rPr>
                          </m:ctrlPr>
                        </m:sSubPr>
                        <m:e>
                          <m:r>
                            <m:rPr/>
                            <w:rPr>
                              <w:color w:val="auto"/>
                            </w:rPr>
                            <m:t>S</m:t>
                          </m:r>
                          <m:ctrlPr>
                            <w:rPr>
                              <w:color w:val="auto"/>
                            </w:rPr>
                          </m:ctrlPr>
                        </m:e>
                        <m:sub>
                          <m:r>
                            <m:rPr/>
                            <w:rPr>
                              <w:color w:val="auto"/>
                            </w:rPr>
                            <m:t>g</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w:rPr>
                      <w:color w:val="auto"/>
                    </w:rPr>
                    <m:t>+</m:t>
                  </m:r>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S</m:t>
                          </m:r>
                          <m:ctrlPr>
                            <w:rPr>
                              <w:color w:val="auto"/>
                            </w:rPr>
                          </m:ctrlPr>
                        </m:e>
                        <m:sub>
                          <m:r>
                            <m:rPr/>
                            <w:rPr>
                              <w:color w:val="auto"/>
                            </w:rPr>
                            <m:t>o</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ctrlPr>
                    <w:rPr>
                      <w:color w:val="auto"/>
                    </w:rPr>
                  </m:ctrlPr>
                </m:e>
              </m:d>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k</m:t>
                      </m:r>
                      <m:ctrlPr>
                        <w:rPr>
                          <w:color w:val="auto"/>
                        </w:rPr>
                      </m:ctrlPr>
                    </m:e>
                    <m:sub>
                      <m:r>
                        <m:rPr/>
                        <w:rPr>
                          <w:color w:val="auto"/>
                        </w:rPr>
                        <m:t>rg</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g</m:t>
                      </m:r>
                      <m:ctrlPr>
                        <w:rPr>
                          <w:color w:val="auto"/>
                        </w:rPr>
                      </m:ctrlPr>
                    </m:sub>
                  </m:sSub>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g</m:t>
                  </m:r>
                  <m:ctrlPr>
                    <w:rPr>
                      <w:color w:val="auto"/>
                    </w:rPr>
                  </m:ctrlPr>
                </m:sub>
              </m:sSub>
              <m:r>
                <m:rPr/>
                <w:rPr>
                  <w:color w:val="auto"/>
                </w:rPr>
                <m:t>g∇z)</m:t>
              </m:r>
              <m:ctrlPr>
                <w:rPr>
                  <w:color w:val="auto"/>
                </w:rPr>
              </m:ctrlPr>
            </m:e>
          </m:d>
          <m:r>
            <m:rPr/>
            <w:rPr>
              <w:color w:val="auto"/>
            </w:rPr>
            <m:t>+∇⋅</m:t>
          </m:r>
          <m:d>
            <m:dPr>
              <m:ctrlPr>
                <w:rPr>
                  <w:color w:val="auto"/>
                </w:rPr>
              </m:ctrlPr>
            </m:dPr>
            <m:e>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k</m:t>
                      </m:r>
                      <m:ctrlPr>
                        <w:rPr>
                          <w:color w:val="auto"/>
                        </w:rPr>
                      </m:ctrlPr>
                    </m:e>
                    <m:sub>
                      <m:r>
                        <m:rPr/>
                        <w:rPr>
                          <w:color w:val="auto"/>
                        </w:rPr>
                        <m:t>ro</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o</m:t>
                      </m:r>
                      <m:ctrlPr>
                        <w:rPr>
                          <w:color w:val="auto"/>
                        </w:rPr>
                      </m:ctrlPr>
                    </m:sub>
                  </m:sSub>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r>
                <m:rPr>
                  <m:sty m:val="b"/>
                </m:rPr>
                <w:rPr>
                  <w:color w:val="auto"/>
                </w:rPr>
                <m:t>K</m:t>
              </m:r>
              <m:r>
                <m:rPr/>
                <w:rPr>
                  <w:color w:val="auto"/>
                </w:rPr>
                <m:t>(∇p−</m:t>
              </m:r>
              <m:sSub>
                <m:sSubPr>
                  <m:ctrlPr>
                    <w:rPr>
                      <w:color w:val="auto"/>
                    </w:rPr>
                  </m:ctrlPr>
                </m:sSubPr>
                <m:e>
                  <m:r>
                    <m:rPr/>
                    <w:rPr>
                      <w:color w:val="auto"/>
                    </w:rPr>
                    <m:t>ρ</m:t>
                  </m:r>
                  <m:ctrlPr>
                    <w:rPr>
                      <w:color w:val="auto"/>
                    </w:rPr>
                  </m:ctrlPr>
                </m:e>
                <m:sub>
                  <m:r>
                    <m:rPr/>
                    <w:rPr>
                      <w:color w:val="auto"/>
                    </w:rPr>
                    <m:t>o</m:t>
                  </m:r>
                  <m:ctrlPr>
                    <w:rPr>
                      <w:color w:val="auto"/>
                    </w:rPr>
                  </m:ctrlPr>
                </m:sub>
              </m:sSub>
              <m:r>
                <m:rPr/>
                <w:rPr>
                  <w:color w:val="auto"/>
                </w:rPr>
                <m:t>g∇z)</m:t>
              </m:r>
              <m:ctrlPr>
                <w:rPr>
                  <w:color w:val="auto"/>
                </w:rPr>
              </m:ctrlPr>
            </m:e>
          </m:d>
          <m:r>
            <m:rPr/>
            <w:rPr>
              <w:color w:val="auto"/>
            </w:rPr>
            <m:t>+</m:t>
          </m:r>
          <m:f>
            <m:fPr>
              <m:ctrlPr>
                <w:rPr>
                  <w:color w:val="auto"/>
                </w:rPr>
              </m:ctrlPr>
            </m:fPr>
            <m:num>
              <m:sSub>
                <m:sSubPr>
                  <m:ctrlPr>
                    <w:rPr>
                      <w:color w:val="auto"/>
                    </w:rPr>
                  </m:ctrlPr>
                </m:sSubPr>
                <m:e>
                  <m:r>
                    <m:rPr/>
                    <w:rPr>
                      <w:color w:val="auto"/>
                    </w:rPr>
                    <m:t>q</m:t>
                  </m:r>
                  <m:ctrlPr>
                    <w:rPr>
                      <w:color w:val="auto"/>
                    </w:rPr>
                  </m:ctrlPr>
                </m:e>
                <m:sub>
                  <m:r>
                    <m:rPr/>
                    <w:rPr>
                      <w:color w:val="auto"/>
                    </w:rPr>
                    <m:t>g</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g</m:t>
                  </m:r>
                  <m:ctrlPr>
                    <w:rPr>
                      <w:color w:val="auto"/>
                    </w:rPr>
                  </m:ctrlPr>
                </m:sub>
              </m:sSub>
              <m:ctrlPr>
                <w:rPr>
                  <w:color w:val="auto"/>
                </w:rPr>
              </m:ctrlPr>
            </m:den>
          </m:f>
          <m:r>
            <m:rPr/>
            <w:rPr>
              <w:color w:val="auto"/>
            </w:rPr>
            <m:t>+</m:t>
          </m:r>
          <m:f>
            <m:fPr>
              <m:ctrlPr>
                <w:rPr>
                  <w:color w:val="auto"/>
                </w:rPr>
              </m:ctrlPr>
            </m:fPr>
            <m:num>
              <m:sSub>
                <m:sSubPr>
                  <m:ctrlPr>
                    <w:rPr>
                      <w:color w:val="auto"/>
                    </w:rPr>
                  </m:ctrlPr>
                </m:sSubPr>
                <m:e>
                  <m:r>
                    <m:rPr/>
                    <w:rPr>
                      <w:color w:val="auto"/>
                    </w:rPr>
                    <m:t>R</m:t>
                  </m:r>
                  <m:ctrlPr>
                    <w:rPr>
                      <w:color w:val="auto"/>
                    </w:rPr>
                  </m:ctrlPr>
                </m:e>
                <m:sub>
                  <m:r>
                    <m:rPr/>
                    <w:rPr>
                      <w:color w:val="auto"/>
                    </w:rPr>
                    <m:t>s</m:t>
                  </m:r>
                  <m:ctrlPr>
                    <w:rPr>
                      <w:color w:val="auto"/>
                    </w:rPr>
                  </m:ctrlPr>
                </m:sub>
              </m:sSub>
              <m:sSub>
                <m:sSubPr>
                  <m:ctrlPr>
                    <w:rPr>
                      <w:color w:val="auto"/>
                    </w:rPr>
                  </m:ctrlPr>
                </m:sSubPr>
                <m:e>
                  <m:r>
                    <m:rPr/>
                    <w:rPr>
                      <w:color w:val="auto"/>
                    </w:rPr>
                    <m:t>q</m:t>
                  </m:r>
                  <m:ctrlPr>
                    <w:rPr>
                      <w:color w:val="auto"/>
                    </w:rPr>
                  </m:ctrlPr>
                </m:e>
                <m:sub>
                  <m:r>
                    <m:rPr/>
                    <w:rPr>
                      <w:color w:val="auto"/>
                    </w:rPr>
                    <m:t>o</m:t>
                  </m:r>
                  <m:ctrlPr>
                    <w:rPr>
                      <w:color w:val="auto"/>
                    </w:rPr>
                  </m:ctrlPr>
                </m:sub>
              </m:sSub>
              <m:ctrlPr>
                <w:rPr>
                  <w:color w:val="auto"/>
                </w:rPr>
              </m:ctrlPr>
            </m:num>
            <m:den>
              <m:sSub>
                <m:sSubPr>
                  <m:ctrlPr>
                    <w:rPr>
                      <w:color w:val="auto"/>
                    </w:rPr>
                  </m:ctrlPr>
                </m:sSubPr>
                <m:e>
                  <m:r>
                    <m:rPr/>
                    <w:rPr>
                      <w:color w:val="auto"/>
                    </w:rPr>
                    <m:t>B</m:t>
                  </m:r>
                  <m:ctrlPr>
                    <w:rPr>
                      <w:color w:val="auto"/>
                    </w:rPr>
                  </m:ctrlPr>
                </m:e>
                <m:sub>
                  <m:r>
                    <m:rPr/>
                    <w:rPr>
                      <w:color w:val="auto"/>
                    </w:rPr>
                    <m:t>o</m:t>
                  </m:r>
                  <m:ctrlPr>
                    <w:rPr>
                      <w:color w:val="auto"/>
                    </w:rPr>
                  </m:ctrlPr>
                </m:sub>
              </m:sSub>
              <m:ctrlPr>
                <w:rPr>
                  <w:color w:val="auto"/>
                </w:rPr>
              </m:ctrlPr>
            </m:den>
          </m:f>
          <m:r>
            <m:rPr/>
            <w:rPr>
              <w:color w:val="auto"/>
            </w:rPr>
            <m:t>  (5)</m:t>
          </m:r>
        </m:oMath>
      </m:oMathPara>
    </w:p>
    <w:p w14:paraId="67362A6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(5),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B</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g</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 the oil and gas formation volume factors, respectively,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s</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represents the solution gas–oil ratio. Together with the oil and water conservation statements (Eq. (1)), this completes the system of governing equations. The vaporized oil–gas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R</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v</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neglected, which is appropriate for black-oil systems operating below the critical point where oil vaporization into the gas phase is negligible.</w:t>
      </w:r>
    </w:p>
    <w:p w14:paraId="6460963F">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2: Primary physical variables and representative shale-oil ranges.</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1"/>
        <w:gridCol w:w="3845"/>
        <w:gridCol w:w="2273"/>
        <w:gridCol w:w="1392"/>
      </w:tblGrid>
      <w:tr w14:paraId="41B2495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D456BF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0" w:type="auto"/>
            <w:tcBorders>
              <w:bottom w:val="single" w:color="auto" w:sz="0" w:space="0"/>
            </w:tcBorders>
            <w:vAlign w:val="center"/>
          </w:tcPr>
          <w:p w14:paraId="3F2F36A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0" w:type="auto"/>
            <w:tcBorders>
              <w:bottom w:val="single" w:color="auto" w:sz="0" w:space="0"/>
            </w:tcBorders>
            <w:vAlign w:val="center"/>
          </w:tcPr>
          <w:p w14:paraId="45EABE9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Typical Range</w:t>
            </w:r>
          </w:p>
        </w:tc>
        <w:tc>
          <w:tcPr>
            <w:tcW w:w="1394" w:type="dxa"/>
            <w:tcBorders>
              <w:bottom w:val="single" w:color="auto" w:sz="0" w:space="0"/>
            </w:tcBorders>
            <w:vAlign w:val="center"/>
          </w:tcPr>
          <w:p w14:paraId="0B8A316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3F3A376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F986E15">
            <w:pPr>
              <w:pStyle w:val="24"/>
              <w:snapToGrid w:val="0"/>
              <w:spacing w:before="0" w:after="0"/>
              <w:ind w:left="0" w:leftChars="0" w:right="0" w:rightChars="0" w:firstLineChars="0"/>
              <w:jc w:val="left"/>
              <w:rPr>
                <w:color w:val="auto"/>
              </w:rPr>
            </w:pPr>
            <m:oMathPara>
              <m:oMath>
                <m:r>
                  <m:rPr>
                    <m:sty m:val="b"/>
                  </m:rPr>
                  <w:rPr>
                    <w:color w:val="auto"/>
                  </w:rPr>
                  <m:t>K</m:t>
                </m:r>
              </m:oMath>
            </m:oMathPara>
          </w:p>
        </w:tc>
        <w:tc>
          <w:tcPr>
            <w:tcW w:w="0" w:type="auto"/>
            <w:vAlign w:val="center"/>
          </w:tcPr>
          <w:p w14:paraId="723D63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Absolute permeability tensor</w:t>
            </w:r>
          </w:p>
        </w:tc>
        <w:tc>
          <w:tcPr>
            <w:tcW w:w="0" w:type="auto"/>
            <w:vAlign w:val="center"/>
          </w:tcPr>
          <w:p w14:paraId="636E3A41">
            <w:pPr>
              <w:pStyle w:val="24"/>
              <w:snapToGrid w:val="0"/>
              <w:spacing w:before="0" w:after="0"/>
              <w:ind w:left="0" w:leftChars="0" w:right="0" w:rightChars="0" w:firstLineChars="0"/>
              <w:jc w:val="left"/>
              <w:rPr>
                <w:color w:val="auto"/>
              </w:rPr>
            </w:pPr>
            <m:oMath>
              <m:sSup>
                <m:sSupPr>
                  <m:ctrlPr>
                    <w:rPr>
                      <w:color w:val="auto"/>
                    </w:rPr>
                  </m:ctrlPr>
                </m:sSupPr>
                <m:e>
                  <m:r>
                    <m:rPr/>
                    <w:rPr>
                      <w:color w:val="auto"/>
                    </w:rPr>
                    <m:t>10</m:t>
                  </m:r>
                  <m:ctrlPr>
                    <w:rPr>
                      <w:color w:val="auto"/>
                    </w:rPr>
                  </m:ctrlPr>
                </m:e>
                <m:sup>
                  <m:r>
                    <m:rPr/>
                    <w:rPr>
                      <w:color w:val="auto"/>
                    </w:rPr>
                    <m:t>−3</m:t>
                  </m:r>
                  <m:ctrlPr>
                    <w:rPr>
                      <w:color w:val="auto"/>
                    </w:rPr>
                  </m:ctrlPr>
                </m:sup>
              </m:sSup>
            </m:oMath>
            <w:r>
              <w:rPr>
                <w:rFonts w:ascii="Times New Roman" w:hAnsi="Times New Roman" w:cs="Times New Roman"/>
                <w:color w:val="auto"/>
                <w:sz w:val="20"/>
                <w:szCs w:val="20"/>
              </w:rPr>
              <w:t>–</w:t>
            </w:r>
            <m:oMath>
              <m:sSup>
                <m:sSupPr>
                  <m:ctrlPr>
                    <w:rPr>
                      <w:color w:val="auto"/>
                    </w:rPr>
                  </m:ctrlPr>
                </m:sSupPr>
                <m:e>
                  <m:r>
                    <m:rPr/>
                    <w:rPr>
                      <w:color w:val="auto"/>
                    </w:rPr>
                    <m:t>10</m:t>
                  </m:r>
                  <m:ctrlPr>
                    <w:rPr>
                      <w:color w:val="auto"/>
                    </w:rPr>
                  </m:ctrlPr>
                </m:e>
                <m:sup>
                  <m:r>
                    <m:rPr/>
                    <w:rPr>
                      <w:color w:val="auto"/>
                    </w:rPr>
                    <m:t>−1</m:t>
                  </m:r>
                  <m:ctrlPr>
                    <w:rPr>
                      <w:color w:val="auto"/>
                    </w:rPr>
                  </m:ctrlPr>
                </m:sup>
              </m:sSup>
            </m:oMath>
          </w:p>
        </w:tc>
        <w:tc>
          <w:tcPr>
            <w:tcW w:w="1394" w:type="dxa"/>
            <w:vAlign w:val="center"/>
          </w:tcPr>
          <w:p w14:paraId="46F820B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2D1DD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6B5BA6A">
            <w:pPr>
              <w:pStyle w:val="24"/>
              <w:snapToGrid w:val="0"/>
              <w:spacing w:before="0" w:after="0"/>
              <w:ind w:left="0" w:leftChars="0" w:right="0" w:rightChars="0" w:firstLineChars="0"/>
              <w:jc w:val="left"/>
              <w:rPr>
                <w:color w:val="auto"/>
              </w:rPr>
            </w:pPr>
            <m:oMathPara>
              <m:oMath>
                <m:r>
                  <m:rPr/>
                  <w:rPr>
                    <w:color w:val="auto"/>
                  </w:rPr>
                  <m:t>ϕ</m:t>
                </m:r>
              </m:oMath>
            </m:oMathPara>
          </w:p>
        </w:tc>
        <w:tc>
          <w:tcPr>
            <w:tcW w:w="0" w:type="auto"/>
            <w:vAlign w:val="center"/>
          </w:tcPr>
          <w:p w14:paraId="6BCF73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Porosity</w:t>
            </w:r>
          </w:p>
        </w:tc>
        <w:tc>
          <w:tcPr>
            <w:tcW w:w="0" w:type="auto"/>
            <w:vAlign w:val="center"/>
          </w:tcPr>
          <w:p w14:paraId="5B587E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0.04–0.12</w:t>
            </w:r>
          </w:p>
        </w:tc>
        <w:tc>
          <w:tcPr>
            <w:tcW w:w="1394" w:type="dxa"/>
            <w:vAlign w:val="center"/>
          </w:tcPr>
          <w:p w14:paraId="4669F05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5E09D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3530DE2">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R</m:t>
                    </m:r>
                    <m:ctrlPr>
                      <w:rPr>
                        <w:color w:val="auto"/>
                      </w:rPr>
                    </m:ctrlPr>
                  </m:e>
                  <m:sub>
                    <m:r>
                      <m:rPr/>
                      <w:rPr>
                        <w:color w:val="auto"/>
                      </w:rPr>
                      <m:t>s</m:t>
                    </m:r>
                    <m:ctrlPr>
                      <w:rPr>
                        <w:color w:val="auto"/>
                      </w:rPr>
                    </m:ctrlPr>
                  </m:sub>
                </m:sSub>
              </m:oMath>
            </m:oMathPara>
          </w:p>
        </w:tc>
        <w:tc>
          <w:tcPr>
            <w:tcW w:w="0" w:type="auto"/>
            <w:vAlign w:val="center"/>
          </w:tcPr>
          <w:p w14:paraId="2478FF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Solution gas–oil ratio</w:t>
            </w:r>
          </w:p>
        </w:tc>
        <w:tc>
          <w:tcPr>
            <w:tcW w:w="0" w:type="auto"/>
            <w:vAlign w:val="center"/>
          </w:tcPr>
          <w:p w14:paraId="52F7985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50–200</w:t>
            </w:r>
          </w:p>
        </w:tc>
        <w:tc>
          <w:tcPr>
            <w:tcW w:w="1394" w:type="dxa"/>
            <w:vAlign w:val="center"/>
          </w:tcPr>
          <w:p w14:paraId="4EE690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r w14:paraId="5A34B0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18AA81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c</m:t>
                    </m:r>
                    <m:ctrlPr>
                      <w:rPr>
                        <w:color w:val="auto"/>
                      </w:rPr>
                    </m:ctrlPr>
                  </m:e>
                  <m:sub>
                    <m:r>
                      <m:rPr/>
                      <w:rPr>
                        <w:color w:val="auto"/>
                      </w:rPr>
                      <m:t>r</m:t>
                    </m:r>
                    <m:ctrlPr>
                      <w:rPr>
                        <w:color w:val="auto"/>
                      </w:rPr>
                    </m:ctrlPr>
                  </m:sub>
                </m:sSub>
              </m:oMath>
            </m:oMathPara>
          </w:p>
        </w:tc>
        <w:tc>
          <w:tcPr>
            <w:tcW w:w="0" w:type="auto"/>
            <w:vAlign w:val="center"/>
          </w:tcPr>
          <w:p w14:paraId="7D5612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0" w:type="auto"/>
            <w:vAlign w:val="center"/>
          </w:tcPr>
          <w:p w14:paraId="353BC0E0">
            <w:pPr>
              <w:pStyle w:val="24"/>
              <w:snapToGrid w:val="0"/>
              <w:spacing w:before="0" w:after="0"/>
              <w:ind w:left="0" w:leftChars="0" w:right="0" w:rightChars="0" w:firstLineChars="0"/>
              <w:jc w:val="left"/>
              <w:rPr>
                <w:color w:val="auto"/>
              </w:rPr>
            </w:pPr>
            <m:oMath>
              <m:r>
                <m:rPr/>
                <w:rPr>
                  <w:color w:val="auto"/>
                </w:rPr>
                <m:t>3×</m:t>
              </m:r>
              <m:sSup>
                <m:sSupPr>
                  <m:ctrlPr>
                    <w:rPr>
                      <w:color w:val="auto"/>
                    </w:rPr>
                  </m:ctrlPr>
                </m:sSupPr>
                <m:e>
                  <m:r>
                    <m:rPr/>
                    <w:rPr>
                      <w:color w:val="auto"/>
                    </w:rPr>
                    <m:t>10</m:t>
                  </m:r>
                  <m:ctrlPr>
                    <w:rPr>
                      <w:color w:val="auto"/>
                    </w:rPr>
                  </m:ctrlPr>
                </m:e>
                <m:sup>
                  <m:r>
                    <m:rPr/>
                    <w:rPr>
                      <w:color w:val="auto"/>
                    </w:rPr>
                    <m:t>−6</m:t>
                  </m:r>
                  <m:ctrlPr>
                    <w:rPr>
                      <w:color w:val="auto"/>
                    </w:rPr>
                  </m:ctrlPr>
                </m:sup>
              </m:sSup>
            </m:oMath>
            <w:r>
              <w:rPr>
                <w:rFonts w:ascii="Times New Roman" w:hAnsi="Times New Roman" w:cs="Times New Roman"/>
                <w:color w:val="auto"/>
                <w:sz w:val="20"/>
                <w:szCs w:val="20"/>
              </w:rPr>
              <w:t>–</w:t>
            </w:r>
            <m:oMath>
              <m:r>
                <m:rPr/>
                <w:rPr>
                  <w:color w:val="auto"/>
                </w:rPr>
                <m:t>1×</m:t>
              </m:r>
              <m:sSup>
                <m:sSupPr>
                  <m:ctrlPr>
                    <w:rPr>
                      <w:color w:val="auto"/>
                    </w:rPr>
                  </m:ctrlPr>
                </m:sSupPr>
                <m:e>
                  <m:r>
                    <m:rPr/>
                    <w:rPr>
                      <w:color w:val="auto"/>
                    </w:rPr>
                    <m:t>10</m:t>
                  </m:r>
                  <m:ctrlPr>
                    <w:rPr>
                      <w:color w:val="auto"/>
                    </w:rPr>
                  </m:ctrlPr>
                </m:e>
                <m:sup>
                  <m:r>
                    <m:rPr/>
                    <w:rPr>
                      <w:color w:val="auto"/>
                    </w:rPr>
                    <m:t>−5</m:t>
                  </m:r>
                  <m:ctrlPr>
                    <w:rPr>
                      <w:color w:val="auto"/>
                    </w:rPr>
                  </m:ctrlPr>
                </m:sup>
              </m:sSup>
            </m:oMath>
          </w:p>
        </w:tc>
        <w:tc>
          <w:tcPr>
            <w:tcW w:w="1394" w:type="dxa"/>
            <w:vAlign w:val="center"/>
          </w:tcPr>
          <w:p w14:paraId="328DBC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42E862C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758B3F7">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a</m:t>
                    </m:r>
                    <m:ctrlPr>
                      <w:rPr>
                        <w:color w:val="auto"/>
                      </w:rPr>
                    </m:ctrlPr>
                  </m:e>
                  <m:sub>
                    <m:r>
                      <m:rPr/>
                      <w:rPr>
                        <w:color w:val="auto"/>
                      </w:rPr>
                      <m:t>f</m:t>
                    </m:r>
                    <m:ctrlPr>
                      <w:rPr>
                        <w:color w:val="auto"/>
                      </w:rPr>
                    </m:ctrlPr>
                  </m:sub>
                </m:sSub>
              </m:oMath>
            </m:oMathPara>
          </w:p>
        </w:tc>
        <w:tc>
          <w:tcPr>
            <w:tcW w:w="0" w:type="auto"/>
            <w:vAlign w:val="center"/>
          </w:tcPr>
          <w:p w14:paraId="63A1E2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aperture</w:t>
            </w:r>
          </w:p>
        </w:tc>
        <w:tc>
          <w:tcPr>
            <w:tcW w:w="0" w:type="auto"/>
            <w:vAlign w:val="center"/>
          </w:tcPr>
          <w:p w14:paraId="12D90B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w:t>
            </w:r>
          </w:p>
        </w:tc>
        <w:tc>
          <w:tcPr>
            <w:tcW w:w="1394" w:type="dxa"/>
            <w:vAlign w:val="center"/>
          </w:tcPr>
          <w:p w14:paraId="6F8D794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mm</w:t>
            </w:r>
          </w:p>
        </w:tc>
      </w:tr>
      <w:tr w14:paraId="1CB6A9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205" w:type="dxa"/>
            <w:vAlign w:val="center"/>
          </w:tcPr>
          <w:p w14:paraId="7DA60DAC">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K</m:t>
                    </m:r>
                    <m:ctrlPr>
                      <w:rPr>
                        <w:color w:val="auto"/>
                      </w:rPr>
                    </m:ctrlPr>
                  </m:e>
                  <m:sub>
                    <m:r>
                      <m:rPr/>
                      <w:rPr>
                        <w:color w:val="auto"/>
                      </w:rPr>
                      <m:t>f</m:t>
                    </m:r>
                    <m:ctrlPr>
                      <w:rPr>
                        <w:color w:val="auto"/>
                      </w:rPr>
                    </m:ctrlPr>
                  </m:sub>
                </m:sSub>
              </m:oMath>
            </m:oMathPara>
          </w:p>
        </w:tc>
        <w:tc>
          <w:tcPr>
            <w:tcW w:w="3946" w:type="dxa"/>
            <w:vAlign w:val="center"/>
          </w:tcPr>
          <w:p w14:paraId="4533DA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permeability</w:t>
            </w:r>
          </w:p>
        </w:tc>
        <w:tc>
          <w:tcPr>
            <w:tcW w:w="2306" w:type="dxa"/>
            <w:vAlign w:val="center"/>
          </w:tcPr>
          <w:p w14:paraId="3D6873A5">
            <w:pPr>
              <w:pStyle w:val="24"/>
              <w:snapToGrid w:val="0"/>
              <w:spacing w:before="0" w:after="0"/>
              <w:ind w:left="0" w:leftChars="0" w:right="0" w:rightChars="0" w:firstLineChars="0"/>
              <w:jc w:val="left"/>
              <w:rPr>
                <w:color w:val="auto"/>
              </w:rPr>
            </w:pPr>
            <m:oMath>
              <m:sSup>
                <m:sSupPr>
                  <m:ctrlPr>
                    <w:rPr>
                      <w:color w:val="auto"/>
                    </w:rPr>
                  </m:ctrlPr>
                </m:sSupPr>
                <m:e>
                  <m:r>
                    <m:rPr/>
                    <w:rPr>
                      <w:color w:val="auto"/>
                    </w:rPr>
                    <m:t>10</m:t>
                  </m:r>
                  <m:ctrlPr>
                    <w:rPr>
                      <w:color w:val="auto"/>
                    </w:rPr>
                  </m:ctrlPr>
                </m:e>
                <m:sup>
                  <m:r>
                    <m:rPr/>
                    <w:rPr>
                      <w:color w:val="auto"/>
                    </w:rPr>
                    <m:t>3</m:t>
                  </m:r>
                  <m:ctrlPr>
                    <w:rPr>
                      <w:color w:val="auto"/>
                    </w:rPr>
                  </m:ctrlPr>
                </m:sup>
              </m:sSup>
            </m:oMath>
            <w:r>
              <w:rPr>
                <w:rFonts w:ascii="Times New Roman" w:hAnsi="Times New Roman" w:cs="Times New Roman"/>
                <w:color w:val="auto"/>
                <w:sz w:val="20"/>
                <w:szCs w:val="20"/>
              </w:rPr>
              <w:t>–</w:t>
            </w:r>
            <m:oMath>
              <m:sSup>
                <m:sSupPr>
                  <m:ctrlPr>
                    <w:rPr>
                      <w:color w:val="auto"/>
                    </w:rPr>
                  </m:ctrlPr>
                </m:sSupPr>
                <m:e>
                  <m:r>
                    <m:rPr/>
                    <w:rPr>
                      <w:color w:val="auto"/>
                    </w:rPr>
                    <m:t>10</m:t>
                  </m:r>
                  <m:ctrlPr>
                    <w:rPr>
                      <w:color w:val="auto"/>
                    </w:rPr>
                  </m:ctrlPr>
                </m:e>
                <m:sup>
                  <m:r>
                    <m:rPr/>
                    <w:rPr>
                      <w:color w:val="auto"/>
                    </w:rPr>
                    <m:t>6</m:t>
                  </m:r>
                  <m:ctrlPr>
                    <w:rPr>
                      <w:color w:val="auto"/>
                    </w:rPr>
                  </m:ctrlPr>
                </m:sup>
              </m:sSup>
            </m:oMath>
          </w:p>
        </w:tc>
        <w:tc>
          <w:tcPr>
            <w:tcW w:w="1394" w:type="dxa"/>
            <w:vAlign w:val="center"/>
          </w:tcPr>
          <w:p w14:paraId="3AE036D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bl>
    <w:p w14:paraId="217B1E8F">
      <w:pPr>
        <w:pStyle w:val="4"/>
        <w:spacing w:before="120" w:after="60" w:line="360" w:lineRule="auto"/>
        <w:jc w:val="left"/>
        <w:rPr>
          <w:rFonts w:ascii="Times New Roman" w:hAnsi="Times New Roman" w:cs="Times New Roman"/>
          <w:color w:val="auto"/>
          <w:sz w:val="24"/>
          <w:szCs w:val="24"/>
        </w:rPr>
      </w:pPr>
      <w:bookmarkStart w:id="8" w:name="tpfa-discretization-on-pebi-grids"/>
      <w:r>
        <w:rPr>
          <w:rFonts w:ascii="Times New Roman" w:hAnsi="Times New Roman" w:cs="Times New Roman"/>
          <w:b/>
          <w:bCs/>
          <w:color w:val="auto"/>
          <w:sz w:val="24"/>
          <w:szCs w:val="24"/>
        </w:rPr>
        <w:t>2.2 TPFA Discretization on PEBI Grids</w:t>
      </w:r>
      <w:bookmarkEnd w:id="8"/>
    </w:p>
    <w:p w14:paraId="5931C2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Integrating Eq. (1) over an arbitrary PEBI cell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Ω</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invoking the Gauss divergence theorem yields the discrete intercell flux across face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Γ</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w:t>
      </w:r>
    </w:p>
    <w:p w14:paraId="0A56C511">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F</m:t>
              </m:r>
              <m:ctrlPr>
                <w:rPr>
                  <w:color w:val="auto"/>
                </w:rPr>
              </m:ctrlPr>
            </m:e>
            <m:sub>
              <m:r>
                <m:rPr/>
                <w:rPr>
                  <w:color w:val="auto"/>
                </w:rPr>
                <m:t>p,ij</m:t>
              </m:r>
              <m:ctrlPr>
                <w:rPr>
                  <w:color w:val="auto"/>
                </w:rPr>
              </m:ctrlPr>
            </m:sub>
          </m:sSub>
          <m:r>
            <m:rPr/>
            <w:rPr>
              <w:color w:val="auto"/>
            </w:rPr>
            <m:t>=</m:t>
          </m:r>
          <m:sSub>
            <m:sSubPr>
              <m:ctrlPr>
                <w:rPr>
                  <w:color w:val="auto"/>
                </w:rPr>
              </m:ctrlPr>
            </m:sSubPr>
            <m:e>
              <m:r>
                <m:rPr/>
                <w:rPr>
                  <w:color w:val="auto"/>
                </w:rPr>
                <m:t>T</m:t>
              </m:r>
              <m:ctrlPr>
                <w:rPr>
                  <w:color w:val="auto"/>
                </w:rPr>
              </m:ctrlPr>
            </m:e>
            <m:sub>
              <m:r>
                <m:rPr/>
                <w:rPr>
                  <w:color w:val="auto"/>
                </w:rPr>
                <m:t>p,ij</m:t>
              </m:r>
              <m:ctrlPr>
                <w:rPr>
                  <w:color w:val="auto"/>
                </w:rPr>
              </m:ctrlPr>
            </m:sub>
          </m:sSub>
          <m:d>
            <m:dPr>
              <m:begChr m:val="["/>
              <m:endChr m:val="]"/>
              <m:ctrlPr>
                <w:rPr>
                  <w:color w:val="auto"/>
                </w:rPr>
              </m:ctrlPr>
            </m:dPr>
            <m:e>
              <m:r>
                <m:rPr/>
                <w:rPr>
                  <w:color w:val="auto"/>
                </w:rPr>
                <m:t>(</m:t>
              </m:r>
              <m:sSub>
                <m:sSubPr>
                  <m:ctrlPr>
                    <w:rPr>
                      <w:color w:val="auto"/>
                    </w:rPr>
                  </m:ctrlPr>
                </m:sSubPr>
                <m:e>
                  <m:r>
                    <m:rPr/>
                    <w:rPr>
                      <w:color w:val="auto"/>
                    </w:rPr>
                    <m:t>p</m:t>
                  </m:r>
                  <m:ctrlPr>
                    <w:rPr>
                      <w:color w:val="auto"/>
                    </w:rPr>
                  </m:ctrlPr>
                </m:e>
                <m:sub>
                  <m:r>
                    <m:rPr/>
                    <w:rPr>
                      <w:color w:val="auto"/>
                    </w:rPr>
                    <m:t>i</m:t>
                  </m:r>
                  <m:ctrlPr>
                    <w:rPr>
                      <w:color w:val="auto"/>
                    </w:rPr>
                  </m:ctrlPr>
                </m:sub>
              </m:sSub>
              <m:r>
                <m:rPr/>
                <w:rPr>
                  <w:color w:val="auto"/>
                </w:rPr>
                <m:t>−</m:t>
              </m:r>
              <m:sSub>
                <m:sSubPr>
                  <m:ctrlPr>
                    <w:rPr>
                      <w:color w:val="auto"/>
                    </w:rPr>
                  </m:ctrlPr>
                </m:sSubPr>
                <m:e>
                  <m:r>
                    <m:rPr/>
                    <w:rPr>
                      <w:color w:val="auto"/>
                    </w:rPr>
                    <m:t>p</m:t>
                  </m:r>
                  <m:ctrlPr>
                    <w:rPr>
                      <w:color w:val="auto"/>
                    </w:rPr>
                  </m:ctrlPr>
                </m:e>
                <m:sub>
                  <m:r>
                    <m:rPr/>
                    <w:rPr>
                      <w:color w:val="auto"/>
                    </w:rPr>
                    <m:t>j</m:t>
                  </m:r>
                  <m:ctrlPr>
                    <w:rPr>
                      <w:color w:val="auto"/>
                    </w:rPr>
                  </m:ctrlPr>
                </m:sub>
              </m:sSub>
              <m:r>
                <m:rPr/>
                <w:rPr>
                  <w:color w:val="auto"/>
                </w:rPr>
                <m:t>)−</m:t>
              </m:r>
              <m:sSub>
                <m:sSubPr>
                  <m:ctrlPr>
                    <w:rPr>
                      <w:color w:val="auto"/>
                    </w:rPr>
                  </m:ctrlPr>
                </m:sSubPr>
                <m:e>
                  <m:r>
                    <m:rPr/>
                    <w:rPr>
                      <w:color w:val="auto"/>
                    </w:rPr>
                    <m:t>ρ</m:t>
                  </m:r>
                  <m:ctrlPr>
                    <w:rPr>
                      <w:color w:val="auto"/>
                    </w:rPr>
                  </m:ctrlPr>
                </m:e>
                <m:sub>
                  <m:r>
                    <m:rPr/>
                    <w:rPr>
                      <w:color w:val="auto"/>
                    </w:rPr>
                    <m:t>p</m:t>
                  </m:r>
                  <m:ctrlPr>
                    <w:rPr>
                      <w:color w:val="auto"/>
                    </w:rPr>
                  </m:ctrlPr>
                </m:sub>
              </m:sSub>
              <m:r>
                <m:rPr/>
                <w:rPr>
                  <w:color w:val="auto"/>
                </w:rPr>
                <m:t>g(</m:t>
              </m:r>
              <m:sSub>
                <m:sSubPr>
                  <m:ctrlPr>
                    <w:rPr>
                      <w:color w:val="auto"/>
                    </w:rPr>
                  </m:ctrlPr>
                </m:sSubPr>
                <m:e>
                  <m:r>
                    <m:rPr/>
                    <w:rPr>
                      <w:color w:val="auto"/>
                    </w:rPr>
                    <m:t>z</m:t>
                  </m:r>
                  <m:ctrlPr>
                    <w:rPr>
                      <w:color w:val="auto"/>
                    </w:rPr>
                  </m:ctrlPr>
                </m:e>
                <m:sub>
                  <m:r>
                    <m:rPr/>
                    <w:rPr>
                      <w:color w:val="auto"/>
                    </w:rPr>
                    <m:t>i</m:t>
                  </m:r>
                  <m:ctrlPr>
                    <w:rPr>
                      <w:color w:val="auto"/>
                    </w:rPr>
                  </m:ctrlPr>
                </m:sub>
              </m:sSub>
              <m:r>
                <m:rPr/>
                <w:rPr>
                  <w:color w:val="auto"/>
                </w:rPr>
                <m:t>−</m:t>
              </m:r>
              <m:sSub>
                <m:sSubPr>
                  <m:ctrlPr>
                    <w:rPr>
                      <w:color w:val="auto"/>
                    </w:rPr>
                  </m:ctrlPr>
                </m:sSubPr>
                <m:e>
                  <m:r>
                    <m:rPr/>
                    <w:rPr>
                      <w:color w:val="auto"/>
                    </w:rPr>
                    <m:t>z</m:t>
                  </m:r>
                  <m:ctrlPr>
                    <w:rPr>
                      <w:color w:val="auto"/>
                    </w:rPr>
                  </m:ctrlPr>
                </m:e>
                <m:sub>
                  <m:r>
                    <m:rPr/>
                    <w:rPr>
                      <w:color w:val="auto"/>
                    </w:rPr>
                    <m:t>j</m:t>
                  </m:r>
                  <m:ctrlPr>
                    <w:rPr>
                      <w:color w:val="auto"/>
                    </w:rPr>
                  </m:ctrlPr>
                </m:sub>
              </m:sSub>
              <m:r>
                <m:rPr/>
                <w:rPr>
                  <w:color w:val="auto"/>
                </w:rPr>
                <m:t>)</m:t>
              </m:r>
              <m:ctrlPr>
                <w:rPr>
                  <w:color w:val="auto"/>
                </w:rPr>
              </m:ctrlPr>
            </m:e>
          </m:d>
          <m:r>
            <m:rPr/>
            <w:rPr>
              <w:color w:val="auto"/>
            </w:rPr>
            <m:t>  (6)</m:t>
          </m:r>
        </m:oMath>
      </m:oMathPara>
    </w:p>
    <w:p w14:paraId="20044AF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the above expression, the transmissibility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p,ij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assembled from one-sided half-transmissibilities via harmonic averaging:</w:t>
      </w:r>
    </w:p>
    <w:p w14:paraId="7C1CA3C9">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T</m:t>
              </m:r>
              <m:ctrlPr>
                <w:rPr>
                  <w:color w:val="auto"/>
                </w:rPr>
              </m:ctrlPr>
            </m:e>
            <m:sub>
              <m:r>
                <m:rPr/>
                <w:rPr>
                  <w:color w:val="auto"/>
                </w:rPr>
                <m:t>p,ij</m:t>
              </m:r>
              <m:ctrlPr>
                <w:rPr>
                  <w:color w:val="auto"/>
                </w:rPr>
              </m:ctrlPr>
            </m:sub>
          </m:sSub>
          <m:r>
            <m:rPr/>
            <w:rPr>
              <w:color w:val="auto"/>
            </w:rPr>
            <m:t>=</m:t>
          </m:r>
          <m:sSup>
            <m:sSupPr>
              <m:ctrlPr>
                <w:rPr>
                  <w:color w:val="auto"/>
                </w:rPr>
              </m:ctrlPr>
            </m:sSupPr>
            <m:e>
              <m:d>
                <m:dPr>
                  <m:ctrlPr>
                    <w:rPr>
                      <w:color w:val="auto"/>
                    </w:rPr>
                  </m:ctrlPr>
                </m:dPr>
                <m:e>
                  <m:f>
                    <m:fPr>
                      <m:ctrlPr>
                        <w:rPr>
                          <w:color w:val="auto"/>
                        </w:rPr>
                      </m:ctrlPr>
                    </m:fPr>
                    <m:num>
                      <m:r>
                        <m:rPr/>
                        <w:rPr>
                          <w:color w:val="auto"/>
                        </w:rPr>
                        <m:t>1</m:t>
                      </m:r>
                      <m:ctrlPr>
                        <w:rPr>
                          <w:color w:val="auto"/>
                        </w:rPr>
                      </m:ctrlPr>
                    </m:num>
                    <m:den>
                      <m:sSub>
                        <m:sSubPr>
                          <m:ctrlPr>
                            <w:rPr>
                              <w:color w:val="auto"/>
                            </w:rPr>
                          </m:ctrlPr>
                        </m:sSubPr>
                        <m:e>
                          <m:r>
                            <m:rPr/>
                            <w:rPr>
                              <w:color w:val="auto"/>
                            </w:rPr>
                            <m:t>T</m:t>
                          </m:r>
                          <m:ctrlPr>
                            <w:rPr>
                              <w:color w:val="auto"/>
                            </w:rPr>
                          </m:ctrlPr>
                        </m:e>
                        <m:sub>
                          <m:r>
                            <m:rPr/>
                            <w:rPr>
                              <w:color w:val="auto"/>
                            </w:rPr>
                            <m:t>p,i</m:t>
                          </m:r>
                          <m:ctrlPr>
                            <w:rPr>
                              <w:color w:val="auto"/>
                            </w:rPr>
                          </m:ctrlPr>
                        </m:sub>
                      </m:sSub>
                      <m:ctrlPr>
                        <w:rPr>
                          <w:color w:val="auto"/>
                        </w:rPr>
                      </m:ctrlPr>
                    </m:den>
                  </m:f>
                  <m:r>
                    <m:rPr/>
                    <w:rPr>
                      <w:color w:val="auto"/>
                    </w:rPr>
                    <m:t>+</m:t>
                  </m:r>
                  <m:f>
                    <m:fPr>
                      <m:ctrlPr>
                        <w:rPr>
                          <w:color w:val="auto"/>
                        </w:rPr>
                      </m:ctrlPr>
                    </m:fPr>
                    <m:num>
                      <m:r>
                        <m:rPr/>
                        <w:rPr>
                          <w:color w:val="auto"/>
                        </w:rPr>
                        <m:t>1</m:t>
                      </m:r>
                      <m:ctrlPr>
                        <w:rPr>
                          <w:color w:val="auto"/>
                        </w:rPr>
                      </m:ctrlPr>
                    </m:num>
                    <m:den>
                      <m:sSub>
                        <m:sSubPr>
                          <m:ctrlPr>
                            <w:rPr>
                              <w:color w:val="auto"/>
                            </w:rPr>
                          </m:ctrlPr>
                        </m:sSubPr>
                        <m:e>
                          <m:r>
                            <m:rPr/>
                            <w:rPr>
                              <w:color w:val="auto"/>
                            </w:rPr>
                            <m:t>T</m:t>
                          </m:r>
                          <m:ctrlPr>
                            <w:rPr>
                              <w:color w:val="auto"/>
                            </w:rPr>
                          </m:ctrlPr>
                        </m:e>
                        <m:sub>
                          <m:r>
                            <m:rPr/>
                            <w:rPr>
                              <w:color w:val="auto"/>
                            </w:rPr>
                            <m:t>p,j</m:t>
                          </m:r>
                          <m:ctrlPr>
                            <w:rPr>
                              <w:color w:val="auto"/>
                            </w:rPr>
                          </m:ctrlPr>
                        </m:sub>
                      </m:sSub>
                      <m:ctrlPr>
                        <w:rPr>
                          <w:color w:val="auto"/>
                        </w:rPr>
                      </m:ctrlPr>
                    </m:den>
                  </m:f>
                  <m:ctrlPr>
                    <w:rPr>
                      <w:color w:val="auto"/>
                    </w:rPr>
                  </m:ctrlPr>
                </m:e>
              </m:d>
              <m:ctrlPr>
                <w:rPr>
                  <w:color w:val="auto"/>
                </w:rPr>
              </m:ctrlPr>
            </m:e>
            <m:sup>
              <m:r>
                <m:rPr/>
                <w:rPr>
                  <w:color w:val="auto"/>
                </w:rPr>
                <m:t>−1</m:t>
              </m:r>
              <m:ctrlPr>
                <w:rPr>
                  <w:color w:val="auto"/>
                </w:rPr>
              </m:ctrlPr>
            </m:sup>
          </m:sSup>
          <m:r>
            <m:rPr/>
            <w:rPr>
              <w:color w:val="auto"/>
            </w:rPr>
            <m:t>, </m:t>
          </m:r>
          <m:sSub>
            <m:sSubPr>
              <m:ctrlPr>
                <w:rPr>
                  <w:color w:val="auto"/>
                </w:rPr>
              </m:ctrlPr>
            </m:sSubPr>
            <m:e>
              <m:r>
                <m:rPr/>
                <w:rPr>
                  <w:color w:val="auto"/>
                </w:rPr>
                <m:t>T</m:t>
              </m:r>
              <m:ctrlPr>
                <w:rPr>
                  <w:color w:val="auto"/>
                </w:rPr>
              </m:ctrlPr>
            </m:e>
            <m:sub>
              <m:r>
                <m:rPr/>
                <w:rPr>
                  <w:color w:val="auto"/>
                </w:rPr>
                <m:t>p,i</m:t>
              </m:r>
              <m:ctrlPr>
                <w:rPr>
                  <w:color w:val="auto"/>
                </w:rPr>
              </m:ctrlPr>
            </m:sub>
          </m:sSub>
          <m:r>
            <m:rPr/>
            <w:rPr>
              <w:color w:val="auto"/>
            </w:rPr>
            <m:t>=</m:t>
          </m:r>
          <m:f>
            <m:fPr>
              <m:ctrlPr>
                <w:rPr>
                  <w:color w:val="auto"/>
                </w:rPr>
              </m:ctrlPr>
            </m:fPr>
            <m:num>
              <m:sSub>
                <m:sSubPr>
                  <m:ctrlPr>
                    <w:rPr>
                      <w:color w:val="auto"/>
                    </w:rPr>
                  </m:ctrlPr>
                </m:sSubPr>
                <m:e>
                  <m:r>
                    <m:rPr/>
                    <w:rPr>
                      <w:color w:val="auto"/>
                    </w:rPr>
                    <m:t>A</m:t>
                  </m:r>
                  <m:ctrlPr>
                    <w:rPr>
                      <w:color w:val="auto"/>
                    </w:rPr>
                  </m:ctrlPr>
                </m:e>
                <m:sub>
                  <m:r>
                    <m:rPr/>
                    <w:rPr>
                      <w:color w:val="auto"/>
                    </w:rPr>
                    <m:t>ij</m:t>
                  </m:r>
                  <m:ctrlPr>
                    <w:rPr>
                      <w:color w:val="auto"/>
                    </w:rPr>
                  </m:ctrlPr>
                </m:sub>
              </m:sSub>
              <m:ctrlPr>
                <w:rPr>
                  <w:color w:val="auto"/>
                </w:rPr>
              </m:ctrlPr>
            </m:num>
            <m:den>
              <m:sSub>
                <m:sSubPr>
                  <m:ctrlPr>
                    <w:rPr>
                      <w:color w:val="auto"/>
                    </w:rPr>
                  </m:ctrlPr>
                </m:sSubPr>
                <m:e>
                  <m:r>
                    <m:rPr/>
                    <w:rPr>
                      <w:color w:val="auto"/>
                    </w:rPr>
                    <m:t>d</m:t>
                  </m:r>
                  <m:ctrlPr>
                    <w:rPr>
                      <w:color w:val="auto"/>
                    </w:rPr>
                  </m:ctrlPr>
                </m:e>
                <m:sub>
                  <m:r>
                    <m:rPr/>
                    <w:rPr>
                      <w:color w:val="auto"/>
                    </w:rPr>
                    <m:t>i</m:t>
                  </m:r>
                  <m:ctrlPr>
                    <w:rPr>
                      <w:color w:val="auto"/>
                    </w:rPr>
                  </m:ctrlPr>
                </m:sub>
              </m:sSub>
              <m:ctrlPr>
                <w:rPr>
                  <w:color w:val="auto"/>
                </w:rPr>
              </m:ctrlPr>
            </m:den>
          </m:f>
          <m:f>
            <m:fPr>
              <m:ctrlPr>
                <w:rPr>
                  <w:color w:val="auto"/>
                </w:rPr>
              </m:ctrlPr>
            </m:fPr>
            <m:num>
              <m:sSub>
                <m:sSubPr>
                  <m:ctrlPr>
                    <w:rPr>
                      <w:color w:val="auto"/>
                    </w:rPr>
                  </m:ctrlPr>
                </m:sSubPr>
                <m:e>
                  <m:r>
                    <m:rPr/>
                    <w:rPr>
                      <w:color w:val="auto"/>
                    </w:rPr>
                    <m:t>k</m:t>
                  </m:r>
                  <m:ctrlPr>
                    <w:rPr>
                      <w:color w:val="auto"/>
                    </w:rPr>
                  </m:ctrlPr>
                </m:e>
                <m:sub>
                  <m:r>
                    <m:rPr/>
                    <w:rPr>
                      <w:color w:val="auto"/>
                    </w:rPr>
                    <m:t>rp</m:t>
                  </m:r>
                  <m:ctrlPr>
                    <w:rPr>
                      <w:color w:val="auto"/>
                    </w:rPr>
                  </m:ctrlPr>
                </m:sub>
              </m:sSub>
              <m:ctrlPr>
                <w:rPr>
                  <w:color w:val="auto"/>
                </w:rPr>
              </m:ctrlPr>
            </m:num>
            <m:den>
              <m:sSub>
                <m:sSubPr>
                  <m:ctrlPr>
                    <w:rPr>
                      <w:color w:val="auto"/>
                    </w:rPr>
                  </m:ctrlPr>
                </m:sSubPr>
                <m:e>
                  <m:r>
                    <m:rPr/>
                    <w:rPr>
                      <w:color w:val="auto"/>
                    </w:rPr>
                    <m:t>μ</m:t>
                  </m:r>
                  <m:ctrlPr>
                    <w:rPr>
                      <w:color w:val="auto"/>
                    </w:rPr>
                  </m:ctrlPr>
                </m:e>
                <m:sub>
                  <m:r>
                    <m:rPr/>
                    <w:rPr>
                      <w:color w:val="auto"/>
                    </w:rPr>
                    <m:t>p</m:t>
                  </m:r>
                  <m:ctrlPr>
                    <w:rPr>
                      <w:color w:val="auto"/>
                    </w:rPr>
                  </m:ctrlPr>
                </m:sub>
              </m:sSub>
              <m:sSub>
                <m:sSubPr>
                  <m:ctrlPr>
                    <w:rPr>
                      <w:color w:val="auto"/>
                    </w:rPr>
                  </m:ctrlPr>
                </m:sSubPr>
                <m:e>
                  <m:r>
                    <m:rPr/>
                    <w:rPr>
                      <w:color w:val="auto"/>
                    </w:rPr>
                    <m:t>B</m:t>
                  </m:r>
                  <m:ctrlPr>
                    <w:rPr>
                      <w:color w:val="auto"/>
                    </w:rPr>
                  </m:ctrlPr>
                </m:e>
                <m:sub>
                  <m:r>
                    <m:rPr/>
                    <w:rPr>
                      <w:color w:val="auto"/>
                    </w:rPr>
                    <m:t>p</m:t>
                  </m:r>
                  <m:ctrlPr>
                    <w:rPr>
                      <w:color w:val="auto"/>
                    </w:rPr>
                  </m:ctrlPr>
                </m:sub>
              </m:sSub>
              <m:ctrlPr>
                <w:rPr>
                  <w:color w:val="auto"/>
                </w:rPr>
              </m:ctrlPr>
            </m:den>
          </m:f>
          <m:r>
            <m:rPr/>
            <w:rPr>
              <w:color w:val="auto"/>
            </w:rPr>
            <m:t>(</m:t>
          </m:r>
          <m:r>
            <m:rPr>
              <m:sty m:val="b"/>
            </m:rPr>
            <w:rPr>
              <w:color w:val="auto"/>
            </w:rPr>
            <m:t>K</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  (7)</m:t>
          </m:r>
        </m:oMath>
      </m:oMathPara>
    </w:p>
    <w:p w14:paraId="659D6DC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(7),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face area, </w:t>
      </w:r>
      <m:oMath>
        <m:sSub>
          <m:sSubPr>
            <m:ctrlPr>
              <w:rPr>
                <w:rFonts w:ascii="Times New Roman" w:hAnsi="Times New Roman" w:cs="Times New Roman"/>
                <w:color w:val="auto"/>
                <w:sz w:val="24"/>
                <w:szCs w:val="24"/>
              </w:rPr>
            </m:ctrlPr>
          </m:sSubPr>
          <m:e>
            <m:r>
              <m:rPr>
                <m:sty m:val="b"/>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outward unit normal,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d</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denotes the distance from the generator point to the face along the normal direction. TPFA is exact when the vector connecting adjacent cell centers aligns with the permeability-weighted face normal. Cartesian grids break this alignment near oblique fractures; the PEBI construction enforces it by geometric design.</w:t>
      </w:r>
    </w:p>
    <w:p w14:paraId="1E2FC940">
      <w:pPr>
        <w:pStyle w:val="4"/>
        <w:spacing w:before="120" w:after="60" w:line="360" w:lineRule="auto"/>
        <w:jc w:val="left"/>
        <w:rPr>
          <w:rFonts w:ascii="Times New Roman" w:hAnsi="Times New Roman" w:cs="Times New Roman"/>
          <w:color w:val="auto"/>
          <w:sz w:val="24"/>
          <w:szCs w:val="24"/>
        </w:rPr>
      </w:pPr>
      <w:bookmarkStart w:id="9" w:name="fracture-conforming-pebi-generation"/>
      <w:r>
        <w:rPr>
          <w:rFonts w:ascii="Times New Roman" w:hAnsi="Times New Roman" w:cs="Times New Roman"/>
          <w:b/>
          <w:bCs/>
          <w:color w:val="auto"/>
          <w:sz w:val="24"/>
          <w:szCs w:val="24"/>
        </w:rPr>
        <w:t>2.3 Fracture-Conforming PEBI Generation</w:t>
      </w:r>
      <w:bookmarkEnd w:id="9"/>
    </w:p>
    <w:p w14:paraId="1D84A3E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PEBI mesh is obtained as the Voronoi dual of a constrained Delaunay triangulation (CDT). For a given generator set </w:t>
      </w:r>
      <m:oMath>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x</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each Voronoi cell is defined as</w:t>
      </w:r>
    </w:p>
    <w:p w14:paraId="6D1845CC">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V</m:t>
              </m:r>
              <m:ctrlPr>
                <w:rPr>
                  <w:color w:val="auto"/>
                </w:rPr>
              </m:ctrlPr>
            </m:e>
            <m:sub>
              <m:r>
                <m:rPr/>
                <w:rPr>
                  <w:color w:val="auto"/>
                </w:rPr>
                <m:t>i</m:t>
              </m:r>
              <m:ctrlPr>
                <w:rPr>
                  <w:color w:val="auto"/>
                </w:rPr>
              </m:ctrlPr>
            </m:sub>
          </m:sSub>
          <m:r>
            <m:rPr/>
            <w:rPr>
              <w:color w:val="auto"/>
            </w:rPr>
            <m:t>=</m:t>
          </m:r>
          <m:d>
            <m:dPr>
              <m:begChr m:val="{"/>
              <m:endChr m:val="}"/>
              <m:ctrlPr>
                <w:rPr>
                  <w:color w:val="auto"/>
                </w:rPr>
              </m:ctrlPr>
            </m:dPr>
            <m:e>
              <m:r>
                <m:rPr/>
                <w:rPr>
                  <w:color w:val="auto"/>
                </w:rPr>
                <m:t>x:∥x−</m:t>
              </m:r>
              <m:sSub>
                <m:sSubPr>
                  <m:ctrlPr>
                    <w:rPr>
                      <w:color w:val="auto"/>
                    </w:rPr>
                  </m:ctrlPr>
                </m:sSubPr>
                <m:e>
                  <m:r>
                    <m:rPr/>
                    <w:rPr>
                      <w:color w:val="auto"/>
                    </w:rPr>
                    <m:t>x</m:t>
                  </m:r>
                  <m:ctrlPr>
                    <w:rPr>
                      <w:color w:val="auto"/>
                    </w:rPr>
                  </m:ctrlPr>
                </m:e>
                <m:sub>
                  <m:r>
                    <m:rPr/>
                    <w:rPr>
                      <w:color w:val="auto"/>
                    </w:rPr>
                    <m:t>i</m:t>
                  </m:r>
                  <m:ctrlPr>
                    <w:rPr>
                      <w:color w:val="auto"/>
                    </w:rPr>
                  </m:ctrlPr>
                </m:sub>
              </m:sSub>
              <m:r>
                <m:rPr/>
                <w:rPr>
                  <w:color w:val="auto"/>
                </w:rPr>
                <m:t>∥≤∥x−</m:t>
              </m:r>
              <m:sSub>
                <m:sSubPr>
                  <m:ctrlPr>
                    <w:rPr>
                      <w:color w:val="auto"/>
                    </w:rPr>
                  </m:ctrlPr>
                </m:sSubPr>
                <m:e>
                  <m:r>
                    <m:rPr/>
                    <w:rPr>
                      <w:color w:val="auto"/>
                    </w:rPr>
                    <m:t>x</m:t>
                  </m:r>
                  <m:ctrlPr>
                    <w:rPr>
                      <w:color w:val="auto"/>
                    </w:rPr>
                  </m:ctrlPr>
                </m:e>
                <m:sub>
                  <m:r>
                    <m:rPr/>
                    <w:rPr>
                      <w:color w:val="auto"/>
                    </w:rPr>
                    <m:t>j</m:t>
                  </m:r>
                  <m:ctrlPr>
                    <w:rPr>
                      <w:color w:val="auto"/>
                    </w:rPr>
                  </m:ctrlPr>
                </m:sub>
              </m:sSub>
              <m:r>
                <m:rPr/>
                <w:rPr>
                  <w:color w:val="auto"/>
                </w:rPr>
                <m:t>∥, ∀j≠i</m:t>
              </m:r>
              <m:ctrlPr>
                <w:rPr>
                  <w:color w:val="auto"/>
                </w:rPr>
              </m:ctrlPr>
            </m:e>
          </m:d>
          <m:r>
            <m:rPr/>
            <w:rPr>
              <w:color w:val="auto"/>
            </w:rPr>
            <m:t>  (8)</m:t>
          </m:r>
        </m:oMath>
      </m:oMathPara>
    </w:p>
    <w:p w14:paraId="1715530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Fracture traces are incorporated as hard piecewise-linear constraints within the triangulation, ensuring that every fracture segment coincides with a set of Delaunay edges; their Voronoi dual faces then lie exactly along the fracture traces. To manage the size transition from sub-meter-scale resolution near fractures to coarser far-field block sizes, the target element spacing is specified through a hyperbolic-tangent function:</w:t>
      </w:r>
    </w:p>
    <w:p w14:paraId="76ACD637">
      <w:pPr>
        <w:pStyle w:val="3"/>
        <w:spacing w:before="0" w:after="120"/>
        <w:ind w:firstLine="480" w:firstLineChars="200"/>
        <w:jc w:val="both"/>
        <w:rPr>
          <w:color w:val="auto"/>
        </w:rPr>
      </w:pPr>
      <m:oMathPara>
        <m:oMathParaPr>
          <m:jc m:val="center"/>
        </m:oMathParaPr>
        <m:oMath>
          <m:r>
            <m:rPr/>
            <w:rPr>
              <w:color w:val="auto"/>
            </w:rPr>
            <m:t>h(x)=</m:t>
          </m:r>
          <m:sSub>
            <m:sSubPr>
              <m:ctrlPr>
                <w:rPr>
                  <w:color w:val="auto"/>
                </w:rPr>
              </m:ctrlPr>
            </m:sSubPr>
            <m:e>
              <m:r>
                <m:rPr/>
                <w:rPr>
                  <w:color w:val="auto"/>
                </w:rPr>
                <m:t>h</m:t>
              </m:r>
              <m:ctrlPr>
                <w:rPr>
                  <w:color w:val="auto"/>
                </w:rPr>
              </m:ctrlPr>
            </m:e>
            <m:sub>
              <m:r>
                <m:rPr/>
                <w:rPr>
                  <w:color w:val="auto"/>
                </w:rPr>
                <m:t>f</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n</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f</m:t>
              </m:r>
              <m:ctrlPr>
                <w:rPr>
                  <w:color w:val="auto"/>
                </w:rPr>
              </m:ctrlPr>
            </m:sub>
          </m:sSub>
          <m:r>
            <m:rPr/>
            <w:rPr>
              <w:color w:val="auto"/>
            </w:rPr>
            <m:t>)⋅</m:t>
          </m:r>
          <m:r>
            <m:rPr>
              <m:nor/>
              <m:sty m:val="p"/>
            </m:rPr>
            <w:rPr>
              <w:b w:val="0"/>
              <w:i w:val="0"/>
              <w:color w:val="auto"/>
            </w:rPr>
            <m:t>tanh</m:t>
          </m:r>
          <m:d>
            <m:dPr>
              <m:ctrlPr>
                <w:rPr>
                  <w:color w:val="auto"/>
                </w:rPr>
              </m:ctrlPr>
            </m:dPr>
            <m:e>
              <m:r>
                <m:rPr/>
                <w:rPr>
                  <w:color w:val="auto"/>
                </w:rPr>
                <m:t>α⋅</m:t>
              </m:r>
              <m:sSub>
                <m:sSubPr>
                  <m:ctrlPr>
                    <w:rPr>
                      <w:color w:val="auto"/>
                    </w:rPr>
                  </m:ctrlPr>
                </m:sSubPr>
                <m:e>
                  <m:r>
                    <m:rPr/>
                    <w:rPr>
                      <w:color w:val="auto"/>
                    </w:rPr>
                    <m:t>h</m:t>
                  </m:r>
                  <m:ctrlPr>
                    <w:rPr>
                      <w:color w:val="auto"/>
                    </w:rPr>
                  </m:ctrlPr>
                </m:e>
                <m:sub>
                  <m:r>
                    <m:rPr>
                      <m:nor/>
                      <m:sty m:val="p"/>
                    </m:rPr>
                    <w:rPr>
                      <w:b w:val="0"/>
                      <w:i w:val="0"/>
                      <w:color w:val="auto"/>
                    </w:rPr>
                    <m:t>min</m:t>
                  </m:r>
                  <m:ctrlPr>
                    <w:rPr>
                      <w:color w:val="auto"/>
                    </w:rPr>
                  </m:ctrlPr>
                </m:sub>
              </m:sSub>
              <m:r>
                <m:rPr/>
                <w:rPr>
                  <w:color w:val="auto"/>
                </w:rPr>
                <m:t>(x)</m:t>
              </m:r>
              <m:ctrlPr>
                <w:rPr>
                  <w:color w:val="auto"/>
                </w:rPr>
              </m:ctrlPr>
            </m:e>
          </m:d>
          <m:r>
            <m:rPr/>
            <w:rPr>
              <w:color w:val="auto"/>
            </w:rPr>
            <m:t>  (9)</m:t>
          </m:r>
        </m:oMath>
      </m:oMathPara>
    </w:p>
    <w:p w14:paraId="49D8EA1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In Eq. (9), d_min(x) denotes the minimum Euclidean distance to the fracture network, while h_n and h_f are the near-fracture (1.0 m) and far-field (50.0 m) target spacings. The transition steepness alpha = 0.5 m^{-1} is rationalized through the dimensionless parameter Pi_alpha = alpha L_c, where L_c is the fracture half-length (150 m, giving Pi_alpha = 75). This choice balances fracture-proximal resolution against far-field cell-count economy; sensitivity analysis (Section 3.7) confirms that Pi_alpha = 20-150 produces K-orthogonality fractions within 2 percentage points of the optimum.</w:t>
      </w:r>
    </w:p>
    <w:p w14:paraId="590B5237">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Π</m:t>
              </m:r>
              <m:ctrlPr>
                <w:rPr>
                  <w:color w:val="auto"/>
                </w:rPr>
              </m:ctrlPr>
            </m:e>
            <m:sub>
              <m:r>
                <m:rPr/>
                <w:rPr>
                  <w:color w:val="auto"/>
                </w:rPr>
                <m:t>α</m:t>
              </m:r>
              <m:ctrlPr>
                <w:rPr>
                  <w:color w:val="auto"/>
                </w:rPr>
              </m:ctrlPr>
            </m:sub>
          </m:sSub>
          <m:r>
            <m:rPr/>
            <w:rPr>
              <w:color w:val="auto"/>
            </w:rPr>
            <m:t>=α⋅</m:t>
          </m:r>
          <m:sSub>
            <m:sSubPr>
              <m:ctrlPr>
                <w:rPr>
                  <w:color w:val="auto"/>
                </w:rPr>
              </m:ctrlPr>
            </m:sSubPr>
            <m:e>
              <m:r>
                <m:rPr/>
                <w:rPr>
                  <w:color w:val="auto"/>
                </w:rPr>
                <m:t>L</m:t>
              </m:r>
              <m:ctrlPr>
                <w:rPr>
                  <w:color w:val="auto"/>
                </w:rPr>
              </m:ctrlPr>
            </m:e>
            <m:sub>
              <m:r>
                <m:rPr/>
                <w:rPr>
                  <w:color w:val="auto"/>
                </w:rPr>
                <m:t>c</m:t>
              </m:r>
              <m:ctrlPr>
                <w:rPr>
                  <w:color w:val="auto"/>
                </w:rPr>
              </m:ctrlPr>
            </m:sub>
          </m:sSub>
          <m:r>
            <m:rPr/>
            <w:rPr>
              <w:color w:val="auto"/>
            </w:rPr>
            <m:t>  (10)</m:t>
          </m:r>
        </m:oMath>
      </m:oMathPara>
    </w:p>
    <w:p w14:paraId="5BBE8DB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For the base configuration, L_c is taken as the fracture half-length (150 m), yielding Pi_alpha = 75. Sensitivity analysis (Section 3.7) confirms K-orthogonality remains within 2 percentage points of optimal for Pi_alpha = 20-150. Below this range, the excessively gradual transition inflates cell count by more than 40%.</w:t>
      </w:r>
    </w:p>
    <w:p w14:paraId="5DBF8B8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For the base configuration reported in this study, the parameter values are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n</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=1.0</m:t>
        </m:r>
      </m:oMath>
      <w:r>
        <w:rPr>
          <w:rFonts w:ascii="Times New Roman" w:hAnsi="Times New Roman" w:cs="Times New Roman"/>
          <w:color w:val="auto"/>
          <w:sz w:val="24"/>
          <w:szCs w:val="24"/>
        </w:rPr>
        <w:t xml:space="preserve"> m,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h</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=50.0</m:t>
        </m:r>
      </m:oMath>
      <w:r>
        <w:rPr>
          <w:rFonts w:ascii="Times New Roman" w:hAnsi="Times New Roman" w:cs="Times New Roman"/>
          <w:color w:val="auto"/>
          <w:sz w:val="24"/>
          <w:szCs w:val="24"/>
        </w:rPr>
        <w:t xml:space="preserve"> m, and </w:t>
      </w:r>
      <m:oMath>
        <m:r>
          <m:rPr/>
          <w:rPr>
            <w:rFonts w:ascii="Times New Roman" w:hAnsi="Times New Roman" w:cs="Times New Roman"/>
            <w:color w:val="auto"/>
            <w:sz w:val="24"/>
            <w:szCs w:val="24"/>
          </w:rPr>
          <m:t>α=0.5</m:t>
        </m:r>
      </m:oMath>
      <w:r>
        <w:rPr>
          <w:rFonts w:ascii="Times New Roman" w:hAnsi="Times New Roman" w:cs="Times New Roman"/>
          <w:color w:val="auto"/>
          <w:sz w:val="24"/>
          <w:szCs w:val="24"/>
        </w:rPr>
        <w:t xml:space="preserve"> </w:t>
      </w:r>
      <m:oMath>
        <m:sSup>
          <m:sSupPr/>
          <m:e>
            <m:r>
              <m:rPr/>
              <w:rPr>
                <w:rFonts w:ascii="Times New Roman" w:hAnsi="Times New Roman" w:cs="Times New Roman"/>
                <w:sz w:val="24"/>
                <w:szCs w:val="24"/>
              </w:rPr>
              <m:t>m</m:t>
            </m:r>
          </m:e>
          <m:sup>
            <m:r>
              <m:rPr/>
              <w:rPr>
                <w:rFonts w:ascii="Times New Roman" w:hAnsi="Times New Roman" w:cs="Times New Roman"/>
                <w:sz w:val="24"/>
                <w:szCs w:val="24"/>
              </w:rPr>
              <m:t>−1</m:t>
            </m:r>
          </m:sup>
        </m:sSup>
      </m:oMath>
      <w:r>
        <w:rPr>
          <w:rFonts w:ascii="Times New Roman" w:hAnsi="Times New Roman" w:cs="Times New Roman"/>
          <w:color w:val="auto"/>
          <w:sz w:val="24"/>
          <w:szCs w:val="24"/>
        </w:rPr>
        <w:t>. This formulation maintains the adjacent cell-size ratio below 3 throughout the domain, thereby avoiding the aspect-ratio-induced stiffness that characterizes conventional refinement strategies. A sensitivity analysis of mesh quality to these parameters is provided in Section 3.7.</w:t>
      </w:r>
    </w:p>
    <w:p w14:paraId="6D4508A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deviation from perfect orthogonality is quantified by the angle </w:t>
      </w:r>
      <m:oMath>
        <m:r>
          <m:rPr/>
          <w:rPr>
            <w:rFonts w:ascii="Times New Roman" w:hAnsi="Times New Roman" w:cs="Times New Roman"/>
            <w:color w:val="auto"/>
            <w:sz w:val="24"/>
            <w:szCs w:val="24"/>
          </w:rPr>
          <m:t>θ</m:t>
        </m:r>
      </m:oMath>
      <w:r>
        <w:rPr>
          <w:rFonts w:ascii="Times New Roman" w:hAnsi="Times New Roman" w:cs="Times New Roman"/>
          <w:color w:val="auto"/>
          <w:sz w:val="24"/>
          <w:szCs w:val="24"/>
        </w:rPr>
        <w:t xml:space="preserve"> between the vector connecting adjacent cell centers and the face normal:</w:t>
      </w:r>
    </w:p>
    <w:p w14:paraId="202EB423">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θ</m:t>
              </m:r>
              <m:ctrlPr>
                <w:rPr>
                  <w:color w:val="auto"/>
                </w:rPr>
              </m:ctrlPr>
            </m:e>
            <m:sub>
              <m:r>
                <m:rPr/>
                <w:rPr>
                  <w:color w:val="auto"/>
                </w:rPr>
                <m:t>ij</m:t>
              </m:r>
              <m:ctrlPr>
                <w:rPr>
                  <w:color w:val="auto"/>
                </w:rPr>
              </m:ctrlPr>
            </m:sub>
          </m:sSub>
          <m:r>
            <m:rPr/>
            <w:rPr>
              <w:color w:val="auto"/>
            </w:rPr>
            <m:t>=</m:t>
          </m:r>
          <m:r>
            <m:rPr>
              <m:nor/>
              <m:sty m:val="p"/>
            </m:rPr>
            <w:rPr>
              <w:b w:val="0"/>
              <w:i w:val="0"/>
              <w:color w:val="auto"/>
            </w:rPr>
            <m:t>arccos</m:t>
          </m:r>
          <m:d>
            <m:dPr>
              <m:ctrlPr>
                <w:rPr>
                  <w:color w:val="auto"/>
                </w:rPr>
              </m:ctrlPr>
            </m:dPr>
            <m:e>
              <m:f>
                <m:fPr>
                  <m:ctrlPr>
                    <w:rPr>
                      <w:color w:val="auto"/>
                    </w:rPr>
                  </m:ctrlPr>
                </m:fPr>
                <m:num>
                  <m:r>
                    <m:rPr/>
                    <w:rPr>
                      <w:color w:val="auto"/>
                    </w:rPr>
                    <m:t>|(</m:t>
                  </m:r>
                  <m:sSub>
                    <m:sSubPr>
                      <m:ctrlPr>
                        <w:rPr>
                          <w:color w:val="auto"/>
                        </w:rPr>
                      </m:ctrlPr>
                    </m:sSubPr>
                    <m:e>
                      <m:r>
                        <m:rPr>
                          <m:sty m:val="b"/>
                        </m:rPr>
                        <w:rPr>
                          <w:color w:val="auto"/>
                        </w:rPr>
                        <m:t>x</m:t>
                      </m:r>
                      <m:ctrlPr>
                        <w:rPr>
                          <w:color w:val="auto"/>
                        </w:rPr>
                      </m:ctrlPr>
                    </m:e>
                    <m:sub>
                      <m:r>
                        <m:rPr/>
                        <w:rPr>
                          <w:color w:val="auto"/>
                        </w:rPr>
                        <m:t>j</m:t>
                      </m:r>
                      <m:ctrlPr>
                        <w:rPr>
                          <w:color w:val="auto"/>
                        </w:rPr>
                      </m:ctrlPr>
                    </m:sub>
                  </m:sSub>
                  <m:r>
                    <m:rPr/>
                    <w:rPr>
                      <w:color w:val="auto"/>
                    </w:rPr>
                    <m:t>−</m:t>
                  </m:r>
                  <m:sSub>
                    <m:sSubPr>
                      <m:ctrlPr>
                        <w:rPr>
                          <w:color w:val="auto"/>
                        </w:rPr>
                      </m:ctrlPr>
                    </m:sSubPr>
                    <m:e>
                      <m:r>
                        <m:rPr>
                          <m:sty m:val="b"/>
                        </m:rPr>
                        <w:rPr>
                          <w:color w:val="auto"/>
                        </w:rPr>
                        <m:t>x</m:t>
                      </m:r>
                      <m:ctrlPr>
                        <w:rPr>
                          <w:color w:val="auto"/>
                        </w:rPr>
                      </m:ctrlPr>
                    </m:e>
                    <m:sub>
                      <m:r>
                        <m:rPr/>
                        <w:rPr>
                          <w:color w:val="auto"/>
                        </w:rPr>
                        <m:t>i</m:t>
                      </m:r>
                      <m:ctrlPr>
                        <w:rPr>
                          <w:color w:val="auto"/>
                        </w:rPr>
                      </m:ctrlPr>
                    </m:sub>
                  </m:sSub>
                  <m:r>
                    <m:rPr/>
                    <w:rPr>
                      <w:color w:val="auto"/>
                    </w:rPr>
                    <m:t>)⋅</m:t>
                  </m:r>
                  <m:sSub>
                    <m:sSubPr>
                      <m:ctrlPr>
                        <w:rPr>
                          <w:color w:val="auto"/>
                        </w:rPr>
                      </m:ctrlPr>
                    </m:sSubPr>
                    <m:e>
                      <m:r>
                        <m:rPr>
                          <m:sty m:val="b"/>
                        </m:rPr>
                        <w:rPr>
                          <w:color w:val="auto"/>
                        </w:rPr>
                        <m:t>n</m:t>
                      </m:r>
                      <m:ctrlPr>
                        <w:rPr>
                          <w:color w:val="auto"/>
                        </w:rPr>
                      </m:ctrlPr>
                    </m:e>
                    <m:sub>
                      <m:r>
                        <m:rPr/>
                        <w:rPr>
                          <w:color w:val="auto"/>
                        </w:rPr>
                        <m:t>ij</m:t>
                      </m:r>
                      <m:ctrlPr>
                        <w:rPr>
                          <w:color w:val="auto"/>
                        </w:rPr>
                      </m:ctrlPr>
                    </m:sub>
                  </m:sSub>
                  <m:r>
                    <m:rPr/>
                    <w:rPr>
                      <w:color w:val="auto"/>
                    </w:rPr>
                    <m:t>|</m:t>
                  </m:r>
                  <m:ctrlPr>
                    <w:rPr>
                      <w:color w:val="auto"/>
                    </w:rPr>
                  </m:ctrlPr>
                </m:num>
                <m:den>
                  <m:r>
                    <m:rPr/>
                    <w:rPr>
                      <w:color w:val="auto"/>
                    </w:rPr>
                    <m:t>∥</m:t>
                  </m:r>
                  <m:sSub>
                    <m:sSubPr>
                      <m:ctrlPr>
                        <w:rPr>
                          <w:color w:val="auto"/>
                        </w:rPr>
                      </m:ctrlPr>
                    </m:sSubPr>
                    <m:e>
                      <m:r>
                        <m:rPr>
                          <m:sty m:val="b"/>
                        </m:rPr>
                        <w:rPr>
                          <w:color w:val="auto"/>
                        </w:rPr>
                        <m:t>x</m:t>
                      </m:r>
                      <m:ctrlPr>
                        <w:rPr>
                          <w:color w:val="auto"/>
                        </w:rPr>
                      </m:ctrlPr>
                    </m:e>
                    <m:sub>
                      <m:r>
                        <m:rPr/>
                        <w:rPr>
                          <w:color w:val="auto"/>
                        </w:rPr>
                        <m:t>j</m:t>
                      </m:r>
                      <m:ctrlPr>
                        <w:rPr>
                          <w:color w:val="auto"/>
                        </w:rPr>
                      </m:ctrlPr>
                    </m:sub>
                  </m:sSub>
                  <m:r>
                    <m:rPr/>
                    <w:rPr>
                      <w:color w:val="auto"/>
                    </w:rPr>
                    <m:t>−</m:t>
                  </m:r>
                  <m:sSub>
                    <m:sSubPr>
                      <m:ctrlPr>
                        <w:rPr>
                          <w:color w:val="auto"/>
                        </w:rPr>
                      </m:ctrlPr>
                    </m:sSubPr>
                    <m:e>
                      <m:r>
                        <m:rPr>
                          <m:sty m:val="b"/>
                        </m:rPr>
                        <w:rPr>
                          <w:color w:val="auto"/>
                        </w:rPr>
                        <m:t>x</m:t>
                      </m:r>
                      <m:ctrlPr>
                        <w:rPr>
                          <w:color w:val="auto"/>
                        </w:rPr>
                      </m:ctrlPr>
                    </m:e>
                    <m:sub>
                      <m:r>
                        <m:rPr/>
                        <w:rPr>
                          <w:color w:val="auto"/>
                        </w:rPr>
                        <m:t>i</m:t>
                      </m:r>
                      <m:ctrlPr>
                        <w:rPr>
                          <w:color w:val="auto"/>
                        </w:rPr>
                      </m:ctrlPr>
                    </m:sub>
                  </m:sSub>
                  <m:r>
                    <m:rPr/>
                    <w:rPr>
                      <w:color w:val="auto"/>
                    </w:rPr>
                    <m:t>∥</m:t>
                  </m:r>
                  <m:ctrlPr>
                    <w:rPr>
                      <w:color w:val="auto"/>
                    </w:rPr>
                  </m:ctrlPr>
                </m:den>
              </m:f>
              <m:ctrlPr>
                <w:rPr>
                  <w:color w:val="auto"/>
                </w:rPr>
              </m:ctrlPr>
            </m:e>
          </m:d>
          <m:r>
            <m:rPr/>
            <w:rPr>
              <w:color w:val="auto"/>
            </w:rPr>
            <m:t>  (11)</m:t>
          </m:r>
        </m:oMath>
      </m:oMathPara>
    </w:p>
    <w:p w14:paraId="4F54076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Following Aavatsmark et al. (1998a, 1998b), a face is classified as K-orthogonal when theta &lt;= 5 degrees. Equation (11) is evaluated over all interior faces. The permeability-weighted face normal required in Eq. (7) is obtained by projecting the permeability tensor onto the face normal direction.</w:t>
      </w:r>
    </w:p>
    <w:p w14:paraId="02A2CC12">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mesh generation proceeds through a five-stage pipeline:</w:t>
      </w:r>
    </w:p>
    <w:p w14:paraId="3174020D">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1. Constrained point seeding: Generator points are placed along fracture traces at spacing h_n and in the matrix according to the density function Eq. (9).</w:t>
      </w:r>
    </w:p>
    <w:p w14:paraId="3A00D40B">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2. Constrained Delaunay triangulation: A CDT is constructed with fracture traces as constrained edges using the incremental flip algorithm (minimum angle bound 25 degrees; Ruppert, 1995).</w:t>
      </w:r>
    </w:p>
    <w:p w14:paraId="3096665B">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3. Ruppert refinement: Steiner points are iteratively inserted at circumcenters of triangles violating the minimum angle bound or whose circumradius exceeds the local h(x) value. Refinement terminates when all quality criteria are satisfied.</w:t>
      </w:r>
    </w:p>
    <w:p w14:paraId="258FE041">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4. Voronoi dual extraction: The PEBI grid is obtained as the geometric dual of the refined CDT.</w:t>
      </w:r>
    </w:p>
    <w:p w14:paraId="3B4BDA33">
      <w:pPr>
        <w:pStyle w:val="3"/>
        <w:numPr>
          <w:ilvl w:val="0"/>
          <w:numId w:val="1"/>
        </w:numPr>
        <w:spacing w:before="0" w:after="0" w:line="360" w:lineRule="auto"/>
        <w:ind w:firstLine="480"/>
        <w:jc w:val="both"/>
        <w:rPr>
          <w:rFonts w:ascii="Times New Roman" w:hAnsi="Times New Roman" w:cs="Times New Roman"/>
          <w:color w:val="auto"/>
          <w:sz w:val="24"/>
          <w:szCs w:val="24"/>
        </w:rPr>
      </w:pPr>
      <w:r>
        <w:rPr>
          <w:rFonts w:ascii="Times New Roman" w:hAnsi="Times New Roman" w:cs="Times New Roman"/>
          <w:color w:val="auto"/>
          <w:sz w:val="24"/>
          <w:szCs w:val="24"/>
        </w:rPr>
        <w:t>5. Lloyd smoothing: Generator positions are iteratively relocated to cell centroids for 50 iterations or until the maximum generator displacement falls below 0.01% of the local element spacing.</w:t>
      </w:r>
    </w:p>
    <w:p w14:paraId="3BE845C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Notably, Lloyd smoothing improves the K-orthogonality fraction monotonically from 96.4% (post-CDT) to 97.1% after 50 iterations (Table 3, Supplementary Material), reflecting the elimination of slivers and high-aspect-ratio cells. The Voronoi dual of a well-centered centroidal Voronoi tessellation generically exhibits lower face angular dispersion, confirming that Lloyd smoothing and orthogonality preservation are complementary, not competing, operations.</w:t>
      </w:r>
    </w:p>
    <w:p w14:paraId="6A5B3140">
      <w:pPr>
        <w:pStyle w:val="12"/>
        <w:spacing w:before="0" w:after="0" w:line="300" w:lineRule="auto"/>
        <w:ind w:firstLine="400" w:firstLineChars="200"/>
        <w:rPr>
          <w:rFonts w:ascii="Times New Roman" w:hAnsi="Times New Roman" w:cs="Times New Roman"/>
          <w:color w:val="auto"/>
          <w:sz w:val="24"/>
          <w:szCs w:val="24"/>
        </w:rPr>
      </w:pPr>
      <w:r>
        <w:rPr>
          <w:rFonts w:ascii="Times New Roman" w:hAnsi="Times New Roman" w:cs="Times New Roman"/>
          <w:color w:val="auto"/>
          <w:sz w:val="20"/>
          <w:szCs w:val="24"/>
        </w:rPr>
        <w:t>Table 3: Evolution of K-orthogonality statistics during Lloyd smoothing (base case).</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18"/>
        <w:gridCol w:w="1655"/>
        <w:gridCol w:w="1429"/>
        <w:gridCol w:w="1085"/>
        <w:gridCol w:w="2564"/>
      </w:tblGrid>
      <w:tr w14:paraId="7B916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011458F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Lloyd Iteration</w:t>
            </w:r>
          </w:p>
        </w:tc>
        <w:tc>
          <w:tcPr>
            <w:tcW w:w="0" w:type="auto"/>
            <w:tcBorders>
              <w:bottom w:val="single" w:color="auto" w:sz="0" w:space="0"/>
            </w:tcBorders>
            <w:vAlign w:val="center"/>
          </w:tcPr>
          <w:p w14:paraId="421F4EA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Faces </w:t>
            </w:r>
            <m:oMath>
              <m:r>
                <m:rPr>
                  <m:sty m:val="bi"/>
                </m:rPr>
                <w:rPr>
                  <w:rFonts w:hint="default" w:ascii="Times New Roman" w:hAnsi="Times New Roman"/>
                  <w:color w:val="auto"/>
                </w:rPr>
                <m:t>θ≤</m:t>
              </m:r>
              <m:sSup>
                <m:sSupPr>
                  <m:ctrlPr>
                    <w:rPr>
                      <w:rFonts w:ascii="Times New Roman" w:hAnsi="Times New Roman"/>
                      <w:b/>
                      <w:color w:val="auto"/>
                    </w:rPr>
                  </m:ctrlPr>
                </m:sSupPr>
                <m:e>
                  <m:r>
                    <m:rPr>
                      <m:sty m:val="bi"/>
                    </m:rPr>
                    <w:rPr>
                      <w:rFonts w:hint="default" w:ascii="Times New Roman" w:hAnsi="Times New Roman"/>
                      <w:color w:val="auto"/>
                    </w:rPr>
                    <m:t>5</m:t>
                  </m:r>
                  <m:ctrlPr>
                    <w:rPr>
                      <w:rFonts w:ascii="Times New Roman" w:hAnsi="Times New Roman"/>
                      <w:b/>
                      <w:color w:val="auto"/>
                    </w:rPr>
                  </m:ctrlPr>
                </m:e>
                <m:sup>
                  <m:r>
                    <m:rPr>
                      <m:sty m:val="bi"/>
                    </m:rPr>
                    <w:rPr>
                      <w:rFonts w:ascii="Times New Roman" w:hAnsi="Times New Roman"/>
                      <w:color w:val="auto"/>
                    </w:rPr>
                    <m:t>∘</m:t>
                  </m:r>
                  <m:ctrlPr>
                    <w:rPr>
                      <w:rFonts w:ascii="Times New Roman" w:hAnsi="Times New Roman"/>
                      <w:b/>
                      <w:color w:val="auto"/>
                    </w:rPr>
                  </m:ctrlPr>
                </m:sup>
              </m:sSup>
            </m:oMath>
          </w:p>
        </w:tc>
        <w:tc>
          <w:tcPr>
            <w:tcW w:w="0" w:type="auto"/>
            <w:tcBorders>
              <w:bottom w:val="single" w:color="auto" w:sz="0" w:space="0"/>
            </w:tcBorders>
            <w:vAlign w:val="center"/>
          </w:tcPr>
          <w:p w14:paraId="67D854A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Median </w:t>
            </w:r>
            <m:oMath>
              <m:r>
                <m:rPr>
                  <m:sty m:val="bi"/>
                </m:rPr>
                <w:rPr>
                  <w:rFonts w:hint="default" w:ascii="Times New Roman" w:hAnsi="Times New Roman"/>
                  <w:color w:val="auto"/>
                </w:rPr>
                <m:t>θ</m:t>
              </m:r>
            </m:oMath>
          </w:p>
        </w:tc>
        <w:tc>
          <w:tcPr>
            <w:tcW w:w="0" w:type="auto"/>
            <w:tcBorders>
              <w:bottom w:val="single" w:color="auto" w:sz="0" w:space="0"/>
            </w:tcBorders>
            <w:vAlign w:val="center"/>
          </w:tcPr>
          <w:p w14:paraId="654FDBE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Max </w:t>
            </w:r>
            <m:oMath>
              <m:r>
                <m:rPr>
                  <m:sty m:val="bi"/>
                </m:rPr>
                <w:rPr>
                  <w:rFonts w:hint="default" w:ascii="Times New Roman" w:hAnsi="Times New Roman"/>
                  <w:color w:val="auto"/>
                </w:rPr>
                <m:t>θ</m:t>
              </m:r>
            </m:oMath>
          </w:p>
        </w:tc>
        <w:tc>
          <w:tcPr>
            <w:tcW w:w="2596" w:type="dxa"/>
            <w:tcBorders>
              <w:bottom w:val="single" w:color="auto" w:sz="0" w:space="0"/>
            </w:tcBorders>
            <w:vAlign w:val="center"/>
          </w:tcPr>
          <w:p w14:paraId="59BA192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 Aspect Ratio</w:t>
            </w:r>
          </w:p>
        </w:tc>
      </w:tr>
      <w:tr w14:paraId="33D503A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AF1F3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 (post-CDT)</w:t>
            </w:r>
          </w:p>
        </w:tc>
        <w:tc>
          <w:tcPr>
            <w:tcW w:w="0" w:type="auto"/>
            <w:vAlign w:val="center"/>
          </w:tcPr>
          <w:p w14:paraId="2772D31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96.4%</w:t>
            </w:r>
          </w:p>
        </w:tc>
        <w:tc>
          <w:tcPr>
            <w:tcW w:w="0" w:type="auto"/>
            <w:vAlign w:val="center"/>
          </w:tcPr>
          <w:p w14:paraId="3C012EC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w:t>
            </w:r>
          </w:p>
        </w:tc>
        <w:tc>
          <w:tcPr>
            <w:tcW w:w="0" w:type="auto"/>
            <w:vAlign w:val="center"/>
          </w:tcPr>
          <w:p w14:paraId="2EC53BA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4.8°</w:t>
            </w:r>
          </w:p>
        </w:tc>
        <w:tc>
          <w:tcPr>
            <w:tcW w:w="2596" w:type="dxa"/>
            <w:vAlign w:val="center"/>
          </w:tcPr>
          <w:p w14:paraId="2ABEB1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5.2</w:t>
            </w:r>
          </w:p>
        </w:tc>
      </w:tr>
      <w:tr w14:paraId="3B56339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01744B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0" w:type="auto"/>
            <w:vAlign w:val="center"/>
          </w:tcPr>
          <w:p w14:paraId="4D768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96.7%</w:t>
            </w:r>
          </w:p>
        </w:tc>
        <w:tc>
          <w:tcPr>
            <w:tcW w:w="0" w:type="auto"/>
            <w:vAlign w:val="center"/>
          </w:tcPr>
          <w:p w14:paraId="106CAB8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w:t>
            </w:r>
          </w:p>
        </w:tc>
        <w:tc>
          <w:tcPr>
            <w:tcW w:w="0" w:type="auto"/>
            <w:vAlign w:val="center"/>
          </w:tcPr>
          <w:p w14:paraId="0CC6332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c>
          <w:tcPr>
            <w:tcW w:w="2596" w:type="dxa"/>
            <w:vAlign w:val="center"/>
          </w:tcPr>
          <w:p w14:paraId="17953E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4.6</w:t>
            </w:r>
          </w:p>
        </w:tc>
      </w:tr>
      <w:tr w14:paraId="2B5E208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65E83C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7BA1AA5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96.9%</w:t>
            </w:r>
          </w:p>
        </w:tc>
        <w:tc>
          <w:tcPr>
            <w:tcW w:w="0" w:type="auto"/>
            <w:vAlign w:val="center"/>
          </w:tcPr>
          <w:p w14:paraId="77293D0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w:t>
            </w:r>
          </w:p>
        </w:tc>
        <w:tc>
          <w:tcPr>
            <w:tcW w:w="0" w:type="auto"/>
            <w:vAlign w:val="center"/>
          </w:tcPr>
          <w:p w14:paraId="1B0113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4.0°</w:t>
            </w:r>
          </w:p>
        </w:tc>
        <w:tc>
          <w:tcPr>
            <w:tcW w:w="2596" w:type="dxa"/>
            <w:vAlign w:val="center"/>
          </w:tcPr>
          <w:p w14:paraId="25D11E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r>
      <w:tr w14:paraId="4DF95F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23D3E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0" w:type="auto"/>
            <w:vAlign w:val="center"/>
          </w:tcPr>
          <w:p w14:paraId="0D2ED6B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97.0%</w:t>
            </w:r>
          </w:p>
        </w:tc>
        <w:tc>
          <w:tcPr>
            <w:tcW w:w="0" w:type="auto"/>
            <w:vAlign w:val="center"/>
          </w:tcPr>
          <w:p w14:paraId="16D572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w:t>
            </w:r>
          </w:p>
        </w:tc>
        <w:tc>
          <w:tcPr>
            <w:tcW w:w="0" w:type="auto"/>
            <w:vAlign w:val="center"/>
          </w:tcPr>
          <w:p w14:paraId="63032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3.7°</w:t>
            </w:r>
          </w:p>
        </w:tc>
        <w:tc>
          <w:tcPr>
            <w:tcW w:w="2596" w:type="dxa"/>
            <w:vAlign w:val="center"/>
          </w:tcPr>
          <w:p w14:paraId="178F4D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3.9</w:t>
            </w:r>
          </w:p>
        </w:tc>
      </w:tr>
      <w:tr w14:paraId="185A38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3E4D1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w:t>
            </w:r>
          </w:p>
        </w:tc>
        <w:tc>
          <w:tcPr>
            <w:tcW w:w="0" w:type="auto"/>
            <w:vAlign w:val="center"/>
          </w:tcPr>
          <w:p w14:paraId="64A15A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42A4FD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w:t>
            </w:r>
          </w:p>
        </w:tc>
        <w:tc>
          <w:tcPr>
            <w:tcW w:w="0" w:type="auto"/>
            <w:vAlign w:val="center"/>
          </w:tcPr>
          <w:p w14:paraId="6236808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2596" w:type="dxa"/>
            <w:vAlign w:val="center"/>
          </w:tcPr>
          <w:p w14:paraId="514EC8F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6ACA08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39" w:type="dxa"/>
            <w:vAlign w:val="center"/>
          </w:tcPr>
          <w:p w14:paraId="04B31E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w:t>
            </w:r>
          </w:p>
        </w:tc>
        <w:tc>
          <w:tcPr>
            <w:tcW w:w="1665" w:type="dxa"/>
            <w:vAlign w:val="center"/>
          </w:tcPr>
          <w:p w14:paraId="43E1C01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1431" w:type="dxa"/>
            <w:vAlign w:val="center"/>
          </w:tcPr>
          <w:p w14:paraId="0BB6E8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w:t>
            </w:r>
          </w:p>
        </w:tc>
        <w:tc>
          <w:tcPr>
            <w:tcW w:w="1020" w:type="dxa"/>
            <w:vAlign w:val="center"/>
          </w:tcPr>
          <w:p w14:paraId="1A77EA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3.4°</w:t>
            </w:r>
          </w:p>
        </w:tc>
        <w:tc>
          <w:tcPr>
            <w:tcW w:w="2596" w:type="dxa"/>
            <w:vAlign w:val="center"/>
          </w:tcPr>
          <w:p w14:paraId="66BCB9F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bl>
    <w:p w14:paraId="2B85DFB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Although restricted to the 2.5D extrusion formulation, the sensitivity to fracture inclination can be estimated: for fractures deviating from vertical by angle phi, the K-orthogonality fraction degrades approximately as cos^2(phi). For phi = 15 degrees, the projected K-orthogonality is estimated at 95.8%; for phi = 30 degrees, approximately 91.5%. A rigorous treatment of arbitrarily oriented non-planar fractures requires fully 3D constrained Voronoi meshing (Section 4.3).</w:t>
      </w:r>
    </w:p>
    <w:p w14:paraId="45B4B8E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complete generation workflow is illustrated in Figs. 2 and 3. Figure 4 reports the resulting orthogonality statistics: K-orthogonality (theta &lt;= 5 deg) is maintained on 97.1% of interior faces (median theta = 1.2 deg, maximum 3.4 deg). Non-orthogonal faces concentrate near fracture tips; fewer than 0.5% of faces exceed theta = 3 deg at distances greater than 10 m from any fracture.</w:t>
      </w:r>
    </w:p>
    <w:p w14:paraId="6237CC11">
      <w:pPr>
        <w:pStyle w:val="34"/>
        <w:rPr>
          <w:color w:val="auto"/>
        </w:rPr>
      </w:pPr>
      <w:r>
        <w:rPr>
          <w:color w:val="auto"/>
        </w:rPr>
        <w:drawing>
          <wp:inline distT="0" distB="0" distL="114300" distR="114300">
            <wp:extent cx="5334000" cy="1450340"/>
            <wp:effectExtent l="0" t="0" r="0" b="0"/>
            <wp:docPr id="2" name="Picture" descr="Fig. 2. End-to-end workflow. (1) Input fracture network. (2) Constrained point seeding using Eq. (9). (3) Constrained Delaunay triangulation construction. (4) Voronoi dual extraction. (5) Lloyd-based quality optimization. (6) Fully implicit assembly with CPR–SA-AMG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Fig. 2. End-to-end workflow. (1) Input fracture network. (2) Constrained point seeding using Eq. (9). (3) Constrained Delaunay triangulation construction. (4) Voronoi dual extraction. (5) Lloyd-based quality optimization. (6) Fully implicit assembly with CPR–SA-AMG solution."/>
                    <pic:cNvPicPr>
                      <a:picLocks noChangeAspect="1" noChangeArrowheads="1"/>
                    </pic:cNvPicPr>
                  </pic:nvPicPr>
                  <pic:blipFill>
                    <a:blip r:embed="rId6"/>
                    <a:stretch>
                      <a:fillRect/>
                    </a:stretch>
                  </pic:blipFill>
                  <pic:spPr>
                    <a:xfrm>
                      <a:off x="0" y="0"/>
                      <a:ext cx="5334000" cy="1450947"/>
                    </a:xfrm>
                    <a:prstGeom prst="rect">
                      <a:avLst/>
                    </a:prstGeom>
                    <a:noFill/>
                    <a:ln w="9525">
                      <a:noFill/>
                    </a:ln>
                  </pic:spPr>
                </pic:pic>
              </a:graphicData>
            </a:graphic>
          </wp:inline>
        </w:drawing>
      </w:r>
    </w:p>
    <w:p w14:paraId="5B8BAC7A">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2. End-to-end workflow. (1) Input fracture network. (2) Constrained point seeding using Eq. (9). (3) Constrained Delaunay triangulation construction. (4) Voronoi dual extraction. (5) Lloyd-based quality optimization. (6) Fully implicit assembly with CPR–SA-AMG solution.</w:t>
      </w:r>
    </w:p>
    <w:p w14:paraId="50200624">
      <w:pPr>
        <w:pStyle w:val="34"/>
        <w:rPr>
          <w:color w:val="auto"/>
        </w:rPr>
      </w:pPr>
      <w:r>
        <w:rPr>
          <w:color w:val="auto"/>
        </w:rPr>
        <w:drawing>
          <wp:inline distT="0" distB="0" distL="114300" distR="114300">
            <wp:extent cx="5334000" cy="1729105"/>
            <wp:effectExtent l="0" t="0" r="0" b="0"/>
            <wp:doc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Fig. 3. Local mesh detail at a hydraulic–natural fracture intersection. (a) Distribution of generator points showing smooth density transition governed by the h-adaptation law (h_n = 1.0 m, h_f = 50.0 m, \alpha = 0.5 m⁻¹). (b) Voronoi dualization demonstrating exact face–fracture coincidence. (c) Cell aspect ratios remain bounded below 4 within the intersection zone."/>
                    <pic:cNvPicPr>
                      <a:picLocks noChangeAspect="1" noChangeArrowheads="1"/>
                    </pic:cNvPicPr>
                  </pic:nvPicPr>
                  <pic:blipFill>
                    <a:blip r:embed="rId7"/>
                    <a:stretch>
                      <a:fillRect/>
                    </a:stretch>
                  </pic:blipFill>
                  <pic:spPr>
                    <a:xfrm>
                      <a:off x="0" y="0"/>
                      <a:ext cx="5334000" cy="1729496"/>
                    </a:xfrm>
                    <a:prstGeom prst="rect">
                      <a:avLst/>
                    </a:prstGeom>
                    <a:noFill/>
                    <a:ln w="9525">
                      <a:noFill/>
                    </a:ln>
                  </pic:spPr>
                </pic:pic>
              </a:graphicData>
            </a:graphic>
          </wp:inline>
        </w:drawing>
      </w:r>
    </w:p>
    <w:p w14:paraId="72773097">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3. Local mesh detail at a hydraulic–natural fracture intersection. (a) Distribution of generator points showing smooth density transition governed by the </w:t>
      </w:r>
      <m:oMath>
        <m:r>
          <m:rPr/>
          <w:rPr>
            <w:rFonts w:ascii="Times New Roman" w:hAnsi="Times New Roman" w:cs="Times New Roman"/>
            <w:color w:val="auto"/>
            <w:sz w:val="20"/>
            <w:szCs w:val="20"/>
          </w:rPr>
          <m:t>h</m:t>
        </m:r>
      </m:oMath>
      <w:r>
        <w:rPr>
          <w:rFonts w:ascii="Times New Roman" w:hAnsi="Times New Roman" w:cs="Times New Roman"/>
          <w:color w:val="auto"/>
          <w:sz w:val="20"/>
          <w:szCs w:val="20"/>
        </w:rPr>
        <w:t>-adaptation law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h</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n</m:t>
            </m:r>
            <m:ctrlPr>
              <w:rPr>
                <w:rFonts w:ascii="Times New Roman" w:hAnsi="Times New Roman" w:cs="Times New Roman"/>
                <w:color w:val="auto"/>
                <w:sz w:val="20"/>
                <w:szCs w:val="20"/>
              </w:rPr>
            </m:ctrlPr>
          </m:sub>
        </m:sSub>
        <m:r>
          <m:rPr/>
          <w:rPr>
            <w:rFonts w:ascii="Times New Roman" w:hAnsi="Times New Roman" w:cs="Times New Roman"/>
            <w:color w:val="auto"/>
            <w:sz w:val="20"/>
            <w:szCs w:val="20"/>
          </w:rPr>
          <m:t>=1.0</m:t>
        </m:r>
      </m:oMath>
      <w:r>
        <w:rPr>
          <w:rFonts w:ascii="Times New Roman" w:hAnsi="Times New Roman" w:cs="Times New Roman"/>
          <w:color w:val="auto"/>
          <w:sz w:val="20"/>
          <w:szCs w:val="20"/>
        </w:rPr>
        <w:t xml:space="preserve"> m,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h</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f</m:t>
            </m:r>
            <m:ctrlPr>
              <w:rPr>
                <w:rFonts w:ascii="Times New Roman" w:hAnsi="Times New Roman" w:cs="Times New Roman"/>
                <w:color w:val="auto"/>
                <w:sz w:val="20"/>
                <w:szCs w:val="20"/>
              </w:rPr>
            </m:ctrlPr>
          </m:sub>
        </m:sSub>
        <m:r>
          <m:rPr/>
          <w:rPr>
            <w:rFonts w:ascii="Times New Roman" w:hAnsi="Times New Roman" w:cs="Times New Roman"/>
            <w:color w:val="auto"/>
            <w:sz w:val="20"/>
            <w:szCs w:val="20"/>
          </w:rPr>
          <m:t>=50.0</m:t>
        </m:r>
      </m:oMath>
      <w:r>
        <w:rPr>
          <w:rFonts w:ascii="Times New Roman" w:hAnsi="Times New Roman" w:cs="Times New Roman"/>
          <w:color w:val="auto"/>
          <w:sz w:val="20"/>
          <w:szCs w:val="20"/>
        </w:rPr>
        <w:t xml:space="preserve"> m, </w:t>
      </w:r>
      <m:oMath>
        <m:r>
          <m:rPr/>
          <w:rPr>
            <w:rFonts w:ascii="Times New Roman" w:hAnsi="Times New Roman" w:cs="Times New Roman"/>
            <w:color w:val="auto"/>
            <w:sz w:val="20"/>
            <w:szCs w:val="20"/>
          </w:rPr>
          <m:t>α=0.5</m:t>
        </m:r>
      </m:oMath>
      <w:r>
        <w:rPr>
          <w:rFonts w:ascii="Times New Roman" w:hAnsi="Times New Roman" w:cs="Times New Roman"/>
          <w:color w:val="auto"/>
          <w:sz w:val="20"/>
          <w:szCs w:val="20"/>
        </w:rPr>
        <w:t xml:space="preserve"> </w:t>
      </w:r>
      <m:oMath>
        <m:sSup>
          <m:sSupPr/>
          <m:e>
            <m:r>
              <m:rPr/>
              <w:rPr>
                <w:rFonts w:ascii="Times New Roman" w:hAnsi="Times New Roman" w:cs="Times New Roman"/>
                <w:sz w:val="20"/>
                <w:szCs w:val="20"/>
              </w:rPr>
              <m:t>m</m:t>
            </m:r>
          </m:e>
          <m:sup>
            <m:r>
              <m:rPr/>
              <w:rPr>
                <w:rFonts w:ascii="Times New Roman" w:hAnsi="Times New Roman" w:cs="Times New Roman"/>
                <w:sz w:val="20"/>
                <w:szCs w:val="20"/>
              </w:rPr>
              <m:t>−1</m:t>
            </m:r>
          </m:sup>
        </m:sSup>
      </m:oMath>
      <w:r>
        <w:rPr>
          <w:rFonts w:ascii="Times New Roman" w:hAnsi="Times New Roman" w:cs="Times New Roman"/>
          <w:color w:val="auto"/>
          <w:sz w:val="20"/>
          <w:szCs w:val="20"/>
        </w:rPr>
        <w:t>). (b) Voronoi dualization demonstrating exact face–fracture coincidence. (c) Cell aspect ratios remain bounded below 4 within the intersection zone.</w:t>
      </w:r>
    </w:p>
    <w:p w14:paraId="7B223500">
      <w:pPr>
        <w:pStyle w:val="34"/>
        <w:rPr>
          <w:color w:val="auto"/>
        </w:rPr>
      </w:pPr>
      <w:r>
        <w:rPr>
          <w:color w:val="auto"/>
        </w:rPr>
        <w:drawing>
          <wp:inline distT="0" distB="0" distL="114300" distR="114300">
            <wp:extent cx="3749040" cy="2763520"/>
            <wp:effectExtent l="0" t="0" r="0" b="0"/>
            <wp:docPr id="4" name="Picture" descr="Fig. 4. Histogram of the orthogonality angle \theta for the base configuration. The dashed vertical line marks the 5^\circ K-orthogonality threshold. 97.1% of faces lie below this threshold; the distribution is strongly right-skewed with a median \theta o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Fig. 4. Histogram of the orthogonality angle \theta for the base configuration. The dashed vertical line marks the 5^\circ K-orthogonality threshold. 97.1% of faces lie below this threshold; the distribution is strongly right-skewed with a median \theta of 1.2°."/>
                    <pic:cNvPicPr>
                      <a:picLocks noChangeAspect="1" noChangeArrowheads="1"/>
                    </pic:cNvPicPr>
                  </pic:nvPicPr>
                  <pic:blipFill>
                    <a:blip r:embed="rId8"/>
                    <a:stretch>
                      <a:fillRect/>
                    </a:stretch>
                  </pic:blipFill>
                  <pic:spPr>
                    <a:xfrm>
                      <a:off x="0" y="0"/>
                      <a:ext cx="3749457" cy="2764076"/>
                    </a:xfrm>
                    <a:prstGeom prst="rect">
                      <a:avLst/>
                    </a:prstGeom>
                    <a:noFill/>
                    <a:ln w="9525">
                      <a:noFill/>
                    </a:ln>
                  </pic:spPr>
                </pic:pic>
              </a:graphicData>
            </a:graphic>
          </wp:inline>
        </w:drawing>
      </w:r>
    </w:p>
    <w:p w14:paraId="47324667">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4. Histogram of the orthogonality angle </w:t>
      </w:r>
      <m:oMath>
        <m:r>
          <m:rPr/>
          <w:rPr>
            <w:rFonts w:ascii="Times New Roman" w:hAnsi="Times New Roman" w:cs="Times New Roman"/>
            <w:color w:val="auto"/>
            <w:sz w:val="20"/>
            <w:szCs w:val="20"/>
          </w:rPr>
          <m:t>θ</m:t>
        </m:r>
      </m:oMath>
      <w:r>
        <w:rPr>
          <w:rFonts w:ascii="Times New Roman" w:hAnsi="Times New Roman" w:cs="Times New Roman"/>
          <w:color w:val="auto"/>
          <w:sz w:val="20"/>
          <w:szCs w:val="20"/>
        </w:rPr>
        <w:t xml:space="preserve"> for the base configuration. The dashed vertical line marks the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5</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K-orthogonality threshold. 97.1% of faces lie below this threshold; the distribution is strongly right-skewed with a median </w:t>
      </w:r>
      <m:oMath>
        <m:r>
          <m:rPr/>
          <w:rPr>
            <w:rFonts w:ascii="Times New Roman" w:hAnsi="Times New Roman" w:cs="Times New Roman"/>
            <w:color w:val="auto"/>
            <w:sz w:val="20"/>
            <w:szCs w:val="20"/>
          </w:rPr>
          <m:t>θ</m:t>
        </m:r>
      </m:oMath>
      <w:r>
        <w:rPr>
          <w:rFonts w:ascii="Times New Roman" w:hAnsi="Times New Roman" w:cs="Times New Roman"/>
          <w:color w:val="auto"/>
          <w:sz w:val="20"/>
          <w:szCs w:val="20"/>
        </w:rPr>
        <w:t xml:space="preserve"> of 1.2°.</w:t>
      </w:r>
    </w:p>
    <w:p w14:paraId="12E1BD07">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4: Grid-quality metrics for the base case, DFN case, and alternative meshing approaches.</w:t>
      </w:r>
    </w:p>
    <w:tbl>
      <w:tblPr>
        <w:tblStyle w:val="28"/>
        <w:tblW w:w="10267"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18"/>
        <w:gridCol w:w="1414"/>
        <w:gridCol w:w="2201"/>
        <w:gridCol w:w="2749"/>
        <w:gridCol w:w="1885"/>
      </w:tblGrid>
      <w:tr w14:paraId="1B5AF9F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7D789E5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1414" w:type="dxa"/>
            <w:tcBorders>
              <w:bottom w:val="single" w:color="auto" w:sz="0" w:space="0"/>
            </w:tcBorders>
            <w:vAlign w:val="center"/>
          </w:tcPr>
          <w:p w14:paraId="422F67D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Base Case</w:t>
            </w:r>
          </w:p>
        </w:tc>
        <w:tc>
          <w:tcPr>
            <w:tcW w:w="0" w:type="auto"/>
            <w:tcBorders>
              <w:bottom w:val="single" w:color="auto" w:sz="0" w:space="0"/>
            </w:tcBorders>
            <w:vAlign w:val="center"/>
          </w:tcPr>
          <w:p w14:paraId="0ECF00E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DFN </w:t>
            </w:r>
          </w:p>
          <w:p w14:paraId="35DD925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(1,247 fractures)</w:t>
            </w:r>
          </w:p>
        </w:tc>
        <w:tc>
          <w:tcPr>
            <w:tcW w:w="0" w:type="auto"/>
            <w:tcBorders>
              <w:bottom w:val="single" w:color="auto" w:sz="0" w:space="0"/>
            </w:tcBorders>
            <w:vAlign w:val="center"/>
          </w:tcPr>
          <w:p w14:paraId="18D1964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Standard Unstructured </w:t>
            </w:r>
          </w:p>
          <w:p w14:paraId="12165B1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(DFN)</w:t>
            </w:r>
          </w:p>
        </w:tc>
        <w:tc>
          <w:tcPr>
            <w:tcW w:w="1885" w:type="dxa"/>
            <w:tcBorders>
              <w:bottom w:val="single" w:color="auto" w:sz="0" w:space="0"/>
            </w:tcBorders>
            <w:vAlign w:val="center"/>
          </w:tcPr>
          <w:p w14:paraId="5893D7F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r>
      <w:tr w14:paraId="6166DF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5B7131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414" w:type="dxa"/>
            <w:vAlign w:val="center"/>
          </w:tcPr>
          <w:p w14:paraId="0ECB7C9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040B866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95.3%</w:t>
            </w:r>
          </w:p>
        </w:tc>
        <w:tc>
          <w:tcPr>
            <w:tcW w:w="0" w:type="auto"/>
            <w:vAlign w:val="center"/>
          </w:tcPr>
          <w:p w14:paraId="5D51EC1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81.2%</w:t>
            </w:r>
          </w:p>
        </w:tc>
        <w:tc>
          <w:tcPr>
            <w:tcW w:w="1885" w:type="dxa"/>
            <w:vAlign w:val="center"/>
          </w:tcPr>
          <w:p w14:paraId="05692B3C">
            <w:pPr>
              <w:pStyle w:val="24"/>
              <w:snapToGrid w:val="0"/>
              <w:spacing w:before="0" w:after="0"/>
              <w:ind w:left="0" w:leftChars="0" w:right="0" w:rightChars="0" w:firstLineChars="0"/>
              <w:jc w:val="left"/>
              <w:rPr>
                <w:color w:val="auto"/>
              </w:rPr>
            </w:pPr>
            <w:r>
              <w:rPr>
                <w:rFonts w:ascii="Times New Roman" w:hAnsi="Times New Roman"/>
                <w:sz w:val="20"/>
              </w:rPr>
              <w:t>62.4%</w:t>
            </w:r>
            <w:r>
              <w:rPr>
                <w:rFonts w:ascii="Times New Roman" w:hAnsi="Times New Roman"/>
                <w:sz w:val="20"/>
                <w:vertAlign w:val="superscript"/>
              </w:rPr>
              <w:t>(a)</w:t>
            </w:r>
          </w:p>
        </w:tc>
      </w:tr>
      <w:tr w14:paraId="514851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AA73EB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Maximum aspect ratio</w:t>
            </w:r>
          </w:p>
        </w:tc>
        <w:tc>
          <w:tcPr>
            <w:tcW w:w="1414" w:type="dxa"/>
            <w:vAlign w:val="center"/>
          </w:tcPr>
          <w:p w14:paraId="32D8CE3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0" w:type="auto"/>
            <w:vAlign w:val="center"/>
          </w:tcPr>
          <w:p w14:paraId="037E28D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4.7</w:t>
            </w:r>
          </w:p>
        </w:tc>
        <w:tc>
          <w:tcPr>
            <w:tcW w:w="0" w:type="auto"/>
            <w:vAlign w:val="center"/>
          </w:tcPr>
          <w:p w14:paraId="66693C9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12.3</w:t>
            </w:r>
          </w:p>
        </w:tc>
        <w:tc>
          <w:tcPr>
            <w:tcW w:w="1885" w:type="dxa"/>
            <w:vAlign w:val="center"/>
          </w:tcPr>
          <w:p w14:paraId="331C5E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8.5</w:t>
            </w:r>
          </w:p>
        </w:tc>
      </w:tr>
      <w:tr w14:paraId="42F30F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821E3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Adjacent size ratio </w:t>
            </w:r>
            <m:oMath>
              <m:r>
                <m:rPr/>
                <w:rPr>
                  <w:color w:val="auto"/>
                </w:rPr>
                <m:t>≤3</m:t>
              </m:r>
            </m:oMath>
          </w:p>
        </w:tc>
        <w:tc>
          <w:tcPr>
            <w:tcW w:w="1414" w:type="dxa"/>
            <w:vAlign w:val="center"/>
          </w:tcPr>
          <w:p w14:paraId="629BA7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98.6%</w:t>
            </w:r>
          </w:p>
        </w:tc>
        <w:tc>
          <w:tcPr>
            <w:tcW w:w="0" w:type="auto"/>
            <w:vAlign w:val="center"/>
          </w:tcPr>
          <w:p w14:paraId="7DF473C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96.8%</w:t>
            </w:r>
          </w:p>
        </w:tc>
        <w:tc>
          <w:tcPr>
            <w:tcW w:w="0" w:type="auto"/>
            <w:vAlign w:val="center"/>
          </w:tcPr>
          <w:p w14:paraId="7144F7D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78.2%</w:t>
            </w:r>
          </w:p>
        </w:tc>
        <w:tc>
          <w:tcPr>
            <w:tcW w:w="1885" w:type="dxa"/>
            <w:vAlign w:val="center"/>
          </w:tcPr>
          <w:p w14:paraId="5380F9E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91.3%</w:t>
            </w:r>
          </w:p>
        </w:tc>
      </w:tr>
      <w:tr w14:paraId="32F19C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F172B2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cells (thousands)</w:t>
            </w:r>
          </w:p>
        </w:tc>
        <w:tc>
          <w:tcPr>
            <w:tcW w:w="1414" w:type="dxa"/>
            <w:vAlign w:val="center"/>
          </w:tcPr>
          <w:p w14:paraId="30FA55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0" w:type="auto"/>
            <w:vAlign w:val="center"/>
          </w:tcPr>
          <w:p w14:paraId="5AA0101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1 847</w:t>
            </w:r>
          </w:p>
        </w:tc>
        <w:tc>
          <w:tcPr>
            <w:tcW w:w="0" w:type="auto"/>
            <w:vAlign w:val="center"/>
          </w:tcPr>
          <w:p w14:paraId="5B2889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2 310</w:t>
            </w:r>
          </w:p>
        </w:tc>
        <w:tc>
          <w:tcPr>
            <w:tcW w:w="1885" w:type="dxa"/>
            <w:vAlign w:val="center"/>
          </w:tcPr>
          <w:p w14:paraId="36BC9BA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1 536</w:t>
            </w:r>
          </w:p>
        </w:tc>
      </w:tr>
      <w:tr w14:paraId="1899F3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8" w:type="dxa"/>
            <w:vAlign w:val="center"/>
          </w:tcPr>
          <w:p w14:paraId="7FB451A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Steiner point fraction</w:t>
            </w:r>
          </w:p>
        </w:tc>
        <w:tc>
          <w:tcPr>
            <w:tcW w:w="1414" w:type="dxa"/>
            <w:vAlign w:val="center"/>
          </w:tcPr>
          <w:p w14:paraId="2A52C40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8.3%</w:t>
            </w:r>
          </w:p>
        </w:tc>
        <w:tc>
          <w:tcPr>
            <w:tcW w:w="2201" w:type="dxa"/>
            <w:vAlign w:val="center"/>
          </w:tcPr>
          <w:p w14:paraId="2DDFEB0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14.7%</w:t>
            </w:r>
          </w:p>
        </w:tc>
        <w:tc>
          <w:tcPr>
            <w:tcW w:w="2749" w:type="dxa"/>
            <w:vAlign w:val="center"/>
          </w:tcPr>
          <w:p w14:paraId="1E0CA51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22.5%</w:t>
            </w:r>
          </w:p>
        </w:tc>
        <w:tc>
          <w:tcPr>
            <w:tcW w:w="1885" w:type="dxa"/>
            <w:vAlign w:val="center"/>
          </w:tcPr>
          <w:p w14:paraId="4347ED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N/A</w:t>
            </w:r>
          </w:p>
        </w:tc>
      </w:tr>
    </w:tbl>
    <w:p w14:paraId="55E84F26">
      <w:pPr>
        <w:pStyle w:val="3"/>
        <w:spacing w:before="0" w:after="0" w:line="300" w:lineRule="auto"/>
        <w:ind w:firstLine="360" w:firstLineChars="200"/>
        <w:jc w:val="both"/>
        <w:rPr>
          <w:rFonts w:ascii="Times New Roman" w:hAnsi="Times New Roman" w:cs="Times New Roman"/>
          <w:color w:val="auto"/>
          <w:sz w:val="24"/>
          <w:szCs w:val="24"/>
        </w:rPr>
      </w:pPr>
      <w:r>
        <w:rPr>
          <w:rFonts w:ascii="Times New Roman" w:hAnsi="Times New Roman"/>
          <w:sz w:val="18"/>
          <w:vertAlign w:val="superscript"/>
        </w:rPr>
        <w:t>(a) The 62.4% value for Cartesian LGR pertains to the base case (100 hydraulic fractures only). Under DFN insertion (1,247 obliquely oriented natural fractures), this fraction decreases to 58.7% (Table 14), because each obliquely oriented fracture requires staircase approximation on the Cartesian grid. Unlike the PEBI mesh, Cartesian LGR K-orthogonality degrades monotonically with each obliquely oriented fracture added to the domain.</w:t>
      </w:r>
    </w:p>
    <w:p w14:paraId="04B0D8DE">
      <w:pPr>
        <w:pStyle w:val="4"/>
        <w:spacing w:before="120" w:after="60" w:line="360" w:lineRule="auto"/>
        <w:jc w:val="left"/>
        <w:rPr>
          <w:rFonts w:ascii="Times New Roman" w:hAnsi="Times New Roman" w:cs="Times New Roman"/>
          <w:color w:val="auto"/>
          <w:sz w:val="24"/>
          <w:szCs w:val="24"/>
        </w:rPr>
      </w:pPr>
      <w:bookmarkStart w:id="10" w:name="X738d83d17439b5102e92bc417e442cbfc692708"/>
      <w:r>
        <w:rPr>
          <w:rFonts w:ascii="Times New Roman" w:hAnsi="Times New Roman" w:cs="Times New Roman"/>
          <w:b/>
          <w:bCs/>
          <w:color w:val="auto"/>
          <w:sz w:val="24"/>
          <w:szCs w:val="24"/>
        </w:rPr>
        <w:t>2.4 Fully Implicit Linearization and CPR–SA-AMG</w:t>
      </w:r>
      <w:bookmarkEnd w:id="10"/>
    </w:p>
    <w:p w14:paraId="6FEC23A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Backward Euler time integration paired with Newton–Raphson linearization yields the block-structured algebraic system</w:t>
      </w:r>
    </w:p>
    <w:p w14:paraId="2B835517">
      <w:pPr>
        <w:pStyle w:val="3"/>
        <w:spacing w:before="0" w:after="120"/>
        <w:ind w:firstLine="480" w:firstLineChars="200"/>
        <w:jc w:val="both"/>
        <w:rPr>
          <w:color w:val="auto"/>
        </w:rPr>
      </w:pPr>
      <m:oMathPara>
        <m:oMathParaPr>
          <m:jc m:val="center"/>
        </m:oMathParaPr>
        <m:oMath>
          <m:r>
            <m:rPr/>
            <w:rPr>
              <w:color w:val="auto"/>
            </w:rPr>
            <m:t>Aδx=−R  (12)</m:t>
          </m:r>
        </m:oMath>
      </m:oMathPara>
    </w:p>
    <w:p w14:paraId="6D0C0DC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With three primary unknowns per cell — pressure </w:t>
      </w:r>
      <m:oMath>
        <m:r>
          <m:rPr/>
          <w:rPr>
            <w:rFonts w:ascii="Times New Roman" w:hAnsi="Times New Roman" w:cs="Times New Roman"/>
            <w:color w:val="auto"/>
            <w:sz w:val="24"/>
            <w:szCs w:val="24"/>
          </w:rPr>
          <m:t>p</m:t>
        </m:r>
      </m:oMath>
      <w:r>
        <w:rPr>
          <w:rFonts w:ascii="Times New Roman" w:hAnsi="Times New Roman" w:cs="Times New Roman"/>
          <w:color w:val="auto"/>
          <w:sz w:val="24"/>
          <w:szCs w:val="24"/>
        </w:rPr>
        <w:t xml:space="preserve">, oil saturation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bubble-point pressure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b</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(or equivalent) — the matrix </w:t>
      </w:r>
      <m:oMath>
        <m:r>
          <m:rPr/>
          <w:rPr>
            <w:rFonts w:ascii="Times New Roman" w:hAnsi="Times New Roman" w:cs="Times New Roman"/>
            <w:color w:val="auto"/>
            <w:sz w:val="24"/>
            <w:szCs w:val="24"/>
          </w:rPr>
          <m:t>A</m:t>
        </m:r>
      </m:oMath>
      <w:r>
        <w:rPr>
          <w:rFonts w:ascii="Times New Roman" w:hAnsi="Times New Roman" w:cs="Times New Roman"/>
          <w:color w:val="auto"/>
          <w:sz w:val="24"/>
          <w:szCs w:val="24"/>
        </w:rPr>
        <w:t xml:space="preserve"> measures </w:t>
      </w:r>
      <m:oMath>
        <m:r>
          <m:rPr/>
          <w:rPr>
            <w:rFonts w:ascii="Times New Roman" w:hAnsi="Times New Roman" w:cs="Times New Roman"/>
            <w:color w:val="auto"/>
            <w:sz w:val="24"/>
            <w:szCs w:val="24"/>
          </w:rPr>
          <m:t>3</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×3</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and carries roughly </w:t>
      </w:r>
      <m:oMath>
        <m:r>
          <m:rPr/>
          <w:rPr>
            <w:rFonts w:ascii="Times New Roman" w:hAnsi="Times New Roman" w:cs="Times New Roman"/>
            <w:color w:val="auto"/>
            <w:sz w:val="24"/>
            <w:szCs w:val="24"/>
          </w:rPr>
          <m:t>21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N</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c</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nonzero entries for standard hexahedral stencil connectivity.</w:t>
      </w:r>
    </w:p>
    <w:p w14:paraId="57CF247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shale-oil systems, the fracture-to-matrix permeability ratio can exceed nine orders of magnitude, and the resulting stiffness pushes the unpreconditioned Jacobian system into the 10⁷–10⁸ spectral range for discretizations that do not conform to the fractures. For instance, the standard unstructured DFN configuration in Table 14 shows </w:t>
      </w:r>
      <m:oMath>
        <m:acc>
          <m:accPr>
            <m:chr m:val="^"/>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oMath>
      <w:r>
        <w:rPr>
          <w:rFonts w:ascii="Times New Roman" w:hAnsi="Times New Roman" w:cs="Times New Roman"/>
          <w:color w:val="auto"/>
          <w:sz w:val="24"/>
          <w:szCs w:val="24"/>
        </w:rPr>
        <w:t xml:space="preserve">κ̂(A)/κ̂₀(A) = 18.6×, which corresponds to κ̂(A) ≈ 6.9 × 10⁷. When the grid is fracture-conforming, spurious off-diagonal flux terms disappear and the proxy drops to roughly 3.7 × 10⁶. Throughout this paper, we report the spectral conditioning proxy κ̂(A), defined as the ratio </w:t>
      </w:r>
      <m:oMath>
        <m:r>
          <m:rPr/>
          <m:t>|λ|ₘₐₓ/|λ</m:t>
        </m:r>
      </m:oMath>
      <w:r>
        <w:rPr>
          <w:rFonts w:ascii="Times New Roman" w:hAnsi="Times New Roman"/>
          <w:sz w:val="24"/>
        </w:rPr>
        <w:t xml:space="preserve">|ₘᵢₙ of the largest to smallest converged Ritz values obtained from the implicitly restarted Arnoldi method (ARPACK, accessed through the SLEPc interface): convergence tolerance </w:t>
      </w:r>
      <m:oMath>
        <m:r>
          <m:rPr/>
          <m:t>τ_Aᵣₙ = 10⁻⁶ on the relative eigenvalue residual</m:t>
        </m:r>
      </m:oMath>
      <w:r>
        <w:rPr>
          <w:rFonts w:ascii="Times New Roman" w:hAnsi="Times New Roman"/>
          <w:sz w:val="24"/>
        </w:rPr>
        <w:t xml:space="preserve">, Krylov subspace dimension m = 60, restart dimension k = 30 (i.e., the 30 most dominant Ritz values are retained at each restart). As a verification check, we cross-validated the Arnoldi-derived proxy against a sparse direct LU-based estimator (SuperLU_DIST, threshold-based ILU, drop tolerance 10⁻⁴). For the base-case PEBI matrix (N_c = 1,024,000, 3N_c ≈ 3.07M unknowns), the LU estimator </w:t>
      </w:r>
      <m:oMath>
        <m:r>
          <m:rPr/>
          <w:rPr>
            <w:rFonts w:ascii="Times New Roman" w:hAnsi="Times New Roman" w:cs="Times New Roman"/>
            <w:sz w:val="24"/>
            <w:szCs w:val="24"/>
          </w:rPr>
          <m:t>κ</m:t>
        </m:r>
      </m:oMath>
      <w:r>
        <w:rPr>
          <w:rFonts w:ascii="Times New Roman" w:hAnsi="Times New Roman" w:cs="Times New Roman"/>
          <w:color w:val="auto"/>
          <w:sz w:val="24"/>
          <w:szCs w:val="24"/>
        </w:rPr>
        <w:t xml:space="preserve">κ_LU(A) = ‖A⁻¹‖₁‖A‖₁ gives 4.1 × 10⁶ — within 10% of the Arnoldi proxy result of 3.7 × 10⁶. Across all the cases in Sections 3.4–3.6 the two methods agree to within 15%, confirming that </w:t>
      </w:r>
      <m:oMath>
        <m:acc>
          <m:accPr>
            <m:chr m:val="^"/>
          </m:accPr>
          <m:e>
            <m:r>
              <m:rPr/>
              <w:rPr>
                <w:rFonts w:ascii="Times New Roman" w:hAnsi="Times New Roman" w:cs="Times New Roman"/>
                <w:sz w:val="24"/>
                <w:szCs w:val="24"/>
              </w:rPr>
              <m:t>κ</m:t>
            </m:r>
          </m:e>
        </m:acc>
        <m:r>
          <m:rPr/>
          <w:rPr>
            <w:rFonts w:ascii="Times New Roman" w:hAnsi="Times New Roman" w:cs="Times New Roman"/>
            <w:sz w:val="24"/>
            <w:szCs w:val="24"/>
          </w:rPr>
          <m:t>(</m:t>
        </m:r>
        <m:r>
          <m:rPr>
            <m:sty m:val="bi"/>
          </m:rPr>
          <w:rPr>
            <w:rFonts w:ascii="Times New Roman" w:hAnsi="Times New Roman" w:cs="Times New Roman"/>
            <w:sz w:val="24"/>
            <w:szCs w:val="24"/>
          </w:rPr>
          <m:t>A</m:t>
        </m:r>
        <m:r>
          <m:rPr/>
          <w:rPr>
            <w:rFonts w:ascii="Times New Roman" w:hAnsi="Times New Roman" w:cs="Times New Roman"/>
            <w:sz w:val="24"/>
            <w:szCs w:val="24"/>
          </w:rPr>
          <m:t>)</m:t>
        </m:r>
      </m:oMath>
      <w:r>
        <w:rPr>
          <w:rFonts w:ascii="Times New Roman" w:hAnsi="Times New Roman" w:cs="Times New Roman"/>
          <w:color w:val="auto"/>
          <w:sz w:val="24"/>
          <w:szCs w:val="24"/>
        </w:rPr>
        <w:t xml:space="preserve"> provides a reliable spectral conditioning proxy for the systems studied here.</w:t>
      </w:r>
    </w:p>
    <w:p w14:paraId="46839DC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Constrained Pressure Residual (CPR) methodology (Wallis et al., 1985) isolates the near-elliptic pressure subsystem</w:t>
      </w:r>
    </w:p>
    <w:p w14:paraId="51EEACF1">
      <w:pPr>
        <w:pStyle w:val="3"/>
        <w:spacing w:before="0" w:after="120"/>
        <w:ind w:firstLine="480" w:firstLineChars="200"/>
        <w:jc w:val="both"/>
        <w:rPr>
          <w:color w:val="auto"/>
        </w:rPr>
      </w:pPr>
      <m:oMathPara>
        <m:oMathParaPr>
          <m:jc m:val="center"/>
        </m:oMathParaPr>
        <m:oMath>
          <m:sSub>
            <m:sSubPr>
              <m:ctrlPr>
                <w:rPr>
                  <w:color w:val="auto"/>
                </w:rPr>
              </m:ctrlPr>
            </m:sSubPr>
            <m:e>
              <m:r>
                <m:rPr/>
                <w:rPr>
                  <w:color w:val="auto"/>
                </w:rPr>
                <m:t>A</m:t>
              </m:r>
              <m:ctrlPr>
                <w:rPr>
                  <w:color w:val="auto"/>
                </w:rPr>
              </m:ctrlPr>
            </m:e>
            <m:sub>
              <m:r>
                <m:rPr/>
                <w:rPr>
                  <w:color w:val="auto"/>
                </w:rPr>
                <m:t>pp</m:t>
              </m:r>
              <m:ctrlPr>
                <w:rPr>
                  <w:color w:val="auto"/>
                </w:rPr>
              </m:ctrlPr>
            </m:sub>
          </m:sSub>
          <m:r>
            <m:rPr/>
            <w:rPr>
              <w:color w:val="auto"/>
            </w:rPr>
            <m:t>δp=−</m:t>
          </m:r>
          <m:sSub>
            <m:sSubPr>
              <m:ctrlPr>
                <w:rPr>
                  <w:color w:val="auto"/>
                </w:rPr>
              </m:ctrlPr>
            </m:sSubPr>
            <m:e>
              <m:r>
                <m:rPr/>
                <w:rPr>
                  <w:color w:val="auto"/>
                </w:rPr>
                <m:t>R</m:t>
              </m:r>
              <m:ctrlPr>
                <w:rPr>
                  <w:color w:val="auto"/>
                </w:rPr>
              </m:ctrlPr>
            </m:e>
            <m:sub>
              <m:r>
                <m:rPr/>
                <w:rPr>
                  <w:color w:val="auto"/>
                </w:rPr>
                <m:t>p</m:t>
              </m:r>
              <m:ctrlPr>
                <w:rPr>
                  <w:color w:val="auto"/>
                </w:rPr>
              </m:ctrlPr>
            </m:sub>
          </m:sSub>
          <m:r>
            <m:rPr/>
            <w:rPr>
              <w:color w:val="auto"/>
            </w:rPr>
            <m:t>  (13)</m:t>
          </m:r>
        </m:oMath>
      </m:oMathPara>
    </w:p>
    <w:p w14:paraId="0DDE258B">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pressure subsystem is handled through Smoothed-Aggregation Algebraic Multigrid (SA-AMG) (Vaněk et al., 1996) with a strong-coupling threshold of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ε</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str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=0.25</m:t>
        </m:r>
      </m:oMath>
      <w:r>
        <w:rPr>
          <w:rFonts w:ascii="Times New Roman" w:hAnsi="Times New Roman" w:cs="Times New Roman"/>
          <w:color w:val="auto"/>
          <w:sz w:val="24"/>
          <w:szCs w:val="24"/>
        </w:rPr>
        <w:t xml:space="preserve">. The SA-AMG configuration, detailed in Appendix A, employs a strong-coupling threshold of ε_str = 0.25 selected from a sweep across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ε</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str</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∈{0.1,0.15,0.2,0.25,0.3,0.4}</m:t>
        </m:r>
      </m:oMath>
      <w:r>
        <w:rPr>
          <w:rFonts w:ascii="Times New Roman" w:hAnsi="Times New Roman" w:cs="Times New Roman"/>
          <w:color w:val="auto"/>
          <w:sz w:val="24"/>
          <w:szCs w:val="24"/>
        </w:rPr>
        <w:t xml:space="preserve">; the GMRES iteration count varies by less than 8% over the range 0.2–0.3, indicating insensitivity to this parameter within a broad operational window. The prolongation operator </w:t>
      </w:r>
      <m:oMath>
        <m:r>
          <m:rPr/>
          <w:rPr>
            <w:rFonts w:ascii="Times New Roman" w:hAnsi="Times New Roman" w:cs="Times New Roman"/>
            <w:color w:val="auto"/>
            <w:sz w:val="24"/>
            <w:szCs w:val="24"/>
          </w:rPr>
          <m:t>P</m:t>
        </m:r>
      </m:oMath>
      <w:r>
        <w:rPr>
          <w:rFonts w:ascii="Times New Roman" w:hAnsi="Times New Roman" w:cs="Times New Roman"/>
          <w:color w:val="auto"/>
          <w:sz w:val="24"/>
          <w:szCs w:val="24"/>
        </w:rPr>
        <w:t xml:space="preserve"> is built from a tentative prolongator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P</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0</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via damped Jacobi smoothing:</w:t>
      </w:r>
    </w:p>
    <w:p w14:paraId="2BD86206">
      <w:pPr>
        <w:pStyle w:val="3"/>
        <w:spacing w:before="0" w:after="120"/>
        <w:ind w:firstLine="480" w:firstLineChars="200"/>
        <w:jc w:val="both"/>
        <w:rPr>
          <w:color w:val="auto"/>
        </w:rPr>
      </w:pPr>
      <m:oMathPara>
        <m:oMathParaPr>
          <m:jc m:val="center"/>
        </m:oMathParaPr>
        <m:oMath>
          <m:r>
            <m:rPr/>
            <w:rPr>
              <w:color w:val="auto"/>
            </w:rPr>
            <m:t>P=</m:t>
          </m:r>
          <m:d>
            <m:dPr>
              <m:ctrlPr>
                <w:rPr>
                  <w:color w:val="auto"/>
                </w:rPr>
              </m:ctrlPr>
            </m:dPr>
            <m:e>
              <m:r>
                <m:rPr/>
                <w:rPr>
                  <w:color w:val="auto"/>
                </w:rPr>
                <m:t>I−ω</m:t>
              </m:r>
              <m:sSup>
                <m:sSupPr>
                  <m:ctrlPr>
                    <w:rPr>
                      <w:color w:val="auto"/>
                    </w:rPr>
                  </m:ctrlPr>
                </m:sSupPr>
                <m:e>
                  <m:r>
                    <m:rPr/>
                    <w:rPr>
                      <w:color w:val="auto"/>
                    </w:rPr>
                    <m:t>D</m:t>
                  </m:r>
                  <m:ctrlPr>
                    <w:rPr>
                      <w:color w:val="auto"/>
                    </w:rPr>
                  </m:ctrlPr>
                </m:e>
                <m:sup>
                  <m:r>
                    <m:rPr/>
                    <w:rPr>
                      <w:color w:val="auto"/>
                    </w:rPr>
                    <m:t>−1</m:t>
                  </m:r>
                  <m:ctrlPr>
                    <w:rPr>
                      <w:color w:val="auto"/>
                    </w:rPr>
                  </m:ctrlPr>
                </m:sup>
              </m:sSup>
              <m:sSub>
                <m:sSubPr>
                  <m:ctrlPr>
                    <w:rPr>
                      <w:color w:val="auto"/>
                    </w:rPr>
                  </m:ctrlPr>
                </m:sSubPr>
                <m:e>
                  <m:r>
                    <m:rPr/>
                    <w:rPr>
                      <w:color w:val="auto"/>
                    </w:rPr>
                    <m:t>A</m:t>
                  </m:r>
                  <m:ctrlPr>
                    <w:rPr>
                      <w:color w:val="auto"/>
                    </w:rPr>
                  </m:ctrlPr>
                </m:e>
                <m:sub>
                  <m:r>
                    <m:rPr/>
                    <w:rPr>
                      <w:color w:val="auto"/>
                    </w:rPr>
                    <m:t>pp</m:t>
                  </m:r>
                  <m:ctrlPr>
                    <w:rPr>
                      <w:color w:val="auto"/>
                    </w:rPr>
                  </m:ctrlPr>
                </m:sub>
              </m:sSub>
              <m:ctrlPr>
                <w:rPr>
                  <w:color w:val="auto"/>
                </w:rPr>
              </m:ctrlPr>
            </m:e>
          </m:d>
          <m:sSub>
            <m:sSubPr>
              <m:ctrlPr>
                <w:rPr>
                  <w:color w:val="auto"/>
                </w:rPr>
              </m:ctrlPr>
            </m:sSubPr>
            <m:e>
              <m:r>
                <m:rPr/>
                <w:rPr>
                  <w:color w:val="auto"/>
                </w:rPr>
                <m:t>P</m:t>
              </m:r>
              <m:ctrlPr>
                <w:rPr>
                  <w:color w:val="auto"/>
                </w:rPr>
              </m:ctrlPr>
            </m:e>
            <m:sub>
              <m:r>
                <m:rPr/>
                <w:rPr>
                  <w:color w:val="auto"/>
                </w:rPr>
                <m:t>0</m:t>
              </m:r>
              <m:ctrlPr>
                <w:rPr>
                  <w:color w:val="auto"/>
                </w:rPr>
              </m:ctrlPr>
            </m:sub>
          </m:sSub>
          <m:r>
            <m:rPr/>
            <w:rPr>
              <w:color w:val="auto"/>
            </w:rPr>
            <m:t>  (14)</m:t>
          </m:r>
        </m:oMath>
      </m:oMathPara>
    </w:p>
    <w:p w14:paraId="2A8A94E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In Eq. (14), </w:t>
      </w:r>
      <m:oMath>
        <m:r>
          <m:rPr/>
          <w:rPr>
            <w:rFonts w:ascii="Times New Roman" w:hAnsi="Times New Roman" w:cs="Times New Roman"/>
            <w:color w:val="auto"/>
            <w:sz w:val="24"/>
            <w:szCs w:val="24"/>
          </w:rPr>
          <m:t>ω=0.7</m:t>
        </m:r>
      </m:oMath>
      <w:r>
        <w:rPr>
          <w:rFonts w:ascii="Times New Roman" w:hAnsi="Times New Roman" w:cs="Times New Roman"/>
          <w:color w:val="auto"/>
          <w:sz w:val="24"/>
          <w:szCs w:val="24"/>
        </w:rPr>
        <w:t xml:space="preserve"> denotes the damping parameter and </w:t>
      </w:r>
      <m:oMath>
        <m:r>
          <m:rPr/>
          <w:rPr>
            <w:rFonts w:ascii="Times New Roman" w:hAnsi="Times New Roman" w:cs="Times New Roman"/>
            <w:color w:val="auto"/>
            <w:sz w:val="24"/>
            <w:szCs w:val="24"/>
          </w:rPr>
          <m:t>D</m:t>
        </m:r>
      </m:oMath>
      <w:r>
        <w:rPr>
          <w:rFonts w:ascii="Times New Roman" w:hAnsi="Times New Roman" w:cs="Times New Roman"/>
          <w:color w:val="auto"/>
          <w:sz w:val="24"/>
          <w:szCs w:val="24"/>
        </w:rPr>
        <w:t xml:space="preserve"> is the diagonal of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pp</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Following the pressure correction, a Block-ILU(0) sweep applied to the full system stabilizes the hyperbolic saturation coupling. An important observation is that, because the PEBI mesh eliminates spurious cross-flow contributions, the system matrix </w:t>
      </w:r>
      <m:oMath>
        <m:r>
          <m:rPr/>
          <w:rPr>
            <w:rFonts w:ascii="Times New Roman" w:hAnsi="Times New Roman" w:cs="Times New Roman"/>
            <w:color w:val="auto"/>
            <w:sz w:val="24"/>
            <w:szCs w:val="24"/>
          </w:rPr>
          <m:t>A</m:t>
        </m:r>
      </m:oMath>
      <w:r>
        <w:rPr>
          <w:rFonts w:ascii="Times New Roman" w:hAnsi="Times New Roman" w:cs="Times New Roman"/>
          <w:color w:val="auto"/>
          <w:sz w:val="24"/>
          <w:szCs w:val="24"/>
        </w:rPr>
        <w:t xml:space="preserve"> exhibits enhanced diagonal dominance, with the mean diagonal dominance ratio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δ</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nary>
          <m:naryPr>
            <m:chr m:val="∑"/>
            <m:limLoc m:val="undOvr"/>
            <m:supHide m:val="1"/>
            <m:ctrlPr>
              <w:rPr>
                <w:rFonts w:ascii="Times New Roman" w:hAnsi="Times New Roman" w:cs="Times New Roman"/>
                <w:color w:val="auto"/>
                <w:sz w:val="24"/>
                <w:szCs w:val="24"/>
              </w:rPr>
            </m:ctrlPr>
          </m:naryPr>
          <m:sub>
            <m:r>
              <m:rPr/>
              <w:rPr>
                <w:rFonts w:ascii="Times New Roman" w:hAnsi="Times New Roman" w:cs="Times New Roman"/>
                <w:color w:val="auto"/>
                <w:sz w:val="24"/>
                <w:szCs w:val="24"/>
              </w:rPr>
              <m:t>j≠i</m:t>
            </m:r>
            <m:ctrlPr>
              <w:rPr>
                <w:rFonts w:ascii="Times New Roman" w:hAnsi="Times New Roman" w:cs="Times New Roman"/>
                <w:color w:val="auto"/>
                <w:sz w:val="24"/>
                <w:szCs w:val="24"/>
              </w:rPr>
            </m:ctrlPr>
          </m:sub>
          <m:sup>
            <m:r>
              <m:rPr/>
              <w:rPr>
                <w:rFonts w:ascii="Times New Roman" w:hAnsi="Times New Roman" w:cs="Times New Roman"/>
                <w:color w:val="auto"/>
                <w:sz w:val="24"/>
                <w:szCs w:val="24"/>
              </w:rPr>
              <m:t>​</m:t>
            </m:r>
            <m:ctrlPr>
              <w:rPr>
                <w:rFonts w:ascii="Times New Roman" w:hAnsi="Times New Roman" w:cs="Times New Roman"/>
                <w:color w:val="auto"/>
                <w:sz w:val="24"/>
                <w:szCs w:val="24"/>
              </w:rPr>
            </m:ctrlPr>
          </m:sup>
          <m:e>
            <m:r>
              <m:rPr/>
              <w:rPr>
                <w:rFonts w:ascii="Times New Roman" w:hAnsi="Times New Roman" w:cs="Times New Roman"/>
                <w:color w:val="auto"/>
                <w:sz w:val="24"/>
                <w:szCs w:val="24"/>
              </w:rPr>
              <m:t>|</m:t>
            </m:r>
            <m:ctrlPr>
              <w:rPr>
                <w:rFonts w:ascii="Times New Roman" w:hAnsi="Times New Roman" w:cs="Times New Roman"/>
                <w:color w:val="auto"/>
                <w:sz w:val="24"/>
                <w:szCs w:val="24"/>
              </w:rPr>
            </m:ctrlPr>
          </m:e>
        </m:nary>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a</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xml:space="preserve"> improving from 1.43 (Cartesian LGR) to 2.18 (PEBI). This improvement accelerates aggregate construction in the AMG setup phase and improves the V-cycle convergence factor from approximately 0.45 to 0.31.</w:t>
      </w:r>
    </w:p>
    <w:p w14:paraId="29A09647">
      <w:pPr>
        <w:pStyle w:val="34"/>
        <w:rPr>
          <w:color w:val="auto"/>
        </w:rPr>
      </w:pPr>
      <w:r>
        <w:rPr>
          <w:color w:val="auto"/>
        </w:rPr>
        <w:drawing>
          <wp:inline distT="0" distB="0" distL="114300" distR="114300">
            <wp:extent cx="5334000" cy="2153285"/>
            <wp:effectExtent l="0" t="0" r="0" b="0"/>
            <wp:doc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 5. Structure of the CPR–SA-AMG preconditioner. Stage 1: An SA-AMG V-cycle applied to the extracted pressure block A_{pp}. Stage 2: A Block-ILU(0) global smoothing pass. The lower timeline illustrates how interior Jacobian assembly operations are overlapped with non-blocking ghost-cell MPI exchanges."/>
                    <pic:cNvPicPr>
                      <a:picLocks noChangeAspect="1" noChangeArrowheads="1"/>
                    </pic:cNvPicPr>
                  </pic:nvPicPr>
                  <pic:blipFill>
                    <a:blip r:embed="rId9"/>
                    <a:stretch>
                      <a:fillRect/>
                    </a:stretch>
                  </pic:blipFill>
                  <pic:spPr>
                    <a:xfrm>
                      <a:off x="0" y="0"/>
                      <a:ext cx="5334000" cy="2153555"/>
                    </a:xfrm>
                    <a:prstGeom prst="rect">
                      <a:avLst/>
                    </a:prstGeom>
                    <a:noFill/>
                    <a:ln w="9525">
                      <a:noFill/>
                    </a:ln>
                  </pic:spPr>
                </pic:pic>
              </a:graphicData>
            </a:graphic>
          </wp:inline>
        </w:drawing>
      </w:r>
    </w:p>
    <w:p w14:paraId="478EC3A2">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5. Structure of the CPR–SA-AMG preconditioner. Stage 1: An SA-AMG V-cycle applied to the extracted pressure block </w:t>
      </w:r>
      <m:oMath>
        <m:sSub>
          <m:sSubPr>
            <m:ctrlPr>
              <w:rPr>
                <w:rFonts w:ascii="Times New Roman" w:hAnsi="Times New Roman" w:cs="Times New Roman"/>
                <w:color w:val="auto"/>
                <w:sz w:val="20"/>
                <w:szCs w:val="20"/>
              </w:rPr>
            </m:ctrlPr>
          </m:sSubPr>
          <m:e>
            <m:r>
              <m:rPr/>
              <w:rPr>
                <w:rFonts w:ascii="Times New Roman" w:hAnsi="Times New Roman" w:cs="Times New Roman"/>
                <w:color w:val="auto"/>
                <w:sz w:val="20"/>
                <w:szCs w:val="20"/>
              </w:rPr>
              <m:t>A</m:t>
            </m:r>
            <m:ctrlPr>
              <w:rPr>
                <w:rFonts w:ascii="Times New Roman" w:hAnsi="Times New Roman" w:cs="Times New Roman"/>
                <w:color w:val="auto"/>
                <w:sz w:val="20"/>
                <w:szCs w:val="20"/>
              </w:rPr>
            </m:ctrlPr>
          </m:e>
          <m:sub>
            <m:r>
              <m:rPr/>
              <w:rPr>
                <w:rFonts w:ascii="Times New Roman" w:hAnsi="Times New Roman" w:cs="Times New Roman"/>
                <w:color w:val="auto"/>
                <w:sz w:val="20"/>
                <w:szCs w:val="20"/>
              </w:rPr>
              <m:t>pp</m:t>
            </m:r>
            <m:ctrlPr>
              <w:rPr>
                <w:rFonts w:ascii="Times New Roman" w:hAnsi="Times New Roman" w:cs="Times New Roman"/>
                <w:color w:val="auto"/>
                <w:sz w:val="20"/>
                <w:szCs w:val="20"/>
              </w:rPr>
            </m:ctrlPr>
          </m:sub>
        </m:sSub>
      </m:oMath>
      <w:r>
        <w:rPr>
          <w:rFonts w:ascii="Times New Roman" w:hAnsi="Times New Roman" w:cs="Times New Roman"/>
          <w:color w:val="auto"/>
          <w:sz w:val="20"/>
          <w:szCs w:val="20"/>
        </w:rPr>
        <w:t>. Stage 2: A Block-ILU(0) global smoothing pass</w:t>
      </w:r>
    </w:p>
    <w:p w14:paraId="1D5EE26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two-stage preconditioning architecture and the communication overlap schedule are illustrated in Fig. 5 and described in the following subsection.</w:t>
      </w:r>
    </w:p>
    <w:p w14:paraId="22391B1A">
      <w:pPr>
        <w:pStyle w:val="4"/>
        <w:spacing w:before="120" w:after="60" w:line="360" w:lineRule="auto"/>
        <w:jc w:val="left"/>
        <w:rPr>
          <w:rFonts w:ascii="Times New Roman" w:hAnsi="Times New Roman" w:cs="Times New Roman"/>
          <w:color w:val="auto"/>
          <w:sz w:val="24"/>
          <w:szCs w:val="24"/>
        </w:rPr>
      </w:pPr>
      <w:bookmarkStart w:id="11" w:name="X9d83824d9bddd7847d10263c1e9c9d86e4f8950"/>
      <w:r>
        <w:rPr>
          <w:rFonts w:ascii="Times New Roman" w:hAnsi="Times New Roman" w:cs="Times New Roman"/>
          <w:b/>
          <w:bCs/>
          <w:color w:val="auto"/>
          <w:sz w:val="24"/>
          <w:szCs w:val="24"/>
        </w:rPr>
        <w:t>2.5 Parallel Domain Decomposition and Communication Overlap</w:t>
      </w:r>
      <w:bookmarkEnd w:id="11"/>
    </w:p>
    <w:p w14:paraId="145BCA6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Domain partitioning is performed using ParMETIS (Karypis and Kumar, 1998) with physics-weighted edge costs. The edge weight between cells </w:t>
      </w:r>
      <m:oMath>
        <m:r>
          <m:rPr/>
          <w:rPr>
            <w:rFonts w:ascii="Times New Roman" w:hAnsi="Times New Roman" w:cs="Times New Roman"/>
            <w:color w:val="auto"/>
            <w:sz w:val="24"/>
            <w:szCs w:val="24"/>
          </w:rPr>
          <m:t>i</m:t>
        </m:r>
      </m:oMath>
      <w:r>
        <w:rPr>
          <w:rFonts w:ascii="Times New Roman" w:hAnsi="Times New Roman" w:cs="Times New Roman"/>
          <w:color w:val="auto"/>
          <w:sz w:val="24"/>
          <w:szCs w:val="24"/>
        </w:rPr>
        <w:t xml:space="preserve"> and </w:t>
      </w:r>
      <m:oMath>
        <m:r>
          <m:rPr/>
          <w:rPr>
            <w:rFonts w:ascii="Times New Roman" w:hAnsi="Times New Roman" w:cs="Times New Roman"/>
            <w:color w:val="auto"/>
            <w:sz w:val="24"/>
            <w:szCs w:val="24"/>
          </w:rPr>
          <m:t>j</m:t>
        </m:r>
      </m:oMath>
      <w:r>
        <w:rPr>
          <w:rFonts w:ascii="Times New Roman" w:hAnsi="Times New Roman" w:cs="Times New Roman"/>
          <w:color w:val="auto"/>
          <w:sz w:val="24"/>
          <w:szCs w:val="24"/>
        </w:rPr>
        <w:t xml:space="preserve"> is set to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w</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S</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o,j</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m:t>
        </m:r>
      </m:oMath>
      <w:r>
        <w:rPr>
          <w:rFonts w:ascii="Times New Roman" w:hAnsi="Times New Roman" w:cs="Times New Roman"/>
          <w:color w:val="auto"/>
          <w:sz w:val="24"/>
          <w:szCs w:val="24"/>
        </w:rPr>
        <w:t xml:space="preserve">, where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o,ij</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oil-phase transmissibility. This weighting accounts for both the intercell coupling strength and the expected computational cost heterogeneity arising from saturation-dependent phase behavior near displacement fronts. Load imbalance is defined as the relative difference between the maximum and average number of cells per rank.</w:t>
      </w:r>
    </w:p>
    <w:p w14:paraId="05AD344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Persistent communication handles (</w:t>
      </w:r>
      <w:r>
        <w:rPr>
          <w:rStyle w:val="35"/>
          <w:rFonts w:ascii="Times New Roman" w:hAnsi="Times New Roman" w:cs="Times New Roman"/>
          <w:color w:val="auto"/>
          <w:sz w:val="24"/>
          <w:szCs w:val="24"/>
        </w:rPr>
        <w:t>MPI_Send_init</w:t>
      </w:r>
      <w:r>
        <w:rPr>
          <w:rFonts w:ascii="Times New Roman" w:hAnsi="Times New Roman" w:cs="Times New Roman"/>
          <w:color w:val="auto"/>
          <w:sz w:val="24"/>
          <w:szCs w:val="24"/>
        </w:rPr>
        <w:t xml:space="preserve"> / </w:t>
      </w:r>
      <w:r>
        <w:rPr>
          <w:rStyle w:val="35"/>
          <w:rFonts w:ascii="Times New Roman" w:hAnsi="Times New Roman" w:cs="Times New Roman"/>
          <w:color w:val="auto"/>
          <w:sz w:val="24"/>
          <w:szCs w:val="24"/>
        </w:rPr>
        <w:t>MPI_Recv_init</w:t>
      </w:r>
      <w:r>
        <w:rPr>
          <w:rFonts w:ascii="Times New Roman" w:hAnsi="Times New Roman" w:cs="Times New Roman"/>
          <w:color w:val="auto"/>
          <w:sz w:val="24"/>
          <w:szCs w:val="24"/>
        </w:rPr>
        <w:t xml:space="preserve">) are instantiated once at simulation initialization and reused across all Newton iterations and timesteps. At the start of each Newton iteration, communication is initiated via </w:t>
      </w:r>
      <w:r>
        <w:rPr>
          <w:rStyle w:val="35"/>
          <w:rFonts w:ascii="Times New Roman" w:hAnsi="Times New Roman" w:cs="Times New Roman"/>
          <w:color w:val="auto"/>
          <w:sz w:val="24"/>
          <w:szCs w:val="24"/>
        </w:rPr>
        <w:t>MPI_Startall</w:t>
      </w:r>
      <w:r>
        <w:rPr>
          <w:rFonts w:ascii="Times New Roman" w:hAnsi="Times New Roman" w:cs="Times New Roman"/>
          <w:color w:val="auto"/>
          <w:sz w:val="24"/>
          <w:szCs w:val="24"/>
        </w:rPr>
        <w:t xml:space="preserve">. Interior-cell Jacobian assembly proceeds during data transfer;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is invoked only prior to boundary-cell flux evaluation. The effectiveness of computation–communication overlap is assessed through the overlap efficiency:</w:t>
      </w:r>
    </w:p>
    <w:p w14:paraId="7E612F87">
      <w:pPr>
        <w:pStyle w:val="3"/>
        <w:spacing w:before="0" w:after="120"/>
        <w:ind w:firstLine="480" w:firstLineChars="200"/>
        <w:jc w:val="both"/>
        <w:rPr>
          <w:color w:val="auto"/>
        </w:rPr>
      </w:pPr>
      <m:oMathPara>
        <m:oMathParaPr>
          <m:jc m:val="center"/>
        </m:oMathParaPr>
        <m:oMath>
          <m:r>
            <m:rPr/>
            <w:rPr>
              <w:color w:val="auto"/>
            </w:rPr>
            <m:t>η=</m:t>
          </m:r>
          <m:f>
            <m:fPr>
              <m:ctrlPr>
                <w:rPr>
                  <w:color w:val="auto"/>
                </w:rPr>
              </m:ctrlPr>
            </m:fPr>
            <m:num>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r>
                <m:rPr/>
                <w:rPr>
                  <w:color w:val="auto"/>
                </w:rPr>
                <m:t>−</m:t>
              </m:r>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ctrlPr>
                <w:rPr>
                  <w:color w:val="auto"/>
                </w:rPr>
              </m:ctrlPr>
            </m:num>
            <m:den>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ctrlPr>
                <w:rPr>
                  <w:color w:val="auto"/>
                </w:rPr>
              </m:ctrlPr>
            </m:den>
          </m:f>
          <m:r>
            <m:rPr/>
            <w:rPr>
              <w:color w:val="auto"/>
            </w:rPr>
            <m:t>=1−</m:t>
          </m:r>
          <m:f>
            <m:fPr>
              <m:ctrlPr>
                <w:rPr>
                  <w:color w:val="auto"/>
                </w:rPr>
              </m:ctrlPr>
            </m:fPr>
            <m:num>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ctrlPr>
                <w:rPr>
                  <w:color w:val="auto"/>
                </w:rPr>
              </m:ctrlPr>
            </m:num>
            <m:den>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ctrlPr>
                <w:rPr>
                  <w:color w:val="auto"/>
                </w:rPr>
              </m:ctrlPr>
            </m:den>
          </m:f>
          <m:r>
            <m:rPr/>
            <w:rPr>
              <w:color w:val="auto"/>
            </w:rPr>
            <m:t>  (15)</m:t>
          </m:r>
        </m:oMath>
      </m:oMathPara>
    </w:p>
    <w:p w14:paraId="561CB6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where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comm</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total wall-clock time from </w:t>
      </w:r>
      <w:r>
        <w:rPr>
          <w:rStyle w:val="35"/>
          <w:rFonts w:ascii="Times New Roman" w:hAnsi="Times New Roman" w:cs="Times New Roman"/>
          <w:color w:val="auto"/>
          <w:sz w:val="24"/>
          <w:szCs w:val="24"/>
        </w:rPr>
        <w:t>MPI_Startall</w:t>
      </w:r>
      <w:r>
        <w:rPr>
          <w:rFonts w:ascii="Times New Roman" w:hAnsi="Times New Roman" w:cs="Times New Roman"/>
          <w:color w:val="auto"/>
          <w:sz w:val="24"/>
          <w:szCs w:val="24"/>
        </w:rPr>
        <w:t xml:space="preserve"> to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completion, and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t</m:t>
            </m:r>
            <m:ctrlPr>
              <w:rPr>
                <w:rFonts w:ascii="Times New Roman" w:hAnsi="Times New Roman" w:cs="Times New Roman"/>
                <w:color w:val="auto"/>
                <w:sz w:val="24"/>
                <w:szCs w:val="24"/>
              </w:rPr>
            </m:ctrlPr>
          </m:e>
          <m:sub>
            <m:r>
              <m:rPr>
                <m:nor/>
                <m:sty m:val="p"/>
              </m:rPr>
              <w:rPr>
                <w:rFonts w:ascii="Times New Roman" w:hAnsi="Times New Roman" w:cs="Times New Roman"/>
                <w:b w:val="0"/>
                <w:i w:val="0"/>
                <w:color w:val="auto"/>
                <w:sz w:val="24"/>
                <w:szCs w:val="24"/>
              </w:rPr>
              <m:t>wait</m:t>
            </m:r>
            <m:ctrlPr>
              <w:rPr>
                <w:rFonts w:ascii="Times New Roman" w:hAnsi="Times New Roman" w:cs="Times New Roman"/>
                <w:color w:val="auto"/>
                <w:sz w:val="24"/>
                <w:szCs w:val="24"/>
              </w:rPr>
            </m:ctrlPr>
          </m:sub>
        </m:sSub>
      </m:oMath>
      <w:r>
        <w:rPr>
          <w:rFonts w:ascii="Times New Roman" w:hAnsi="Times New Roman" w:cs="Times New Roman"/>
          <w:color w:val="auto"/>
          <w:sz w:val="24"/>
          <w:szCs w:val="24"/>
        </w:rPr>
        <w:t xml:space="preserve"> is the residual time spent inside </w:t>
      </w:r>
      <w:r>
        <w:rPr>
          <w:rStyle w:val="35"/>
          <w:rFonts w:ascii="Times New Roman" w:hAnsi="Times New Roman" w:cs="Times New Roman"/>
          <w:color w:val="auto"/>
          <w:sz w:val="24"/>
          <w:szCs w:val="24"/>
        </w:rPr>
        <w:t>MPI_Waitall</w:t>
      </w:r>
      <w:r>
        <w:rPr>
          <w:rFonts w:ascii="Times New Roman" w:hAnsi="Times New Roman" w:cs="Times New Roman"/>
          <w:color w:val="auto"/>
          <w:sz w:val="24"/>
          <w:szCs w:val="24"/>
        </w:rPr>
        <w:t xml:space="preserve"> after all interior-cell computations have completed. An </w:t>
      </w:r>
      <m:oMath>
        <m:r>
          <m:rPr/>
          <w:rPr>
            <w:rFonts w:ascii="Times New Roman" w:hAnsi="Times New Roman" w:cs="Times New Roman"/>
            <w:color w:val="auto"/>
            <w:sz w:val="24"/>
            <w:szCs w:val="24"/>
          </w:rPr>
          <m:t>η</m:t>
        </m:r>
      </m:oMath>
      <w:r>
        <w:rPr>
          <w:rFonts w:ascii="Times New Roman" w:hAnsi="Times New Roman" w:cs="Times New Roman"/>
          <w:color w:val="auto"/>
          <w:sz w:val="24"/>
          <w:szCs w:val="24"/>
        </w:rPr>
        <w:t xml:space="preserve"> value of 1.0 corresponds to perfect overlap (communication entirely masked by computation); </w:t>
      </w:r>
      <m:oMath>
        <m:r>
          <m:rPr/>
          <w:rPr>
            <w:rFonts w:ascii="Times New Roman" w:hAnsi="Times New Roman" w:cs="Times New Roman"/>
            <w:color w:val="auto"/>
            <w:sz w:val="24"/>
            <w:szCs w:val="24"/>
          </w:rPr>
          <m:t>η=0</m:t>
        </m:r>
      </m:oMath>
      <w:r>
        <w:rPr>
          <w:rFonts w:ascii="Times New Roman" w:hAnsi="Times New Roman" w:cs="Times New Roman"/>
          <w:color w:val="auto"/>
          <w:sz w:val="24"/>
          <w:szCs w:val="24"/>
        </w:rPr>
        <w:t xml:space="preserve"> corresponds to no overlap (all communication exposed on the critical path). For the base configuration on 512 ranks, the measured value is </w:t>
      </w:r>
      <m:oMath>
        <m:r>
          <m:rPr/>
          <w:rPr>
            <w:rFonts w:ascii="Times New Roman" w:hAnsi="Times New Roman" w:cs="Times New Roman"/>
            <w:color w:val="auto"/>
            <w:sz w:val="24"/>
            <w:szCs w:val="24"/>
          </w:rPr>
          <m:t>η=0.73</m:t>
        </m:r>
      </m:oMath>
      <w:r>
        <w:rPr>
          <w:rFonts w:ascii="Times New Roman" w:hAnsi="Times New Roman" w:cs="Times New Roman"/>
          <w:color w:val="auto"/>
          <w:sz w:val="24"/>
          <w:szCs w:val="24"/>
        </w:rPr>
        <w:t>, indicating that 73% of communication latency is masked by concurrent interior-cell work. Since CPR–SA-AMG substantially reduces the global Krylov iteration count, a larger fraction of local work is available to mask communication latency.</w:t>
      </w:r>
    </w:p>
    <w:p w14:paraId="43237A6F">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5: Solver and parallel configuration parameters.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92"/>
        <w:gridCol w:w="5364"/>
      </w:tblGrid>
      <w:tr w14:paraId="76A97B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1D576E6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5364" w:type="dxa"/>
            <w:tcBorders>
              <w:bottom w:val="single" w:color="auto" w:sz="0" w:space="0"/>
            </w:tcBorders>
            <w:vAlign w:val="center"/>
          </w:tcPr>
          <w:p w14:paraId="2DCC728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Value</w:t>
            </w:r>
          </w:p>
        </w:tc>
      </w:tr>
      <w:tr w14:paraId="1231B52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934539B">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Newton tolerance (nonlinear residual </w:t>
            </w:r>
            <m:oMath>
              <m:sSub>
                <m:sSubPr>
                  <m:ctrlPr>
                    <w:rPr>
                      <w:rFonts w:ascii="Times New Roman" w:hAnsi="Times New Roman" w:eastAsia="Cambria"/>
                      <w:color w:val="auto"/>
                      <w:sz w:val="20"/>
                    </w:rPr>
                  </m:ctrlPr>
                </m:sSubPr>
                <m:e>
                  <m:r>
                    <m:rPr/>
                    <w:rPr>
                      <w:rFonts w:ascii="Times New Roman" w:hAnsi="Times New Roman" w:eastAsia="Cambria"/>
                      <w:color w:val="auto"/>
                      <w:sz w:val="20"/>
                    </w:rPr>
                    <m:t>ℓ</m:t>
                  </m:r>
                  <m:ctrlPr>
                    <w:rPr>
                      <w:rFonts w:ascii="Times New Roman" w:hAnsi="Times New Roman" w:eastAsia="Cambria"/>
                      <w:color w:val="auto"/>
                      <w:sz w:val="20"/>
                    </w:rPr>
                  </m:ctrlPr>
                </m:e>
                <m:sub>
                  <m:r>
                    <m:rPr/>
                    <w:rPr>
                      <w:rFonts w:ascii="Times New Roman" w:hAnsi="Times New Roman" w:eastAsia="Cambria"/>
                      <w:color w:val="auto"/>
                      <w:sz w:val="20"/>
                    </w:rPr>
                    <m:t>2</m:t>
                  </m:r>
                  <m:ctrlPr>
                    <w:rPr>
                      <w:rFonts w:ascii="Times New Roman" w:hAnsi="Times New Roman" w:eastAsia="Cambria"/>
                      <w:color w:val="auto"/>
                      <w:sz w:val="20"/>
                    </w:rPr>
                  </m:ctrlPr>
                </m:sub>
              </m:sSub>
            </m:oMath>
            <w:r>
              <w:rPr>
                <w:rFonts w:ascii="Times New Roman" w:hAnsi="Times New Roman" w:eastAsia="Cambria" w:cs="Times New Roman"/>
                <w:color w:val="auto"/>
                <w:sz w:val="20"/>
                <w:szCs w:val="20"/>
              </w:rPr>
              <w:t xml:space="preserve"> norm)</w:t>
            </w:r>
          </w:p>
        </w:tc>
        <w:tc>
          <w:tcPr>
            <w:tcW w:w="5364" w:type="dxa"/>
            <w:vAlign w:val="center"/>
          </w:tcPr>
          <w:p w14:paraId="08062A35">
            <w:pPr>
              <w:pStyle w:val="24"/>
              <w:snapToGrid w:val="0"/>
              <w:spacing w:before="0" w:after="0"/>
              <w:ind w:left="0" w:leftChars="0" w:right="0" w:rightChars="0" w:firstLineChars="0"/>
              <w:jc w:val="left"/>
              <w:rPr>
                <w:rFonts w:ascii="Times New Roman" w:hAnsi="Times New Roman" w:eastAsia="Cambria"/>
                <w:color w:val="auto"/>
                <w:sz w:val="20"/>
              </w:rPr>
            </w:pPr>
            <m:oMathPara>
              <m:oMath>
                <m:r>
                  <m:rPr/>
                  <w:rPr>
                    <w:rFonts w:ascii="Times New Roman" w:hAnsi="Times New Roman" w:eastAsia="Cambria"/>
                    <w:color w:val="auto"/>
                    <w:sz w:val="20"/>
                  </w:rPr>
                  <m:t>1×</m:t>
                </m:r>
                <m:sSup>
                  <m:sSupPr>
                    <m:ctrlPr>
                      <w:rPr>
                        <w:rFonts w:ascii="Times New Roman" w:hAnsi="Times New Roman" w:eastAsia="Cambria"/>
                        <w:color w:val="auto"/>
                        <w:sz w:val="20"/>
                      </w:rPr>
                    </m:ctrlPr>
                  </m:sSupPr>
                  <m:e>
                    <m:r>
                      <m:rPr/>
                      <w:rPr>
                        <w:rFonts w:ascii="Times New Roman" w:hAnsi="Times New Roman" w:eastAsia="Cambria"/>
                        <w:color w:val="auto"/>
                        <w:sz w:val="20"/>
                      </w:rPr>
                      <m:t>10</m:t>
                    </m:r>
                    <m:ctrlPr>
                      <w:rPr>
                        <w:rFonts w:ascii="Times New Roman" w:hAnsi="Times New Roman" w:eastAsia="Cambria"/>
                        <w:color w:val="auto"/>
                        <w:sz w:val="20"/>
                      </w:rPr>
                    </m:ctrlPr>
                  </m:e>
                  <m:sup>
                    <m:r>
                      <m:rPr/>
                      <w:rPr>
                        <w:rFonts w:ascii="Times New Roman" w:hAnsi="Times New Roman" w:eastAsia="Cambria"/>
                        <w:color w:val="auto"/>
                        <w:sz w:val="20"/>
                      </w:rPr>
                      <m:t>−4</m:t>
                    </m:r>
                    <m:ctrlPr>
                      <w:rPr>
                        <w:rFonts w:ascii="Times New Roman" w:hAnsi="Times New Roman" w:eastAsia="Cambria"/>
                        <w:color w:val="auto"/>
                        <w:sz w:val="20"/>
                      </w:rPr>
                    </m:ctrlPr>
                  </m:sup>
                </m:sSup>
              </m:oMath>
            </m:oMathPara>
          </w:p>
        </w:tc>
      </w:tr>
      <w:tr w14:paraId="7F07825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C115914">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GMRES restart dimension</w:t>
            </w:r>
          </w:p>
        </w:tc>
        <w:tc>
          <w:tcPr>
            <w:tcW w:w="5364" w:type="dxa"/>
            <w:vAlign w:val="center"/>
          </w:tcPr>
          <w:p w14:paraId="21989BC5">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30</w:t>
            </w:r>
          </w:p>
        </w:tc>
      </w:tr>
      <w:tr w14:paraId="4DAD775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A116A1D">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GMRES convergence tolerance (relative residual)</w:t>
            </w:r>
          </w:p>
        </w:tc>
        <w:tc>
          <w:tcPr>
            <w:tcW w:w="5364" w:type="dxa"/>
            <w:vAlign w:val="center"/>
          </w:tcPr>
          <w:p w14:paraId="1C570D5C">
            <w:pPr>
              <w:pStyle w:val="24"/>
              <w:snapToGrid w:val="0"/>
              <w:spacing w:before="0" w:after="0"/>
              <w:ind w:left="0" w:leftChars="0" w:right="0" w:rightChars="0" w:firstLineChars="0"/>
              <w:jc w:val="left"/>
              <w:rPr>
                <w:rFonts w:ascii="Times New Roman" w:hAnsi="Times New Roman" w:eastAsia="Cambria"/>
                <w:color w:val="auto"/>
                <w:sz w:val="20"/>
              </w:rPr>
            </w:pPr>
            <m:oMathPara>
              <m:oMath>
                <m:r>
                  <m:rPr/>
                  <w:rPr>
                    <w:rFonts w:ascii="Times New Roman" w:hAnsi="Times New Roman" w:eastAsia="Cambria"/>
                    <w:color w:val="auto"/>
                    <w:sz w:val="20"/>
                  </w:rPr>
                  <m:t>1×</m:t>
                </m:r>
                <m:sSup>
                  <m:sSupPr>
                    <m:ctrlPr>
                      <w:rPr>
                        <w:rFonts w:ascii="Times New Roman" w:hAnsi="Times New Roman" w:eastAsia="Cambria"/>
                        <w:color w:val="auto"/>
                        <w:sz w:val="20"/>
                      </w:rPr>
                    </m:ctrlPr>
                  </m:sSupPr>
                  <m:e>
                    <m:r>
                      <m:rPr/>
                      <w:rPr>
                        <w:rFonts w:ascii="Times New Roman" w:hAnsi="Times New Roman" w:eastAsia="Cambria"/>
                        <w:color w:val="auto"/>
                        <w:sz w:val="20"/>
                      </w:rPr>
                      <m:t>10</m:t>
                    </m:r>
                    <m:ctrlPr>
                      <w:rPr>
                        <w:rFonts w:ascii="Times New Roman" w:hAnsi="Times New Roman" w:eastAsia="Cambria"/>
                        <w:color w:val="auto"/>
                        <w:sz w:val="20"/>
                      </w:rPr>
                    </m:ctrlPr>
                  </m:e>
                  <m:sup>
                    <m:r>
                      <m:rPr/>
                      <w:rPr>
                        <w:rFonts w:ascii="Times New Roman" w:hAnsi="Times New Roman" w:eastAsia="Cambria"/>
                        <w:color w:val="auto"/>
                        <w:sz w:val="20"/>
                      </w:rPr>
                      <m:t>−6</m:t>
                    </m:r>
                    <m:ctrlPr>
                      <w:rPr>
                        <w:rFonts w:ascii="Times New Roman" w:hAnsi="Times New Roman" w:eastAsia="Cambria"/>
                        <w:color w:val="auto"/>
                        <w:sz w:val="20"/>
                      </w:rPr>
                    </m:ctrlPr>
                  </m:sup>
                </m:sSup>
              </m:oMath>
            </m:oMathPara>
          </w:p>
        </w:tc>
      </w:tr>
      <w:tr w14:paraId="1575B6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AE62762">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SA-AMG strong-coupling threshold </w:t>
            </w:r>
            <m:oMath>
              <m:sSub>
                <m:sSubPr>
                  <m:ctrlPr>
                    <w:rPr>
                      <w:rFonts w:ascii="Times New Roman" w:hAnsi="Times New Roman" w:eastAsia="Cambria"/>
                      <w:color w:val="auto"/>
                      <w:sz w:val="20"/>
                    </w:rPr>
                  </m:ctrlPr>
                </m:sSubPr>
                <m:e>
                  <m:r>
                    <m:rPr/>
                    <w:rPr>
                      <w:rFonts w:ascii="Times New Roman" w:hAnsi="Times New Roman" w:eastAsia="Cambria"/>
                      <w:color w:val="auto"/>
                      <w:sz w:val="20"/>
                    </w:rPr>
                    <m:t>ε</m:t>
                  </m:r>
                  <m:ctrlPr>
                    <w:rPr>
                      <w:rFonts w:ascii="Times New Roman" w:hAnsi="Times New Roman" w:eastAsia="Cambria"/>
                      <w:color w:val="auto"/>
                      <w:sz w:val="20"/>
                    </w:rPr>
                  </m:ctrlPr>
                </m:e>
                <m:sub>
                  <m:r>
                    <m:rPr>
                      <m:nor/>
                      <m:sty m:val="p"/>
                    </m:rPr>
                    <w:rPr>
                      <w:rFonts w:ascii="Times New Roman" w:hAnsi="Times New Roman" w:eastAsia="Cambria"/>
                      <w:b w:val="0"/>
                      <w:i w:val="0"/>
                      <w:color w:val="auto"/>
                      <w:sz w:val="20"/>
                    </w:rPr>
                    <m:t>str</m:t>
                  </m:r>
                  <m:ctrlPr>
                    <w:rPr>
                      <w:rFonts w:ascii="Times New Roman" w:hAnsi="Times New Roman" w:eastAsia="Cambria"/>
                      <w:color w:val="auto"/>
                      <w:sz w:val="20"/>
                    </w:rPr>
                  </m:ctrlPr>
                </m:sub>
              </m:sSub>
            </m:oMath>
          </w:p>
        </w:tc>
        <w:tc>
          <w:tcPr>
            <w:tcW w:w="5364" w:type="dxa"/>
            <w:vAlign w:val="center"/>
          </w:tcPr>
          <w:p w14:paraId="1F6787E5">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0.25</w:t>
            </w:r>
          </w:p>
        </w:tc>
      </w:tr>
      <w:tr w14:paraId="1AA114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38685D6">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 xml:space="preserve">SA-AMG damping parameter </w:t>
            </w:r>
            <m:oMath>
              <m:r>
                <m:rPr/>
                <w:rPr>
                  <w:rFonts w:ascii="Times New Roman" w:hAnsi="Times New Roman" w:eastAsia="Cambria"/>
                  <w:color w:val="auto"/>
                  <w:sz w:val="20"/>
                </w:rPr>
                <m:t>ω</m:t>
              </m:r>
            </m:oMath>
          </w:p>
        </w:tc>
        <w:tc>
          <w:tcPr>
            <w:tcW w:w="5364" w:type="dxa"/>
            <w:vAlign w:val="center"/>
          </w:tcPr>
          <w:p w14:paraId="203C1D11">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0.7</w:t>
            </w:r>
          </w:p>
        </w:tc>
      </w:tr>
      <w:tr w14:paraId="6673F5C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E8DA2F7">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SA-AMG max coarse-grid size</w:t>
            </w:r>
          </w:p>
        </w:tc>
        <w:tc>
          <w:tcPr>
            <w:tcW w:w="5364" w:type="dxa"/>
            <w:vAlign w:val="center"/>
          </w:tcPr>
          <w:p w14:paraId="0ABBB1F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500</w:t>
            </w:r>
          </w:p>
        </w:tc>
      </w:tr>
      <w:tr w14:paraId="2FA1588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7A1EDA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Block-ILU fill level</w:t>
            </w:r>
          </w:p>
        </w:tc>
        <w:tc>
          <w:tcPr>
            <w:tcW w:w="5364" w:type="dxa"/>
            <w:vAlign w:val="center"/>
          </w:tcPr>
          <w:p w14:paraId="3EF82F7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0</w:t>
            </w:r>
          </w:p>
        </w:tc>
      </w:tr>
      <w:tr w14:paraId="5BC793C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B21D499">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ParMETIS edge weight function</w:t>
            </w:r>
          </w:p>
        </w:tc>
        <w:tc>
          <w:tcPr>
            <w:tcW w:w="5364" w:type="dxa"/>
            <w:vAlign w:val="center"/>
          </w:tcPr>
          <w:p w14:paraId="0A7BF77D">
            <w:pPr>
              <w:pStyle w:val="24"/>
              <w:snapToGrid w:val="0"/>
              <w:spacing w:before="0" w:after="0"/>
              <w:ind w:left="0" w:leftChars="0" w:right="0" w:rightChars="0" w:firstLineChars="0"/>
              <w:jc w:val="left"/>
              <w:rPr>
                <w:rFonts w:ascii="Times New Roman" w:hAnsi="Times New Roman" w:eastAsia="Cambria"/>
                <w:color w:val="auto"/>
                <w:sz w:val="20"/>
              </w:rPr>
            </w:pPr>
            <m:oMathPara>
              <m:oMath>
                <m:sSub>
                  <m:sSubPr>
                    <m:ctrlPr>
                      <w:rPr>
                        <w:rFonts w:ascii="Times New Roman" w:hAnsi="Times New Roman" w:eastAsia="Cambria"/>
                        <w:color w:val="auto"/>
                        <w:sz w:val="20"/>
                      </w:rPr>
                    </m:ctrlPr>
                  </m:sSubPr>
                  <m:e>
                    <m:r>
                      <m:rPr/>
                      <w:rPr>
                        <w:rFonts w:ascii="Times New Roman" w:hAnsi="Times New Roman" w:eastAsia="Cambria"/>
                        <w:color w:val="auto"/>
                        <w:sz w:val="20"/>
                      </w:rPr>
                      <m:t>T</m:t>
                    </m:r>
                    <m:ctrlPr>
                      <w:rPr>
                        <w:rFonts w:ascii="Times New Roman" w:hAnsi="Times New Roman" w:eastAsia="Cambria"/>
                        <w:color w:val="auto"/>
                        <w:sz w:val="20"/>
                      </w:rPr>
                    </m:ctrlPr>
                  </m:e>
                  <m:sub>
                    <m:r>
                      <m:rPr/>
                      <w:rPr>
                        <w:rFonts w:ascii="Times New Roman" w:hAnsi="Times New Roman" w:eastAsia="Cambria"/>
                        <w:color w:val="auto"/>
                        <w:sz w:val="20"/>
                      </w:rPr>
                      <m:t>o,ij</m:t>
                    </m:r>
                    <m:ctrlPr>
                      <w:rPr>
                        <w:rFonts w:ascii="Times New Roman" w:hAnsi="Times New Roman" w:eastAsia="Cambria"/>
                        <w:color w:val="auto"/>
                        <w:sz w:val="20"/>
                      </w:rPr>
                    </m:ctrlPr>
                  </m:sub>
                </m:sSub>
                <m:r>
                  <m:rPr/>
                  <w:rPr>
                    <w:rFonts w:ascii="Times New Roman" w:hAnsi="Times New Roman" w:eastAsia="Cambria"/>
                    <w:color w:val="auto"/>
                    <w:sz w:val="20"/>
                  </w:rPr>
                  <m:t>⋅(1+Δ</m:t>
                </m:r>
                <m:sSub>
                  <m:sSubPr>
                    <m:ctrlPr>
                      <w:rPr>
                        <w:rFonts w:ascii="Times New Roman" w:hAnsi="Times New Roman" w:eastAsia="Cambria"/>
                        <w:color w:val="auto"/>
                        <w:sz w:val="20"/>
                      </w:rPr>
                    </m:ctrlPr>
                  </m:sSubPr>
                  <m:e>
                    <m:r>
                      <m:rPr/>
                      <w:rPr>
                        <w:rFonts w:ascii="Times New Roman" w:hAnsi="Times New Roman" w:eastAsia="Cambria"/>
                        <w:color w:val="auto"/>
                        <w:sz w:val="20"/>
                      </w:rPr>
                      <m:t>S</m:t>
                    </m:r>
                    <m:ctrlPr>
                      <w:rPr>
                        <w:rFonts w:ascii="Times New Roman" w:hAnsi="Times New Roman" w:eastAsia="Cambria"/>
                        <w:color w:val="auto"/>
                        <w:sz w:val="20"/>
                      </w:rPr>
                    </m:ctrlPr>
                  </m:e>
                  <m:sub>
                    <m:r>
                      <m:rPr/>
                      <w:rPr>
                        <w:rFonts w:ascii="Times New Roman" w:hAnsi="Times New Roman" w:eastAsia="Cambria"/>
                        <w:color w:val="auto"/>
                        <w:sz w:val="20"/>
                      </w:rPr>
                      <m:t>o,ij</m:t>
                    </m:r>
                    <m:ctrlPr>
                      <w:rPr>
                        <w:rFonts w:ascii="Times New Roman" w:hAnsi="Times New Roman" w:eastAsia="Cambria"/>
                        <w:color w:val="auto"/>
                        <w:sz w:val="20"/>
                      </w:rPr>
                    </m:ctrlPr>
                  </m:sub>
                </m:sSub>
                <m:r>
                  <m:rPr/>
                  <w:rPr>
                    <w:rFonts w:ascii="Times New Roman" w:hAnsi="Times New Roman" w:eastAsia="Cambria"/>
                    <w:color w:val="auto"/>
                    <w:sz w:val="20"/>
                  </w:rPr>
                  <m:t>)</m:t>
                </m:r>
              </m:oMath>
            </m:oMathPara>
          </w:p>
        </w:tc>
      </w:tr>
      <w:tr w14:paraId="1852E7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E4E45E3">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MPI protocol</w:t>
            </w:r>
          </w:p>
        </w:tc>
        <w:tc>
          <w:tcPr>
            <w:tcW w:w="5364" w:type="dxa"/>
            <w:vAlign w:val="center"/>
          </w:tcPr>
          <w:p w14:paraId="3D2A4B91">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Persistent non-blocking (</w:t>
            </w:r>
            <w:r>
              <w:rPr>
                <w:rStyle w:val="35"/>
                <w:rFonts w:ascii="Times New Roman" w:hAnsi="Times New Roman" w:eastAsia="Cambria" w:cs="Times New Roman"/>
                <w:color w:val="auto"/>
                <w:sz w:val="20"/>
                <w:szCs w:val="20"/>
              </w:rPr>
              <w:t>MPI_Send_init</w:t>
            </w:r>
            <w:r>
              <w:rPr>
                <w:rFonts w:ascii="Times New Roman" w:hAnsi="Times New Roman" w:eastAsia="Cambria" w:cs="Times New Roman"/>
                <w:color w:val="auto"/>
                <w:sz w:val="20"/>
                <w:szCs w:val="20"/>
              </w:rPr>
              <w:t>/</w:t>
            </w:r>
            <w:r>
              <w:rPr>
                <w:rStyle w:val="35"/>
                <w:rFonts w:ascii="Times New Roman" w:hAnsi="Times New Roman" w:eastAsia="Cambria" w:cs="Times New Roman"/>
                <w:color w:val="auto"/>
                <w:sz w:val="20"/>
                <w:szCs w:val="20"/>
              </w:rPr>
              <w:t>MPI_Recv_init</w:t>
            </w:r>
            <w:r>
              <w:rPr>
                <w:rFonts w:ascii="Times New Roman" w:hAnsi="Times New Roman" w:eastAsia="Cambria" w:cs="Times New Roman"/>
                <w:color w:val="auto"/>
                <w:sz w:val="20"/>
                <w:szCs w:val="20"/>
              </w:rPr>
              <w:t>)</w:t>
            </w:r>
          </w:p>
        </w:tc>
      </w:tr>
      <w:tr w14:paraId="590750D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492" w:type="dxa"/>
            <w:vAlign w:val="center"/>
          </w:tcPr>
          <w:p w14:paraId="1C8BB34F">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AMG hierarchy rebuild frequency</w:t>
            </w:r>
          </w:p>
        </w:tc>
        <w:tc>
          <w:tcPr>
            <w:tcW w:w="5364" w:type="dxa"/>
            <w:vAlign w:val="center"/>
          </w:tcPr>
          <w:p w14:paraId="72FD81B9">
            <w:pPr>
              <w:pStyle w:val="24"/>
              <w:snapToGrid w:val="0"/>
              <w:spacing w:before="0" w:after="0"/>
              <w:ind w:left="0" w:leftChars="0" w:right="0" w:rightChars="0" w:firstLineChars="0"/>
              <w:jc w:val="left"/>
              <w:rPr>
                <w:rFonts w:ascii="Times New Roman" w:hAnsi="Times New Roman" w:eastAsia="Cambria"/>
                <w:color w:val="auto"/>
                <w:sz w:val="20"/>
              </w:rPr>
            </w:pPr>
            <w:r>
              <w:rPr>
                <w:rFonts w:ascii="Times New Roman" w:hAnsi="Times New Roman" w:eastAsia="Cambria" w:cs="Times New Roman"/>
                <w:color w:val="auto"/>
                <w:sz w:val="20"/>
                <w:szCs w:val="20"/>
              </w:rPr>
              <w:t>Every 5 Newton iterations or on convergence degradation &gt; 20%</w:t>
            </w:r>
          </w:p>
        </w:tc>
      </w:tr>
    </w:tbl>
    <w:p w14:paraId="62785EC3">
      <w:pPr>
        <w:pStyle w:val="2"/>
        <w:spacing w:before="120" w:after="60" w:line="360" w:lineRule="auto"/>
        <w:jc w:val="left"/>
        <w:rPr>
          <w:rFonts w:ascii="Times New Roman" w:hAnsi="Times New Roman" w:cs="Times New Roman"/>
          <w:color w:val="auto"/>
          <w:sz w:val="28"/>
          <w:szCs w:val="28"/>
        </w:rPr>
      </w:pPr>
      <w:bookmarkStart w:id="12" w:name="results"/>
      <w:r>
        <w:rPr>
          <w:rFonts w:ascii="Times New Roman" w:hAnsi="Times New Roman" w:cs="Times New Roman"/>
          <w:b/>
          <w:bCs/>
          <w:color w:val="auto"/>
          <w:sz w:val="28"/>
          <w:szCs w:val="28"/>
        </w:rPr>
        <w:t>3 Results</w:t>
      </w:r>
      <w:bookmarkEnd w:id="12"/>
    </w:p>
    <w:p w14:paraId="77DDE0A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All simulations reported in this section were conducted on a computing cluster equipped with dual Intel Xeon Platinum 8358 processors (32 cores per socket, 64 cores per node, 2.6 GHz base frequency) and HDR InfiniBand interconnects (200 Gb/s). Each node is configured with 512 GB of DDR4-3200 memory. The code is compiled with Intel oneAPI 2023.1 and linked against Intel MPI 2021.8 and PETSc 3.19 (Mills et al., 2025). MPI process placement follows a compact-per-node policy with contiguous rank numbering within each NUMA domain (2 NUMA domains per socket, 4 per node); inter-node communication traverses a single InfiniBand hop within the HDR fat-tree fabric (1:1 oversubscription at the leaf level). A code profiling pass using Intel VTune Profiler 2023.1 on the 64-core baseline configuration independently measured the serial code fraction (i.e., the fraction of execution time spent in non-MPI, non-OpenMP code regions that do not benefit from parallelization) as f_VTune = 0.0018 +/- 0.0003 (95% CI, averaged over 10 Newton steps). This independently measured value is consistent with the Amdahl-fit serial fraction f = 0.002 +/- 0.0004 reported in Section 3.5, confirming that the fitted value is not an artifact of the curve-fitting procedure. The reservoir configuration is a five-well shale-oil pad featuring 100 hydraulic-fracture stages with 20 stages per well. Key reservoir and completion parameters are listed in Table 6.</w:t>
      </w:r>
    </w:p>
    <w:p w14:paraId="6DFAEE2C">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6: Reservoir and completion parameters for the base case.</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04"/>
        <w:gridCol w:w="1489"/>
        <w:gridCol w:w="1458"/>
      </w:tblGrid>
      <w:tr w14:paraId="35C0D8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7EBBC83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0" w:type="auto"/>
            <w:tcBorders>
              <w:bottom w:val="single" w:color="auto" w:sz="0" w:space="0"/>
            </w:tcBorders>
            <w:vAlign w:val="center"/>
          </w:tcPr>
          <w:p w14:paraId="6461700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Value</w:t>
            </w:r>
          </w:p>
        </w:tc>
        <w:tc>
          <w:tcPr>
            <w:tcW w:w="1458" w:type="dxa"/>
            <w:tcBorders>
              <w:bottom w:val="single" w:color="auto" w:sz="0" w:space="0"/>
            </w:tcBorders>
            <w:vAlign w:val="center"/>
          </w:tcPr>
          <w:p w14:paraId="3F6F585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w:t>
            </w:r>
          </w:p>
        </w:tc>
      </w:tr>
      <w:tr w14:paraId="2F1EECC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59C184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0" w:type="auto"/>
            <w:vAlign w:val="center"/>
          </w:tcPr>
          <w:p w14:paraId="7FF1A8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w:t>
            </w:r>
          </w:p>
        </w:tc>
        <w:tc>
          <w:tcPr>
            <w:tcW w:w="1458" w:type="dxa"/>
            <w:vAlign w:val="center"/>
          </w:tcPr>
          <w:p w14:paraId="60BB496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08E26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B66B68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porosity</w:t>
            </w:r>
          </w:p>
        </w:tc>
        <w:tc>
          <w:tcPr>
            <w:tcW w:w="0" w:type="auto"/>
            <w:vAlign w:val="center"/>
          </w:tcPr>
          <w:p w14:paraId="2D10D8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0.07</w:t>
            </w:r>
          </w:p>
        </w:tc>
        <w:tc>
          <w:tcPr>
            <w:tcW w:w="1458" w:type="dxa"/>
            <w:vAlign w:val="center"/>
          </w:tcPr>
          <w:p w14:paraId="478FBD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9D716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FDB9F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half-length</w:t>
            </w:r>
          </w:p>
        </w:tc>
        <w:tc>
          <w:tcPr>
            <w:tcW w:w="0" w:type="auto"/>
            <w:vAlign w:val="center"/>
          </w:tcPr>
          <w:p w14:paraId="59086A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150</w:t>
            </w:r>
          </w:p>
        </w:tc>
        <w:tc>
          <w:tcPr>
            <w:tcW w:w="1458" w:type="dxa"/>
            <w:vAlign w:val="center"/>
          </w:tcPr>
          <w:p w14:paraId="77C6888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0B73460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7B4345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conductivity</w:t>
            </w:r>
          </w:p>
        </w:tc>
        <w:tc>
          <w:tcPr>
            <w:tcW w:w="0" w:type="auto"/>
            <w:vAlign w:val="center"/>
          </w:tcPr>
          <w:p w14:paraId="0E9EAE7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1458" w:type="dxa"/>
            <w:vAlign w:val="center"/>
          </w:tcPr>
          <w:p w14:paraId="53B5A1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mD·m</w:t>
            </w:r>
          </w:p>
        </w:tc>
      </w:tr>
      <w:tr w14:paraId="342C6F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8A12A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aperture (hydraulic)</w:t>
            </w:r>
          </w:p>
        </w:tc>
        <w:tc>
          <w:tcPr>
            <w:tcW w:w="0" w:type="auto"/>
            <w:vAlign w:val="center"/>
          </w:tcPr>
          <w:p w14:paraId="1E2D90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w:t>
            </w:r>
          </w:p>
        </w:tc>
        <w:tc>
          <w:tcPr>
            <w:tcW w:w="1458" w:type="dxa"/>
            <w:vAlign w:val="center"/>
          </w:tcPr>
          <w:p w14:paraId="29FEB8D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mm</w:t>
            </w:r>
          </w:p>
        </w:tc>
      </w:tr>
      <w:tr w14:paraId="0E7F16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8F6F4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permeability (hydraulic, internal)</w:t>
            </w:r>
          </w:p>
        </w:tc>
        <w:tc>
          <w:tcPr>
            <w:tcW w:w="0" w:type="auto"/>
            <w:vAlign w:val="center"/>
          </w:tcPr>
          <w:p w14:paraId="709F6BD5">
            <w:pPr>
              <w:pStyle w:val="24"/>
              <w:snapToGrid w:val="0"/>
              <w:spacing w:before="0" w:after="0"/>
              <w:ind w:left="0" w:leftChars="0" w:right="0" w:rightChars="0" w:firstLineChars="0"/>
              <w:jc w:val="left"/>
              <w:rPr>
                <w:color w:val="auto"/>
              </w:rPr>
            </w:pPr>
            <m:oMathPara>
              <m:oMath>
                <m:r>
                  <m:rPr/>
                  <w:rPr>
                    <w:color w:val="auto"/>
                  </w:rPr>
                  <m:t>1.67×</m:t>
                </m:r>
                <m:sSup>
                  <m:sSupPr>
                    <m:ctrlPr>
                      <w:rPr>
                        <w:color w:val="auto"/>
                      </w:rPr>
                    </m:ctrlPr>
                  </m:sSupPr>
                  <m:e>
                    <m:r>
                      <m:rPr/>
                      <w:rPr>
                        <w:color w:val="auto"/>
                      </w:rPr>
                      <m:t>10</m:t>
                    </m:r>
                    <m:ctrlPr>
                      <w:rPr>
                        <w:color w:val="auto"/>
                      </w:rPr>
                    </m:ctrlPr>
                  </m:e>
                  <m:sup>
                    <m:r>
                      <m:rPr/>
                      <w:rPr>
                        <w:color w:val="auto"/>
                      </w:rPr>
                      <m:t>5</m:t>
                    </m:r>
                    <m:ctrlPr>
                      <w:rPr>
                        <w:color w:val="auto"/>
                      </w:rPr>
                    </m:ctrlPr>
                  </m:sup>
                </m:sSup>
              </m:oMath>
            </m:oMathPara>
          </w:p>
        </w:tc>
        <w:tc>
          <w:tcPr>
            <w:tcW w:w="1458" w:type="dxa"/>
            <w:vAlign w:val="center"/>
          </w:tcPr>
          <w:p w14:paraId="3CCFFD5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0DCD14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17E63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reservoir pressure</w:t>
            </w:r>
          </w:p>
        </w:tc>
        <w:tc>
          <w:tcPr>
            <w:tcW w:w="0" w:type="auto"/>
            <w:vAlign w:val="center"/>
          </w:tcPr>
          <w:p w14:paraId="20179E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58" w:type="dxa"/>
            <w:vAlign w:val="center"/>
          </w:tcPr>
          <w:p w14:paraId="5A36EE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513551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75031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Bubble-point pressure</w:t>
            </w:r>
          </w:p>
        </w:tc>
        <w:tc>
          <w:tcPr>
            <w:tcW w:w="0" w:type="auto"/>
            <w:vAlign w:val="center"/>
          </w:tcPr>
          <w:p w14:paraId="4283E1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w:t>
            </w:r>
          </w:p>
        </w:tc>
        <w:tc>
          <w:tcPr>
            <w:tcW w:w="1458" w:type="dxa"/>
            <w:vAlign w:val="center"/>
          </w:tcPr>
          <w:p w14:paraId="65E275E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7D6143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0D17FF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oil saturation</w:t>
            </w:r>
          </w:p>
        </w:tc>
        <w:tc>
          <w:tcPr>
            <w:tcW w:w="0" w:type="auto"/>
            <w:vAlign w:val="center"/>
          </w:tcPr>
          <w:p w14:paraId="0169F0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0.65</w:t>
            </w:r>
          </w:p>
        </w:tc>
        <w:tc>
          <w:tcPr>
            <w:tcW w:w="1458" w:type="dxa"/>
            <w:vAlign w:val="center"/>
          </w:tcPr>
          <w:p w14:paraId="1812CC1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767F34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C97E3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Initial water saturation</w:t>
            </w:r>
          </w:p>
        </w:tc>
        <w:tc>
          <w:tcPr>
            <w:tcW w:w="0" w:type="auto"/>
            <w:vAlign w:val="center"/>
          </w:tcPr>
          <w:p w14:paraId="1ECFBF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458" w:type="dxa"/>
            <w:vAlign w:val="center"/>
          </w:tcPr>
          <w:p w14:paraId="1CAA358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4C12F3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678D0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 spacing</w:t>
            </w:r>
          </w:p>
        </w:tc>
        <w:tc>
          <w:tcPr>
            <w:tcW w:w="0" w:type="auto"/>
            <w:vAlign w:val="center"/>
          </w:tcPr>
          <w:p w14:paraId="537908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60</w:t>
            </w:r>
          </w:p>
        </w:tc>
        <w:tc>
          <w:tcPr>
            <w:tcW w:w="1458" w:type="dxa"/>
            <w:vAlign w:val="center"/>
          </w:tcPr>
          <w:p w14:paraId="3F21B5E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1131428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B762A4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Well count</w:t>
            </w:r>
          </w:p>
        </w:tc>
        <w:tc>
          <w:tcPr>
            <w:tcW w:w="0" w:type="auto"/>
            <w:vAlign w:val="center"/>
          </w:tcPr>
          <w:p w14:paraId="378ABCD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1458" w:type="dxa"/>
            <w:vAlign w:val="center"/>
          </w:tcPr>
          <w:p w14:paraId="7C393E5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CD7C3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9DBE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Stages per well</w:t>
            </w:r>
          </w:p>
        </w:tc>
        <w:tc>
          <w:tcPr>
            <w:tcW w:w="0" w:type="auto"/>
            <w:vAlign w:val="center"/>
          </w:tcPr>
          <w:p w14:paraId="126256C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1458" w:type="dxa"/>
            <w:vAlign w:val="center"/>
          </w:tcPr>
          <w:p w14:paraId="541B25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D1CD8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AFD05C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Simulation period</w:t>
            </w:r>
          </w:p>
        </w:tc>
        <w:tc>
          <w:tcPr>
            <w:tcW w:w="0" w:type="auto"/>
            <w:vAlign w:val="center"/>
          </w:tcPr>
          <w:p w14:paraId="4931D2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1458" w:type="dxa"/>
            <w:vAlign w:val="center"/>
          </w:tcPr>
          <w:p w14:paraId="1BF581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years</w:t>
            </w:r>
          </w:p>
        </w:tc>
      </w:tr>
      <w:tr w14:paraId="68501A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D4EDE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0" w:type="auto"/>
            <w:vAlign w:val="center"/>
          </w:tcPr>
          <w:p w14:paraId="22262C3F">
            <w:pPr>
              <w:pStyle w:val="24"/>
              <w:snapToGrid w:val="0"/>
              <w:spacing w:before="0" w:after="0"/>
              <w:ind w:left="0" w:leftChars="0" w:right="0" w:rightChars="0" w:firstLineChars="0"/>
              <w:jc w:val="left"/>
              <w:rPr>
                <w:color w:val="auto"/>
              </w:rPr>
            </w:pPr>
            <m:oMathPara>
              <m:oMath>
                <m:r>
                  <m:rPr/>
                  <w:rPr>
                    <w:color w:val="auto"/>
                  </w:rPr>
                  <m:t>5×</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1458" w:type="dxa"/>
            <w:vAlign w:val="center"/>
          </w:tcPr>
          <w:p w14:paraId="2686D8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22BC9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391C7F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Oil viscosity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0" w:type="auto"/>
            <w:vAlign w:val="center"/>
          </w:tcPr>
          <w:p w14:paraId="51D9E4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458" w:type="dxa"/>
            <w:vAlign w:val="center"/>
          </w:tcPr>
          <w:p w14:paraId="0D06C3B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w:t>
            </w:r>
          </w:p>
        </w:tc>
      </w:tr>
      <w:tr w14:paraId="28F9515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01F51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Oil formation volume factor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0" w:type="auto"/>
            <w:vAlign w:val="center"/>
          </w:tcPr>
          <w:p w14:paraId="4B9414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1.35</w:t>
            </w:r>
          </w:p>
        </w:tc>
        <w:tc>
          <w:tcPr>
            <w:tcW w:w="1458" w:type="dxa"/>
            <w:vAlign w:val="center"/>
          </w:tcPr>
          <w:p w14:paraId="7552EE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m³/sm³</w:t>
            </w:r>
          </w:p>
        </w:tc>
      </w:tr>
      <w:tr w14:paraId="3C299E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4" w:type="dxa"/>
            <w:vAlign w:val="center"/>
          </w:tcPr>
          <w:p w14:paraId="69469A8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Solution GOR at </w:t>
            </w:r>
            <m:oMath>
              <m:sSub>
                <m:sSubPr>
                  <m:ctrlPr>
                    <w:rPr>
                      <w:color w:val="auto"/>
                    </w:rPr>
                  </m:ctrlPr>
                </m:sSubPr>
                <m:e>
                  <m:r>
                    <m:rPr/>
                    <w:rPr>
                      <w:color w:val="auto"/>
                    </w:rPr>
                    <m:t>p</m:t>
                  </m:r>
                  <m:ctrlPr>
                    <w:rPr>
                      <w:color w:val="auto"/>
                    </w:rPr>
                  </m:ctrlPr>
                </m:e>
                <m:sub>
                  <m:r>
                    <m:rPr/>
                    <w:rPr>
                      <w:color w:val="auto"/>
                    </w:rPr>
                    <m:t>b</m:t>
                  </m:r>
                  <m:ctrlPr>
                    <w:rPr>
                      <w:color w:val="auto"/>
                    </w:rPr>
                  </m:ctrlPr>
                </m:sub>
              </m:sSub>
            </m:oMath>
          </w:p>
        </w:tc>
        <w:tc>
          <w:tcPr>
            <w:tcW w:w="1489" w:type="dxa"/>
            <w:vAlign w:val="center"/>
          </w:tcPr>
          <w:p w14:paraId="02B409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120</w:t>
            </w:r>
          </w:p>
        </w:tc>
        <w:tc>
          <w:tcPr>
            <w:tcW w:w="1458" w:type="dxa"/>
            <w:vAlign w:val="center"/>
          </w:tcPr>
          <w:p w14:paraId="6AA5699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bl>
    <w:p w14:paraId="20D957F0">
      <w:pPr>
        <w:pStyle w:val="4"/>
        <w:spacing w:before="120" w:after="60" w:line="360" w:lineRule="auto"/>
        <w:jc w:val="left"/>
        <w:rPr>
          <w:rFonts w:ascii="Times New Roman" w:hAnsi="Times New Roman" w:cs="Times New Roman"/>
          <w:color w:val="auto"/>
          <w:sz w:val="24"/>
          <w:szCs w:val="24"/>
        </w:rPr>
      </w:pPr>
      <w:bookmarkStart w:id="13" w:name="single-phase-analytical-validation"/>
      <w:r>
        <w:rPr>
          <w:rFonts w:ascii="Times New Roman" w:hAnsi="Times New Roman" w:cs="Times New Roman"/>
          <w:b/>
          <w:bCs/>
          <w:color w:val="auto"/>
          <w:sz w:val="24"/>
          <w:szCs w:val="24"/>
        </w:rPr>
        <w:t>3.1 Single-Phase Analytical Validation</w:t>
      </w:r>
      <w:bookmarkEnd w:id="13"/>
    </w:p>
    <w:p w14:paraId="6D44F26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We start with a single-phase validation that strips away multiphase effects and tests the geometric discretization directly. The transient pressure diffusion solution is benchmarked against the analytical Ei-function line-source solution:</w:t>
      </w:r>
    </w:p>
    <w:p w14:paraId="18F3569E">
      <w:pPr>
        <w:pStyle w:val="3"/>
        <w:spacing w:before="0" w:after="120"/>
        <w:ind w:firstLine="480" w:firstLineChars="200"/>
        <w:jc w:val="both"/>
        <w:rPr>
          <w:color w:val="auto"/>
        </w:rPr>
      </w:pPr>
      <m:oMathPara>
        <m:oMathParaPr>
          <m:jc m:val="center"/>
        </m:oMathParaPr>
        <m:oMath>
          <m:r>
            <m:rPr/>
            <w:rPr>
              <w:color w:val="auto"/>
            </w:rPr>
            <m:t>p(r,t)=</m:t>
          </m:r>
          <m:sSub>
            <m:sSubPr>
              <m:ctrlPr>
                <w:rPr>
                  <w:color w:val="auto"/>
                </w:rPr>
              </m:ctrlPr>
            </m:sSubPr>
            <m:e>
              <m:r>
                <m:rPr/>
                <w:rPr>
                  <w:color w:val="auto"/>
                </w:rPr>
                <m:t>p</m:t>
              </m:r>
              <m:ctrlPr>
                <w:rPr>
                  <w:color w:val="auto"/>
                </w:rPr>
              </m:ctrlPr>
            </m:e>
            <m:sub>
              <m:r>
                <m:rPr/>
                <w:rPr>
                  <w:color w:val="auto"/>
                </w:rPr>
                <m:t>i</m:t>
              </m:r>
              <m:ctrlPr>
                <w:rPr>
                  <w:color w:val="auto"/>
                </w:rPr>
              </m:ctrlPr>
            </m:sub>
          </m:sSub>
          <m:r>
            <m:rPr/>
            <w:rPr>
              <w:color w:val="auto"/>
            </w:rPr>
            <m:t>+</m:t>
          </m:r>
          <m:f>
            <m:fPr>
              <m:ctrlPr>
                <w:rPr>
                  <w:color w:val="auto"/>
                </w:rPr>
              </m:ctrlPr>
            </m:fPr>
            <m:num>
              <m:r>
                <m:rPr/>
                <w:rPr>
                  <w:color w:val="auto"/>
                </w:rPr>
                <m:t>qμ</m:t>
              </m:r>
              <m:ctrlPr>
                <w:rPr>
                  <w:color w:val="auto"/>
                </w:rPr>
              </m:ctrlPr>
            </m:num>
            <m:den>
              <m:r>
                <m:rPr/>
                <w:rPr>
                  <w:color w:val="auto"/>
                </w:rPr>
                <m:t>4πKh</m:t>
              </m:r>
              <m:ctrlPr>
                <w:rPr>
                  <w:color w:val="auto"/>
                </w:rPr>
              </m:ctrlPr>
            </m:den>
          </m:f>
          <m:r>
            <m:rPr>
              <m:nor/>
              <m:sty m:val="p"/>
            </m:rPr>
            <w:rPr>
              <w:b w:val="0"/>
              <w:i w:val="0"/>
              <w:color w:val="auto"/>
            </w:rPr>
            <m:t>Ei</m:t>
          </m:r>
          <m:d>
            <m:dPr>
              <m:ctrlPr>
                <w:rPr>
                  <w:color w:val="auto"/>
                </w:rPr>
              </m:ctrlPr>
            </m:dPr>
            <m:e>
              <m:r>
                <m:rPr/>
                <w:rPr>
                  <w:color w:val="auto"/>
                </w:rPr>
                <m:t>−</m:t>
              </m:r>
              <m:f>
                <m:fPr>
                  <m:ctrlPr>
                    <w:rPr>
                      <w:color w:val="auto"/>
                    </w:rPr>
                  </m:ctrlPr>
                </m:fPr>
                <m:num>
                  <m:r>
                    <m:rPr/>
                    <w:rPr>
                      <w:color w:val="auto"/>
                    </w:rPr>
                    <m:t>ϕμ</m:t>
                  </m:r>
                  <m:sSub>
                    <m:sSubPr>
                      <m:ctrlPr>
                        <w:rPr>
                          <w:color w:val="auto"/>
                        </w:rPr>
                      </m:ctrlPr>
                    </m:sSubPr>
                    <m:e>
                      <m:r>
                        <m:rPr/>
                        <w:rPr>
                          <w:color w:val="auto"/>
                        </w:rPr>
                        <m:t>c</m:t>
                      </m:r>
                      <m:ctrlPr>
                        <w:rPr>
                          <w:color w:val="auto"/>
                        </w:rPr>
                      </m:ctrlPr>
                    </m:e>
                    <m:sub>
                      <m:r>
                        <m:rPr/>
                        <w:rPr>
                          <w:color w:val="auto"/>
                        </w:rPr>
                        <m:t>t</m:t>
                      </m:r>
                      <m:ctrlPr>
                        <w:rPr>
                          <w:color w:val="auto"/>
                        </w:rPr>
                      </m:ctrlPr>
                    </m:sub>
                  </m:sSub>
                  <m:sSup>
                    <m:sSupPr>
                      <m:ctrlPr>
                        <w:rPr>
                          <w:color w:val="auto"/>
                        </w:rPr>
                      </m:ctrlPr>
                    </m:sSupPr>
                    <m:e>
                      <m:r>
                        <m:rPr/>
                        <w:rPr>
                          <w:color w:val="auto"/>
                        </w:rPr>
                        <m:t>r</m:t>
                      </m:r>
                      <m:ctrlPr>
                        <w:rPr>
                          <w:color w:val="auto"/>
                        </w:rPr>
                      </m:ctrlPr>
                    </m:e>
                    <m:sup>
                      <m:r>
                        <m:rPr/>
                        <w:rPr>
                          <w:color w:val="auto"/>
                        </w:rPr>
                        <m:t>2</m:t>
                      </m:r>
                      <m:ctrlPr>
                        <w:rPr>
                          <w:color w:val="auto"/>
                        </w:rPr>
                      </m:ctrlPr>
                    </m:sup>
                  </m:sSup>
                  <m:ctrlPr>
                    <w:rPr>
                      <w:color w:val="auto"/>
                    </w:rPr>
                  </m:ctrlPr>
                </m:num>
                <m:den>
                  <m:r>
                    <m:rPr/>
                    <w:rPr>
                      <w:color w:val="auto"/>
                    </w:rPr>
                    <m:t>4Kt</m:t>
                  </m:r>
                  <m:ctrlPr>
                    <w:rPr>
                      <w:color w:val="auto"/>
                    </w:rPr>
                  </m:ctrlPr>
                </m:den>
              </m:f>
              <m:ctrlPr>
                <w:rPr>
                  <w:color w:val="auto"/>
                </w:rPr>
              </m:ctrlPr>
            </m:e>
          </m:d>
          <m:r>
            <m:rPr/>
            <w:rPr>
              <w:color w:val="auto"/>
            </w:rPr>
            <m:t>  (16)</m:t>
          </m:r>
        </m:oMath>
      </m:oMathPara>
    </w:p>
    <w:p w14:paraId="03A8437E">
      <w:pPr>
        <w:pStyle w:val="34"/>
        <w:rPr>
          <w:color w:val="auto"/>
        </w:rPr>
      </w:pPr>
      <w:r>
        <w:rPr>
          <w:color w:val="auto"/>
        </w:rPr>
        <w:drawing>
          <wp:inline distT="0" distB="0" distL="114300" distR="114300">
            <wp:extent cx="5334000" cy="2153285"/>
            <wp:effectExtent l="0" t="0" r="0" b="0"/>
            <wp:doc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Fig. 6. Analytical validation at t = 100 days. (a) Radial pressure profiles obtained with the PEBI grid, EDFM, Cartesian LGR, and Cartesian uniform mesh. (b) Relative error \varepsilon_p = |p_{\text{sim}} - p_{\text{Ei}}| / p_{\text{Ei}} as a function of radial distance. The PEBI discretization reproduces the analytical solution to within 0.31% at r = 1 m."/>
                    <pic:cNvPicPr>
                      <a:picLocks noChangeAspect="1" noChangeArrowheads="1"/>
                    </pic:cNvPicPr>
                  </pic:nvPicPr>
                  <pic:blipFill>
                    <a:blip r:embed="rId10"/>
                    <a:stretch>
                      <a:fillRect/>
                    </a:stretch>
                  </pic:blipFill>
                  <pic:spPr>
                    <a:xfrm>
                      <a:off x="0" y="0"/>
                      <a:ext cx="5334000" cy="2153555"/>
                    </a:xfrm>
                    <a:prstGeom prst="rect">
                      <a:avLst/>
                    </a:prstGeom>
                    <a:noFill/>
                    <a:ln w="9525">
                      <a:noFill/>
                    </a:ln>
                  </pic:spPr>
                </pic:pic>
              </a:graphicData>
            </a:graphic>
          </wp:inline>
        </w:drawing>
      </w:r>
    </w:p>
    <w:p w14:paraId="6BD83AD8">
      <w:pPr>
        <w:pStyle w:val="12"/>
        <w:spacing w:before="0" w:after="0" w:line="300" w:lineRule="auto"/>
        <w:jc w:val="center"/>
        <w:rPr>
          <w:rFonts w:ascii="Times New Roman" w:hAnsi="Times New Roman" w:cs="Times New Roman"/>
          <w:color w:val="auto"/>
          <w:sz w:val="20"/>
          <w:szCs w:val="20"/>
        </w:rPr>
      </w:pPr>
      <w:r>
        <w:rPr>
          <w:rFonts w:ascii="Times New Roman" w:hAnsi="Times New Roman"/>
          <w:sz w:val="20"/>
        </w:rPr>
        <w:t>Fig. 6. Analytical validation at t = 100 days. (a) Radial pressure profiles obtained with the PEBI grid, EDFM, Cartesian LGR, and Cartesian uniform mesh. (b) Relative error as a function of radial distance. The PEBI discretization reproduces the analytical solution to within 0.31% at r = 1 m.</w:t>
      </w:r>
    </w:p>
    <w:p w14:paraId="1D2602A9">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b w:val="0"/>
          <w:sz w:val="20"/>
        </w:rPr>
        <w:t>Table 7: Relative pressure errors at selected observation radii (t = 100 days).</w:t>
      </w:r>
    </w:p>
    <w:tbl>
      <w:tblPr>
        <w:tblStyle w:val="28"/>
        <w:tblW w:w="8899"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53"/>
        <w:gridCol w:w="2165"/>
        <w:gridCol w:w="1762"/>
        <w:gridCol w:w="1285"/>
        <w:gridCol w:w="1834"/>
      </w:tblGrid>
      <w:tr w14:paraId="7C67B1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D7262BE">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Radial Distance</w:t>
            </w:r>
          </w:p>
        </w:tc>
        <w:tc>
          <w:tcPr>
            <w:tcW w:w="0" w:type="auto"/>
            <w:tcBorders>
              <w:bottom w:val="single" w:color="auto" w:sz="0" w:space="0"/>
            </w:tcBorders>
            <w:vAlign w:val="center"/>
          </w:tcPr>
          <w:p w14:paraId="7F0FFA9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Uniform</w:t>
            </w:r>
          </w:p>
        </w:tc>
        <w:tc>
          <w:tcPr>
            <w:tcW w:w="0" w:type="auto"/>
            <w:tcBorders>
              <w:bottom w:val="single" w:color="auto" w:sz="0" w:space="0"/>
            </w:tcBorders>
            <w:vAlign w:val="center"/>
          </w:tcPr>
          <w:p w14:paraId="2B69FBC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c>
          <w:tcPr>
            <w:tcW w:w="997" w:type="dxa"/>
            <w:tcBorders>
              <w:bottom w:val="single" w:color="auto" w:sz="0" w:space="0"/>
            </w:tcBorders>
            <w:vAlign w:val="center"/>
          </w:tcPr>
          <w:p w14:paraId="428E236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EDFM</w:t>
            </w:r>
          </w:p>
        </w:tc>
        <w:tc>
          <w:tcPr>
            <w:tcW w:w="1888" w:type="dxa"/>
            <w:tcBorders>
              <w:bottom w:val="single" w:color="auto" w:sz="0" w:space="0"/>
            </w:tcBorders>
            <w:vAlign w:val="center"/>
          </w:tcPr>
          <w:p w14:paraId="560C01A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PEBI</w:t>
            </w:r>
          </w:p>
        </w:tc>
      </w:tr>
      <w:tr w14:paraId="229785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4A81F4E">
            <w:pPr>
              <w:pStyle w:val="24"/>
              <w:snapToGrid w:val="0"/>
              <w:spacing w:before="0" w:after="0"/>
              <w:ind w:left="0" w:leftChars="0" w:right="0" w:rightChars="0" w:firstLineChars="0"/>
              <w:jc w:val="left"/>
              <w:rPr>
                <w:color w:val="auto"/>
              </w:rPr>
            </w:pPr>
            <m:oMath>
              <m:r>
                <m:rPr/>
                <w:rPr>
                  <w:color w:val="auto"/>
                </w:rPr>
                <m:t>r=1</m:t>
              </m:r>
            </m:oMath>
            <w:r>
              <w:rPr>
                <w:rFonts w:ascii="Times New Roman" w:hAnsi="Times New Roman" w:cs="Times New Roman"/>
                <w:color w:val="auto"/>
                <w:sz w:val="20"/>
                <w:szCs w:val="20"/>
              </w:rPr>
              <w:t xml:space="preserve"> m</w:t>
            </w:r>
          </w:p>
        </w:tc>
        <w:tc>
          <w:tcPr>
            <w:tcW w:w="0" w:type="auto"/>
            <w:vAlign w:val="center"/>
          </w:tcPr>
          <w:p w14:paraId="7FE0F45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1.87%</w:t>
            </w:r>
          </w:p>
        </w:tc>
        <w:tc>
          <w:tcPr>
            <w:tcW w:w="0" w:type="auto"/>
            <w:vAlign w:val="center"/>
          </w:tcPr>
          <w:p w14:paraId="5D7DFF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0.92%</w:t>
            </w:r>
          </w:p>
        </w:tc>
        <w:tc>
          <w:tcPr>
            <w:tcW w:w="997" w:type="dxa"/>
            <w:vAlign w:val="center"/>
          </w:tcPr>
          <w:p w14:paraId="768C3B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0.66%</w:t>
            </w:r>
          </w:p>
        </w:tc>
        <w:tc>
          <w:tcPr>
            <w:tcW w:w="1888" w:type="dxa"/>
            <w:vAlign w:val="center"/>
          </w:tcPr>
          <w:p w14:paraId="3C433A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r>
      <w:tr w14:paraId="5BA742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F9A4812">
            <w:pPr>
              <w:pStyle w:val="24"/>
              <w:snapToGrid w:val="0"/>
              <w:spacing w:before="0" w:after="0"/>
              <w:ind w:left="0" w:leftChars="0" w:right="0" w:rightChars="0" w:firstLineChars="0"/>
              <w:jc w:val="left"/>
              <w:rPr>
                <w:color w:val="auto"/>
              </w:rPr>
            </w:pPr>
            <m:oMath>
              <m:r>
                <m:rPr/>
                <w:rPr>
                  <w:color w:val="auto"/>
                </w:rPr>
                <m:t>r=10</m:t>
              </m:r>
            </m:oMath>
            <w:r>
              <w:rPr>
                <w:rFonts w:ascii="Times New Roman" w:hAnsi="Times New Roman" w:cs="Times New Roman"/>
                <w:color w:val="auto"/>
                <w:sz w:val="20"/>
                <w:szCs w:val="20"/>
              </w:rPr>
              <w:t xml:space="preserve"> m</w:t>
            </w:r>
          </w:p>
        </w:tc>
        <w:tc>
          <w:tcPr>
            <w:tcW w:w="0" w:type="auto"/>
            <w:vAlign w:val="center"/>
          </w:tcPr>
          <w:p w14:paraId="7AE5BB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0.95%</w:t>
            </w:r>
          </w:p>
        </w:tc>
        <w:tc>
          <w:tcPr>
            <w:tcW w:w="0" w:type="auto"/>
            <w:vAlign w:val="center"/>
          </w:tcPr>
          <w:p w14:paraId="6EC63A0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0.48%</w:t>
            </w:r>
          </w:p>
        </w:tc>
        <w:tc>
          <w:tcPr>
            <w:tcW w:w="997" w:type="dxa"/>
            <w:vAlign w:val="center"/>
          </w:tcPr>
          <w:p w14:paraId="659A95F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0.35%</w:t>
            </w:r>
          </w:p>
        </w:tc>
        <w:tc>
          <w:tcPr>
            <w:tcW w:w="1888" w:type="dxa"/>
            <w:vAlign w:val="center"/>
          </w:tcPr>
          <w:p w14:paraId="098200B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0.18%</w:t>
            </w:r>
          </w:p>
        </w:tc>
      </w:tr>
      <w:tr w14:paraId="7949055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48" w:type="dxa"/>
            <w:vAlign w:val="center"/>
          </w:tcPr>
          <w:p w14:paraId="497930D9">
            <w:pPr>
              <w:pStyle w:val="24"/>
              <w:snapToGrid w:val="0"/>
              <w:spacing w:before="0" w:after="0"/>
              <w:ind w:left="0" w:leftChars="0" w:right="0" w:rightChars="0" w:firstLineChars="0"/>
              <w:jc w:val="left"/>
              <w:rPr>
                <w:color w:val="auto"/>
              </w:rPr>
            </w:pPr>
            <m:oMath>
              <m:r>
                <m:rPr/>
                <w:rPr>
                  <w:color w:val="auto"/>
                </w:rPr>
                <m:t>r=50</m:t>
              </m:r>
            </m:oMath>
            <w:r>
              <w:rPr>
                <w:rFonts w:ascii="Times New Roman" w:hAnsi="Times New Roman" w:cs="Times New Roman"/>
                <w:color w:val="auto"/>
                <w:sz w:val="20"/>
                <w:szCs w:val="20"/>
              </w:rPr>
              <w:t xml:space="preserve"> m</w:t>
            </w:r>
          </w:p>
        </w:tc>
        <w:tc>
          <w:tcPr>
            <w:tcW w:w="2267" w:type="dxa"/>
            <w:vAlign w:val="center"/>
          </w:tcPr>
          <w:p w14:paraId="52218D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0.61%</w:t>
            </w:r>
          </w:p>
        </w:tc>
        <w:tc>
          <w:tcPr>
            <w:tcW w:w="1799" w:type="dxa"/>
            <w:vAlign w:val="center"/>
          </w:tcPr>
          <w:p w14:paraId="019B12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c>
          <w:tcPr>
            <w:tcW w:w="997" w:type="dxa"/>
            <w:vAlign w:val="center"/>
          </w:tcPr>
          <w:p w14:paraId="509ACE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0.24%</w:t>
            </w:r>
          </w:p>
        </w:tc>
        <w:tc>
          <w:tcPr>
            <w:tcW w:w="1888" w:type="dxa"/>
            <w:vAlign w:val="center"/>
          </w:tcPr>
          <w:p w14:paraId="0DD7D1F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0.12%</w:t>
            </w:r>
          </w:p>
        </w:tc>
      </w:tr>
    </w:tbl>
    <w:p w14:paraId="557907DC">
      <w:pPr>
        <w:pStyle w:val="12"/>
        <w:spacing w:before="0" w:after="0" w:line="360" w:lineRule="auto"/>
        <w:ind w:firstLineChars="200"/>
        <w:jc w:val="both"/>
        <w:rPr>
          <w:rFonts w:ascii="Times New Roman" w:hAnsi="Times New Roman" w:cs="Times New Roman"/>
          <w:color w:val="auto"/>
          <w:sz w:val="20"/>
          <w:szCs w:val="20"/>
        </w:rPr>
      </w:pPr>
      <w:r>
        <w:rPr>
          <w:rFonts w:ascii="Times New Roman" w:hAnsi="Times New Roman" w:cs="Times New Roman"/>
          <w:color w:val="auto"/>
          <w:sz w:val="24"/>
          <w:szCs w:val="20"/>
        </w:rPr>
        <w:t>Figure 6 and Table 7 confirm that the accuracy advantage is concentrated near the source region. At r = 1 m, the PEBI grid reduces pressure error by 53.0% relative to EDFM. (0.66% vs. 0.31%), by 66.3% relative to Cartesian LGR (0.92% vs. 0.31%), and by 83.4% relative to the uniform Cartesian mesh (1.87% vs. 0.31%). This elimination of geometric flux distortion provides the foundation for the algebraic and parallel performance gains that follow.</w:t>
      </w:r>
    </w:p>
    <w:p w14:paraId="4AD8CB9D">
      <w:pPr>
        <w:pStyle w:val="3"/>
        <w:spacing w:before="0" w:after="0" w:line="360" w:lineRule="auto"/>
        <w:ind w:firstLine="480" w:firstLineChars="200"/>
        <w:jc w:val="both"/>
        <w:rPr>
          <w:rFonts w:ascii="Times New Roman" w:hAnsi="Times New Roman"/>
          <w:sz w:val="24"/>
        </w:rPr>
      </w:pPr>
      <w:r>
        <w:rPr>
          <w:rFonts w:ascii="Times New Roman" w:hAnsi="Times New Roman"/>
          <w:sz w:val="24"/>
        </w:rPr>
        <w:t xml:space="preserve">We assessed temporal convergence of the numerical scheme by varying the maximum timestep </w:t>
      </w:r>
      <m:oMath>
        <m:r>
          <m:rPr/>
          <m:t>Δt_max</m:t>
        </m:r>
      </m:oMath>
      <w:r>
        <w:rPr>
          <w:rFonts w:ascii="Times New Roman" w:hAnsi="Times New Roman"/>
          <w:sz w:val="24"/>
        </w:rPr>
        <w:t xml:space="preserve"> from 0.1 to 30 days (note: Δt_max denotes the timestep size, distinct from the physical validation time of t = 100 days used in Fig. 6). The Newton–Raphson procedure landed within three to five iterations per step across every configuration, with the average nonlinear residual falling below. Below a maximum step of 5 days the solutions were timestep-independent, so all production forecasts in this paper use a conservative cap of 1 day.</w:t>
      </w:r>
      <w:r>
        <w:rPr>
          <w:rFonts w:ascii="Times New Roman" w:hAnsi="Times New Roman"/>
          <w:sz w:val="24"/>
        </w:rPr>
        <w:br w:type="textWrapping"/>
      </w:r>
    </w:p>
    <w:p w14:paraId="63BE536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assess spatial convergence of the PEBI discretization, a systematic grid refinement study was performed on the Ei-function validation case. Four PEBI meshes were generated with near-fracture spacing h_n varied systematically from 2.0 m to 0.25 m (factor-of-two refinement per level), while the far-field spacing h_f and transition parameter alpha were held fixed at 50.0 m and 0.5 m^{-1}, respectively, yielding cell counts of approximately 0.56M, 1.02M, 2.18M, and 4.51M. The near-fracture pressure error epsilon_p at r = 1 m and t = 100 days decreases monotonically: 0.61% (h_n = 2.0 m), 0.31% (h_n = 1.0 m), 0.16% (h_n = 0.5 m), and 0.09% (h_n = 0.25 m). Fitting the error model epsilon_p proportional to h_n^q yields an observed convergence order of q = 0.94 +/- 0.08 (R^2 = 0.991), consistent with the first-order accuracy expected from TPFA on K-orthogonal PEBI grids. The K-orthogonality fraction (theta &lt;= 5 degrees) remains between 96.8% and 97.8% across all four mesh resolutions, confirming that mesh quality does not degrade with refinement. At the finest resolution (h_n = 0.25 m), the 0.09% error approaches the residual attributable to far-field boundary effects and double-precision round-off, indicating diminishing returns beyond this resolution for engineering accuracy requirements. These results establish that the PEBI discretization is consistent and converges monotonically under mesh refinement. The base resolution (h_n = 1.0 m, 1.02M cells) is selected as the working mesh for all multiphase and field-scale simulations reported in Sections 3.2-3.8, representing a Pareto-optimal balance between accuracy (0.31%) and computational cost. Table S0 (Supplementary Material) tabulates the complete convergence data for all four resolutions.</w:t>
      </w:r>
    </w:p>
    <w:p w14:paraId="18DFC9D2">
      <w:pPr>
        <w:pStyle w:val="4"/>
        <w:spacing w:before="120" w:after="60" w:line="360" w:lineRule="auto"/>
        <w:jc w:val="left"/>
        <w:rPr>
          <w:rFonts w:ascii="Times New Roman" w:hAnsi="Times New Roman" w:cs="Times New Roman"/>
          <w:color w:val="auto"/>
          <w:sz w:val="24"/>
          <w:szCs w:val="24"/>
        </w:rPr>
      </w:pPr>
      <w:bookmarkStart w:id="14" w:name="Xebdddf27695d5e7daebd9a35cc9f4aeca445515"/>
      <w:r>
        <w:rPr>
          <w:rFonts w:ascii="Times New Roman" w:hAnsi="Times New Roman" w:cs="Times New Roman"/>
          <w:b/>
          <w:bCs/>
          <w:color w:val="auto"/>
          <w:sz w:val="24"/>
          <w:szCs w:val="24"/>
        </w:rPr>
        <w:t>3.2 Multiphase Validation: Buckley–Leverett Displacement</w:t>
      </w:r>
      <w:bookmarkEnd w:id="14"/>
    </w:p>
    <w:p w14:paraId="38132C7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validate multiphase behavior, a one-dimensional Buckley-Leverett waterflood was simulated. A horizontal domain (300 m) was initialized at irreducible water saturation (S_wc = 0.20) with constant-rate water injection at the left boundary. Corey-type relative permeability functions were used with exponents n_w = n_o = 2.0.</w:t>
      </w:r>
    </w:p>
    <w:p w14:paraId="4FECEB2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At </w:t>
      </w:r>
      <m:oMath>
        <m:r>
          <m:rPr/>
          <w:rPr>
            <w:rFonts w:ascii="Times New Roman" w:hAnsi="Times New Roman" w:cs="Times New Roman"/>
            <w:color w:val="auto"/>
            <w:sz w:val="24"/>
            <w:szCs w:val="24"/>
          </w:rPr>
          <m:t>t=500</m:t>
        </m:r>
      </m:oMath>
      <w:r>
        <w:rPr>
          <w:rFonts w:ascii="Times New Roman" w:hAnsi="Times New Roman" w:cs="Times New Roman"/>
          <w:color w:val="auto"/>
          <w:sz w:val="24"/>
          <w:szCs w:val="24"/>
        </w:rPr>
        <w:t xml:space="preserve"> days (approximately 0.4 pore volumes injected), the simulated water saturation profile matches the semi-analytical Buckley–Leverett solution with a root-mean-square error of 0.0074 saturation units. The shock-front position is captured to within 2.1 m (0.7% of domain length), and no grid-orientation effects are observed, consistent with the K-orthogonal property of the PEBI mesh.</w:t>
      </w:r>
    </w:p>
    <w:p w14:paraId="45FF57C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To validate on a more geologically complex benchmark, the PEBI framework was applied to the SPE 10 Comparative Solution Project (Christie and Blunt, 2001). SPE 10 comprises a geostatistically generated 1,122,000-cell grid with permeability spanning over 8 orders of magnitude. We re-computed a fully implicit solution on the standard Cartesian grid using our own black-oil simulator with identical PVT, relative permeability, and well controls as the PEBI simulation. Since the reservoir pressure remained above the bubble point throughout the 2,000-day forecast, no free gas evolved and the system reduced to the standard two-phase SPE 10 problem.</w:t>
      </w:r>
    </w:p>
    <w:p w14:paraId="0CA9DB4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For the PEBI evaluation, a conforming mesh of 524,000 cells (approximately 47% of reference) was built with generators placed along major permeability boundaries identified through connected-component analysis. Permeability-informed seeding exploits prior knowledge of the permeability field, constituting an informational advantage over the uniform-resolution Cartesian reference. A permeability-unaware PEBI control mesh (identical 0.52M cells, uniform seeding) yields cumulative oil deviation of 1.9%, approximately twice the 0.93% of the permeability-aware mesh. We therefore classify the SPE 10 comparison conservatively as an illustrative benchmark rather than a controlled validation.</w:t>
      </w:r>
    </w:p>
    <w:p w14:paraId="176300A0">
      <w:pPr>
        <w:pStyle w:val="3"/>
        <w:spacing w:before="0" w:after="120"/>
        <w:ind w:firstLine="480" w:firstLineChars="200"/>
        <w:jc w:val="both"/>
        <w:rPr>
          <w:color w:val="auto"/>
        </w:rPr>
      </w:pPr>
    </w:p>
    <w:p w14:paraId="21BB42D1">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8: SPE 10 benchmarking results — PEBI grid vs. reference Cartesian solution.</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604"/>
        <w:gridCol w:w="2403"/>
        <w:gridCol w:w="1923"/>
        <w:gridCol w:w="1926"/>
      </w:tblGrid>
      <w:tr w14:paraId="2D3284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w14:paraId="11EEA7DB">
            <w:pPr>
              <w:pStyle w:val="24"/>
              <w:keepNext/>
              <w:snapToGrid w:val="0"/>
              <w:spacing w:before="0" w:after="0"/>
              <w:jc w:val="left"/>
              <w:rPr>
                <w:color w:val="auto"/>
              </w:rPr>
            </w:pPr>
            <w:r>
              <w:rPr>
                <w:rFonts w:ascii="Times New Roman" w:hAnsi="Times New Roman" w:cs="Times New Roman"/>
                <w:b/>
                <w:bCs/>
                <w:color w:val="auto"/>
                <w:sz w:val="20"/>
                <w:szCs w:val="20"/>
              </w:rPr>
              <w:t>Metric</w:t>
            </w:r>
          </w:p>
        </w:tc>
        <w:tc>
          <w:tcPr>
            <w:tcW w:w="0" w:type="auto"/>
            <w:tcBorders>
              <w:bottom w:val="single" w:color="auto" w:sz="0" w:space="0"/>
            </w:tcBorders>
            <w:vAlign w:val="bottom"/>
          </w:tcPr>
          <w:p w14:paraId="64E24DEE">
            <w:pPr>
              <w:pStyle w:val="24"/>
              <w:keepNext/>
              <w:snapToGrid w:val="0"/>
              <w:spacing w:before="0" w:after="0"/>
              <w:jc w:val="left"/>
              <w:rPr>
                <w:color w:val="auto"/>
              </w:rPr>
            </w:pPr>
            <w:r>
              <w:rPr>
                <w:rFonts w:ascii="Times New Roman" w:hAnsi="Times New Roman" w:cs="Times New Roman"/>
                <w:b/>
                <w:bCs/>
                <w:color w:val="auto"/>
                <w:sz w:val="20"/>
                <w:szCs w:val="20"/>
              </w:rPr>
              <w:t>Reference (1.12 M Cartesian)</w:t>
            </w:r>
          </w:p>
        </w:tc>
        <w:tc>
          <w:tcPr>
            <w:tcW w:w="0" w:type="auto"/>
            <w:tcBorders>
              <w:bottom w:val="single" w:color="auto" w:sz="0" w:space="0"/>
            </w:tcBorders>
            <w:vAlign w:val="bottom"/>
          </w:tcPr>
          <w:p w14:paraId="2C3DAF9B">
            <w:pPr>
              <w:pStyle w:val="24"/>
              <w:keepNext/>
              <w:snapToGrid w:val="0"/>
              <w:spacing w:before="0" w:after="0"/>
              <w:jc w:val="left"/>
              <w:rPr>
                <w:color w:val="auto"/>
              </w:rPr>
            </w:pPr>
            <w:r>
              <w:rPr>
                <w:rFonts w:ascii="Times New Roman" w:hAnsi="Times New Roman" w:cs="Times New Roman"/>
                <w:b/>
                <w:bCs/>
                <w:color w:val="auto"/>
                <w:sz w:val="20"/>
                <w:szCs w:val="20"/>
              </w:rPr>
              <w:t>PEBI (0.52 M cells)</w:t>
            </w:r>
          </w:p>
        </w:tc>
        <w:tc>
          <w:tcPr>
            <w:tcW w:w="1926" w:type="dxa"/>
            <w:tcBorders>
              <w:bottom w:val="single" w:color="auto" w:sz="0" w:space="0"/>
            </w:tcBorders>
            <w:vAlign w:val="bottom"/>
          </w:tcPr>
          <w:p w14:paraId="65C4431F">
            <w:pPr>
              <w:pStyle w:val="24"/>
              <w:keepNext/>
              <w:snapToGrid w:val="0"/>
              <w:spacing w:before="0" w:after="0"/>
              <w:jc w:val="left"/>
              <w:rPr>
                <w:color w:val="auto"/>
              </w:rPr>
            </w:pPr>
            <w:r>
              <w:rPr>
                <w:rFonts w:ascii="Times New Roman" w:hAnsi="Times New Roman" w:cs="Times New Roman"/>
                <w:b/>
                <w:bCs/>
                <w:color w:val="auto"/>
                <w:sz w:val="20"/>
                <w:szCs w:val="20"/>
              </w:rPr>
              <w:t>Deviation</w:t>
            </w:r>
          </w:p>
        </w:tc>
      </w:tr>
      <w:tr w14:paraId="76F845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62DA899C">
            <w:pPr>
              <w:pStyle w:val="24"/>
              <w:keepNext/>
              <w:snapToGrid w:val="0"/>
              <w:spacing w:before="0" w:after="0"/>
              <w:jc w:val="left"/>
              <w:rPr>
                <w:color w:val="auto"/>
              </w:rPr>
            </w:pPr>
            <w:r>
              <w:rPr>
                <w:rFonts w:ascii="Times New Roman" w:hAnsi="Times New Roman" w:cs="Times New Roman"/>
                <w:color w:val="auto"/>
                <w:sz w:val="20"/>
                <w:szCs w:val="20"/>
              </w:rPr>
              <w:t>Cumulative oil (10⁶ sm³)</w:t>
            </w:r>
          </w:p>
        </w:tc>
        <w:tc>
          <w:tcPr>
            <w:tcW w:w="0" w:type="auto"/>
          </w:tcPr>
          <w:p w14:paraId="3E382ECD">
            <w:pPr>
              <w:pStyle w:val="24"/>
              <w:keepNext/>
              <w:snapToGrid w:val="0"/>
              <w:spacing w:before="0" w:after="0"/>
              <w:jc w:val="left"/>
              <w:rPr>
                <w:color w:val="auto"/>
              </w:rPr>
            </w:pPr>
            <w:r>
              <w:rPr>
                <w:rFonts w:ascii="Times New Roman" w:hAnsi="Times New Roman" w:cs="Times New Roman"/>
                <w:color w:val="auto"/>
                <w:sz w:val="20"/>
                <w:szCs w:val="20"/>
              </w:rPr>
              <w:t>18.24</w:t>
            </w:r>
          </w:p>
        </w:tc>
        <w:tc>
          <w:tcPr>
            <w:tcW w:w="0" w:type="auto"/>
          </w:tcPr>
          <w:p w14:paraId="5B9F5CDA">
            <w:pPr>
              <w:pStyle w:val="24"/>
              <w:keepNext/>
              <w:snapToGrid w:val="0"/>
              <w:spacing w:before="0" w:after="0"/>
              <w:jc w:val="left"/>
              <w:rPr>
                <w:color w:val="auto"/>
              </w:rPr>
            </w:pPr>
            <w:r>
              <w:rPr>
                <w:rFonts w:ascii="Times New Roman" w:hAnsi="Times New Roman" w:cs="Times New Roman"/>
                <w:color w:val="auto"/>
                <w:sz w:val="20"/>
                <w:szCs w:val="20"/>
              </w:rPr>
              <w:t>18.41</w:t>
            </w:r>
          </w:p>
        </w:tc>
        <w:tc>
          <w:tcPr>
            <w:tcW w:w="1926" w:type="dxa"/>
          </w:tcPr>
          <w:p w14:paraId="0C759F5B">
            <w:pPr>
              <w:pStyle w:val="24"/>
              <w:keepNext/>
              <w:snapToGrid w:val="0"/>
              <w:spacing w:before="0" w:after="0"/>
              <w:jc w:val="left"/>
              <w:rPr>
                <w:color w:val="auto"/>
              </w:rPr>
            </w:pPr>
            <w:r>
              <w:rPr>
                <w:rFonts w:ascii="Times New Roman" w:hAnsi="Times New Roman" w:cs="Times New Roman"/>
                <w:color w:val="auto"/>
                <w:sz w:val="20"/>
                <w:szCs w:val="20"/>
              </w:rPr>
              <w:t>+0.93%</w:t>
            </w:r>
          </w:p>
        </w:tc>
      </w:tr>
      <w:tr w14:paraId="6FB8A24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34AF7DC4">
            <w:pPr>
              <w:pStyle w:val="24"/>
              <w:keepNext/>
              <w:snapToGrid w:val="0"/>
              <w:spacing w:before="0" w:after="0"/>
              <w:jc w:val="left"/>
              <w:rPr>
                <w:color w:val="auto"/>
              </w:rPr>
            </w:pPr>
            <w:r>
              <w:rPr>
                <w:rFonts w:ascii="Times New Roman" w:hAnsi="Times New Roman" w:cs="Times New Roman"/>
                <w:color w:val="auto"/>
                <w:sz w:val="20"/>
                <w:szCs w:val="20"/>
              </w:rPr>
              <w:t>Water breakthrough time (days)</w:t>
            </w:r>
          </w:p>
        </w:tc>
        <w:tc>
          <w:tcPr>
            <w:tcW w:w="0" w:type="auto"/>
          </w:tcPr>
          <w:p w14:paraId="5174D9CF">
            <w:pPr>
              <w:pStyle w:val="24"/>
              <w:keepNext/>
              <w:snapToGrid w:val="0"/>
              <w:spacing w:before="0" w:after="0"/>
              <w:jc w:val="left"/>
              <w:rPr>
                <w:color w:val="auto"/>
              </w:rPr>
            </w:pPr>
            <w:r>
              <w:rPr>
                <w:rFonts w:ascii="Times New Roman" w:hAnsi="Times New Roman" w:cs="Times New Roman"/>
                <w:color w:val="auto"/>
                <w:sz w:val="20"/>
                <w:szCs w:val="20"/>
              </w:rPr>
              <w:t>287</w:t>
            </w:r>
          </w:p>
        </w:tc>
        <w:tc>
          <w:tcPr>
            <w:tcW w:w="0" w:type="auto"/>
          </w:tcPr>
          <w:p w14:paraId="369FC729">
            <w:pPr>
              <w:pStyle w:val="24"/>
              <w:keepNext/>
              <w:snapToGrid w:val="0"/>
              <w:spacing w:before="0" w:after="0"/>
              <w:jc w:val="left"/>
              <w:rPr>
                <w:color w:val="auto"/>
              </w:rPr>
            </w:pPr>
            <w:r>
              <w:rPr>
                <w:rFonts w:ascii="Times New Roman" w:hAnsi="Times New Roman" w:cs="Times New Roman"/>
                <w:color w:val="auto"/>
                <w:sz w:val="20"/>
                <w:szCs w:val="20"/>
              </w:rPr>
              <w:t>294</w:t>
            </w:r>
          </w:p>
        </w:tc>
        <w:tc>
          <w:tcPr>
            <w:tcW w:w="1926" w:type="dxa"/>
          </w:tcPr>
          <w:p w14:paraId="760F79C7">
            <w:pPr>
              <w:pStyle w:val="24"/>
              <w:keepNext/>
              <w:snapToGrid w:val="0"/>
              <w:spacing w:before="0" w:after="0"/>
              <w:jc w:val="left"/>
              <w:rPr>
                <w:color w:val="auto"/>
              </w:rPr>
            </w:pPr>
            <w:r>
              <w:rPr>
                <w:rFonts w:ascii="Times New Roman" w:hAnsi="Times New Roman" w:cs="Times New Roman"/>
                <w:color w:val="auto"/>
                <w:sz w:val="20"/>
                <w:szCs w:val="20"/>
              </w:rPr>
              <w:t>+2.4%</w:t>
            </w:r>
          </w:p>
        </w:tc>
      </w:tr>
      <w:tr w14:paraId="190C19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7A9FAEDB">
            <w:pPr>
              <w:pStyle w:val="24"/>
              <w:keepNext/>
              <w:snapToGrid w:val="0"/>
              <w:spacing w:before="0" w:after="0"/>
              <w:jc w:val="left"/>
              <w:rPr>
                <w:color w:val="auto"/>
              </w:rPr>
            </w:pPr>
            <w:r>
              <w:rPr>
                <w:rFonts w:ascii="Times New Roman" w:hAnsi="Times New Roman" w:cs="Times New Roman"/>
                <w:color w:val="auto"/>
                <w:sz w:val="20"/>
                <w:szCs w:val="20"/>
              </w:rPr>
              <w:t>Final water cut</w:t>
            </w:r>
          </w:p>
        </w:tc>
        <w:tc>
          <w:tcPr>
            <w:tcW w:w="0" w:type="auto"/>
          </w:tcPr>
          <w:p w14:paraId="7D5D89E5">
            <w:pPr>
              <w:pStyle w:val="24"/>
              <w:keepNext/>
              <w:snapToGrid w:val="0"/>
              <w:spacing w:before="0" w:after="0"/>
              <w:jc w:val="left"/>
              <w:rPr>
                <w:color w:val="auto"/>
              </w:rPr>
            </w:pPr>
            <w:r>
              <w:rPr>
                <w:rFonts w:ascii="Times New Roman" w:hAnsi="Times New Roman" w:cs="Times New Roman"/>
                <w:color w:val="auto"/>
                <w:sz w:val="20"/>
                <w:szCs w:val="20"/>
              </w:rPr>
              <w:t>0.783</w:t>
            </w:r>
          </w:p>
        </w:tc>
        <w:tc>
          <w:tcPr>
            <w:tcW w:w="0" w:type="auto"/>
          </w:tcPr>
          <w:p w14:paraId="02FDD2D8">
            <w:pPr>
              <w:pStyle w:val="24"/>
              <w:keepNext/>
              <w:snapToGrid w:val="0"/>
              <w:spacing w:before="0" w:after="0"/>
              <w:jc w:val="left"/>
              <w:rPr>
                <w:color w:val="auto"/>
              </w:rPr>
            </w:pPr>
            <w:r>
              <w:rPr>
                <w:rFonts w:ascii="Times New Roman" w:hAnsi="Times New Roman" w:cs="Times New Roman"/>
                <w:color w:val="auto"/>
                <w:sz w:val="20"/>
                <w:szCs w:val="20"/>
              </w:rPr>
              <w:t>0.791</w:t>
            </w:r>
          </w:p>
        </w:tc>
        <w:tc>
          <w:tcPr>
            <w:tcW w:w="1926" w:type="dxa"/>
          </w:tcPr>
          <w:p w14:paraId="7D9DC8BF">
            <w:pPr>
              <w:pStyle w:val="24"/>
              <w:keepNext/>
              <w:snapToGrid w:val="0"/>
              <w:spacing w:before="0" w:after="0"/>
              <w:jc w:val="left"/>
              <w:rPr>
                <w:color w:val="auto"/>
              </w:rPr>
            </w:pPr>
            <w:r>
              <w:rPr>
                <w:rFonts w:ascii="Times New Roman" w:hAnsi="Times New Roman" w:cs="Times New Roman"/>
                <w:color w:val="auto"/>
                <w:sz w:val="20"/>
                <w:szCs w:val="20"/>
              </w:rPr>
              <w:t>+1.0%</w:t>
            </w:r>
          </w:p>
        </w:tc>
      </w:tr>
      <w:tr w14:paraId="456411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07BABD71">
            <w:pPr>
              <w:pStyle w:val="24"/>
              <w:keepNext/>
              <w:snapToGrid w:val="0"/>
              <w:spacing w:before="0" w:after="0"/>
              <w:jc w:val="left"/>
              <w:rPr>
                <w:color w:val="auto"/>
              </w:rPr>
            </w:pPr>
            <w:r>
              <w:rPr>
                <w:rFonts w:ascii="Times New Roman" w:hAnsi="Times New Roman" w:cs="Times New Roman"/>
                <w:color w:val="auto"/>
                <w:sz w:val="20"/>
                <w:szCs w:val="20"/>
              </w:rPr>
              <w:t>Mean saturation error (RMS)</w:t>
            </w:r>
          </w:p>
        </w:tc>
        <w:tc>
          <w:tcPr>
            <w:tcW w:w="0" w:type="auto"/>
          </w:tcPr>
          <w:p w14:paraId="727C56B3">
            <w:pPr>
              <w:pStyle w:val="24"/>
              <w:keepNext/>
              <w:snapToGrid w:val="0"/>
              <w:spacing w:before="0" w:after="0"/>
              <w:jc w:val="left"/>
              <w:rPr>
                <w:color w:val="auto"/>
              </w:rPr>
            </w:pPr>
            <w:r>
              <w:rPr>
                <w:rFonts w:ascii="Times New Roman" w:hAnsi="Times New Roman" w:cs="Times New Roman"/>
                <w:color w:val="auto"/>
                <w:sz w:val="20"/>
                <w:szCs w:val="20"/>
              </w:rPr>
              <w:t>—</w:t>
            </w:r>
          </w:p>
        </w:tc>
        <w:tc>
          <w:tcPr>
            <w:tcW w:w="0" w:type="auto"/>
          </w:tcPr>
          <w:p w14:paraId="542B02A8">
            <w:pPr>
              <w:pStyle w:val="24"/>
              <w:keepNext/>
              <w:snapToGrid w:val="0"/>
              <w:spacing w:before="0" w:after="0"/>
              <w:jc w:val="left"/>
              <w:rPr>
                <w:color w:val="auto"/>
              </w:rPr>
            </w:pPr>
            <w:r>
              <w:rPr>
                <w:rFonts w:ascii="Times New Roman" w:hAnsi="Times New Roman" w:cs="Times New Roman"/>
                <w:color w:val="auto"/>
                <w:sz w:val="20"/>
                <w:szCs w:val="20"/>
              </w:rPr>
              <w:t>0.0182</w:t>
            </w:r>
          </w:p>
        </w:tc>
        <w:tc>
          <w:tcPr>
            <w:tcW w:w="1926" w:type="dxa"/>
          </w:tcPr>
          <w:p w14:paraId="5975EDDE">
            <w:pPr>
              <w:pStyle w:val="24"/>
              <w:keepNext/>
              <w:snapToGrid w:val="0"/>
              <w:spacing w:before="0" w:after="0"/>
              <w:jc w:val="left"/>
              <w:rPr>
                <w:color w:val="auto"/>
              </w:rPr>
            </w:pPr>
            <w:r>
              <w:rPr>
                <w:rFonts w:ascii="Times New Roman" w:hAnsi="Times New Roman" w:cs="Times New Roman"/>
                <w:color w:val="auto"/>
                <w:sz w:val="20"/>
                <w:szCs w:val="20"/>
              </w:rPr>
              <w:t>—</w:t>
            </w:r>
          </w:p>
        </w:tc>
      </w:tr>
      <w:tr w14:paraId="08F6AD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604" w:type="dxa"/>
          </w:tcPr>
          <w:p w14:paraId="0A677B30">
            <w:pPr>
              <w:pStyle w:val="24"/>
              <w:keepNext/>
              <w:snapToGrid w:val="0"/>
              <w:spacing w:before="0" w:after="0"/>
              <w:jc w:val="left"/>
              <w:rPr>
                <w:color w:val="auto"/>
              </w:rPr>
            </w:pPr>
            <w:r>
              <w:rPr>
                <w:rFonts w:ascii="Times New Roman" w:hAnsi="Times New Roman" w:cs="Times New Roman"/>
                <w:color w:val="auto"/>
                <w:sz w:val="20"/>
                <w:szCs w:val="20"/>
              </w:rPr>
              <w:t>GMRES iterations (CPR–SA-AMG)</w:t>
            </w:r>
          </w:p>
        </w:tc>
        <w:tc>
          <w:tcPr>
            <w:tcW w:w="2403" w:type="dxa"/>
          </w:tcPr>
          <w:p w14:paraId="078FC0C0">
            <w:pPr>
              <w:pStyle w:val="24"/>
              <w:keepNext/>
              <w:snapToGrid w:val="0"/>
              <w:spacing w:before="0" w:after="0"/>
              <w:jc w:val="left"/>
              <w:rPr>
                <w:color w:val="auto"/>
              </w:rPr>
            </w:pPr>
            <w:r>
              <w:rPr>
                <w:rFonts w:ascii="Times New Roman" w:hAnsi="Times New Roman" w:cs="Times New Roman"/>
                <w:color w:val="auto"/>
                <w:sz w:val="20"/>
                <w:szCs w:val="20"/>
              </w:rPr>
              <w:t>26</w:t>
            </w:r>
          </w:p>
        </w:tc>
        <w:tc>
          <w:tcPr>
            <w:tcW w:w="1923" w:type="dxa"/>
          </w:tcPr>
          <w:p w14:paraId="4801A01E">
            <w:pPr>
              <w:pStyle w:val="24"/>
              <w:keepNext/>
              <w:snapToGrid w:val="0"/>
              <w:spacing w:before="0" w:after="0"/>
              <w:jc w:val="left"/>
              <w:rPr>
                <w:color w:val="auto"/>
              </w:rPr>
            </w:pPr>
            <w:r>
              <w:rPr>
                <w:rFonts w:ascii="Times New Roman" w:hAnsi="Times New Roman" w:cs="Times New Roman"/>
                <w:color w:val="auto"/>
                <w:sz w:val="20"/>
                <w:szCs w:val="20"/>
              </w:rPr>
              <w:t>23</w:t>
            </w:r>
          </w:p>
        </w:tc>
        <w:tc>
          <w:tcPr>
            <w:tcW w:w="1926" w:type="dxa"/>
          </w:tcPr>
          <w:p w14:paraId="4BC64D1C">
            <w:pPr>
              <w:pStyle w:val="24"/>
              <w:keepNext/>
              <w:snapToGrid w:val="0"/>
              <w:spacing w:before="0" w:after="0"/>
              <w:jc w:val="left"/>
              <w:rPr>
                <w:color w:val="auto"/>
              </w:rPr>
            </w:pPr>
            <w:r>
              <w:rPr>
                <w:rFonts w:ascii="Times New Roman" w:hAnsi="Times New Roman" w:cs="Times New Roman"/>
                <w:color w:val="auto"/>
                <w:sz w:val="20"/>
                <w:szCs w:val="20"/>
              </w:rPr>
              <w:t>−11.5%</w:t>
            </w:r>
          </w:p>
        </w:tc>
      </w:tr>
    </w:tbl>
    <w:p w14:paraId="1EB7333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PEBI solution tracks the reference oil production to within 1% at 47% cell count, with CPR-SA-AMG requiring 23 GMRES iterations (vs. 26 for the Cartesian reference). Water breakthrough is captured within seven days (2.4% of 287 days), confirming the absence of grid-orientation artifacts in the K-orthogonal PEBI mesh.</w:t>
      </w:r>
    </w:p>
    <w:p w14:paraId="61A6ED1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permeability-unaware PEBI control yields cumulative oil deviation of 1.9%, approximately twice the 0.93% of the permeability-aware mesh. This indicates that K-orthogonality alone accounts for roughly half the accuracy gain, with permeability-informed mesh concentration contributing the remaining half. A fully controlled isolation experiment comparing PEBI against Cartesian LGR at identical near-feature resolution is deferred to a dedicated follow-up study (see Section 4.3).</w:t>
      </w:r>
    </w:p>
    <w:p w14:paraId="0998C02F">
      <w:pPr>
        <w:pStyle w:val="4"/>
        <w:spacing w:before="120" w:after="60" w:line="360" w:lineRule="auto"/>
        <w:jc w:val="left"/>
        <w:rPr>
          <w:rFonts w:ascii="Times New Roman" w:hAnsi="Times New Roman" w:cs="Times New Roman"/>
          <w:color w:val="auto"/>
          <w:sz w:val="24"/>
          <w:szCs w:val="24"/>
        </w:rPr>
      </w:pPr>
      <w:bookmarkStart w:id="15" w:name="X558459d6e720ec4015ef96a3d731f33ebdd9ec3"/>
      <w:r>
        <w:rPr>
          <w:rFonts w:ascii="Times New Roman" w:hAnsi="Times New Roman" w:cs="Times New Roman"/>
          <w:b/>
          <w:bCs/>
          <w:color w:val="auto"/>
          <w:sz w:val="24"/>
          <w:szCs w:val="24"/>
        </w:rPr>
        <w:t>3.3 Comparison with Commercial Simulator and EDFM</w:t>
      </w:r>
      <w:bookmarkEnd w:id="15"/>
    </w:p>
    <w:p w14:paraId="462A4667">
      <w:pPr>
        <w:pStyle w:val="34"/>
        <w:rPr>
          <w:color w:val="auto"/>
        </w:rPr>
      </w:pPr>
      <w:r>
        <w:rPr>
          <w:color w:val="auto"/>
        </w:rPr>
        <w:drawing>
          <wp:inline distT="0" distB="0" distL="114300" distR="114300">
            <wp:extent cx="5334000" cy="2153285"/>
            <wp:effectExtent l="0" t="0" r="0" b="0"/>
            <wp:doc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Fig. 7. Comparison of production forecasts across three simulation approaches. (a) Cumulative oil, gas, and water production; field-level deviations between PEBI and Eclipse remain below 1.5%. (b) Near-fracture pressure profiles at t = 1,000 days. The Cartesian LGR solution exhibits step-like oscillations attributable to tangential flux leakage, the EDFM solution reduces but does not eliminate these artifacts, and the PEBI solution preserves smooth pressure gradients throughout."/>
                    <pic:cNvPicPr>
                      <a:picLocks noChangeAspect="1" noChangeArrowheads="1"/>
                    </pic:cNvPicPr>
                  </pic:nvPicPr>
                  <pic:blipFill>
                    <a:blip r:embed="rId11"/>
                    <a:stretch>
                      <a:fillRect/>
                    </a:stretch>
                  </pic:blipFill>
                  <pic:spPr>
                    <a:xfrm>
                      <a:off x="0" y="0"/>
                      <a:ext cx="5334000" cy="2153555"/>
                    </a:xfrm>
                    <a:prstGeom prst="rect">
                      <a:avLst/>
                    </a:prstGeom>
                    <a:noFill/>
                    <a:ln w="9525">
                      <a:noFill/>
                    </a:ln>
                  </pic:spPr>
                </pic:pic>
              </a:graphicData>
            </a:graphic>
          </wp:inline>
        </w:drawing>
      </w:r>
    </w:p>
    <w:p w14:paraId="0919E341">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7. Comparison of production forecasts across three simulation approaches. (a) Cumulative oil, gas, and water production; field-level deviations between PEBI and Eclipse remain below 1.5%. (b) Near-fracture pressure profiles at </w:t>
      </w:r>
      <m:oMath>
        <m:r>
          <m:rPr/>
          <w:rPr>
            <w:rFonts w:ascii="Times New Roman" w:hAnsi="Times New Roman" w:cs="Times New Roman"/>
            <w:color w:val="auto"/>
            <w:sz w:val="20"/>
            <w:szCs w:val="20"/>
          </w:rPr>
          <m:t>t=1,000</m:t>
        </m:r>
      </m:oMath>
      <w:r>
        <w:rPr>
          <w:rFonts w:ascii="Times New Roman" w:hAnsi="Times New Roman" w:cs="Times New Roman"/>
          <w:color w:val="auto"/>
          <w:sz w:val="20"/>
          <w:szCs w:val="20"/>
        </w:rPr>
        <w:t xml:space="preserve"> days</w:t>
      </w:r>
    </w:p>
    <w:p w14:paraId="14DD4233">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9: Comparison of PEBI, EDFM, and Eclipse on key diagnostic metrics.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42"/>
        <w:gridCol w:w="2142"/>
        <w:gridCol w:w="1285"/>
        <w:gridCol w:w="1987"/>
      </w:tblGrid>
      <w:tr w14:paraId="7D980F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3590" w:type="dxa"/>
            <w:tcBorders>
              <w:bottom w:val="single" w:color="auto" w:sz="0" w:space="0"/>
            </w:tcBorders>
            <w:vAlign w:val="center"/>
          </w:tcPr>
          <w:p w14:paraId="5241402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2187" w:type="dxa"/>
            <w:tcBorders>
              <w:bottom w:val="single" w:color="auto" w:sz="0" w:space="0"/>
            </w:tcBorders>
            <w:vAlign w:val="center"/>
          </w:tcPr>
          <w:p w14:paraId="12B1FB5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Eclipse </w:t>
            </w:r>
          </w:p>
          <w:p w14:paraId="37F1E50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(Cartesian LGR)</w:t>
            </w:r>
          </w:p>
        </w:tc>
        <w:tc>
          <w:tcPr>
            <w:tcW w:w="1053" w:type="dxa"/>
            <w:tcBorders>
              <w:bottom w:val="single" w:color="auto" w:sz="0" w:space="0"/>
            </w:tcBorders>
            <w:vAlign w:val="center"/>
          </w:tcPr>
          <w:p w14:paraId="3203D71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EDFM</w:t>
            </w:r>
          </w:p>
        </w:tc>
        <w:tc>
          <w:tcPr>
            <w:tcW w:w="2026" w:type="dxa"/>
            <w:tcBorders>
              <w:bottom w:val="single" w:color="auto" w:sz="0" w:space="0"/>
            </w:tcBorders>
            <w:vAlign w:val="center"/>
          </w:tcPr>
          <w:p w14:paraId="72B1B4F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Proposed PEBI</w:t>
            </w:r>
          </w:p>
        </w:tc>
      </w:tr>
      <w:tr w14:paraId="0038F0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21304F5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Cumulative oil deviation vs. PEBI</w:t>
            </w:r>
          </w:p>
        </w:tc>
        <w:tc>
          <w:tcPr>
            <w:tcW w:w="2187" w:type="dxa"/>
            <w:vAlign w:val="center"/>
          </w:tcPr>
          <w:p w14:paraId="6850A6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w:t>
            </w:r>
          </w:p>
        </w:tc>
        <w:tc>
          <w:tcPr>
            <w:tcW w:w="1053" w:type="dxa"/>
            <w:vAlign w:val="center"/>
          </w:tcPr>
          <w:p w14:paraId="4AB850A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2026" w:type="dxa"/>
            <w:vAlign w:val="center"/>
          </w:tcPr>
          <w:p w14:paraId="4609063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721762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74396CB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Near-fracture pressure error (</w:t>
            </w:r>
            <m:oMath>
              <m:r>
                <m:rPr/>
                <w:rPr>
                  <w:color w:val="auto"/>
                </w:rPr>
                <m:t>r=1</m:t>
              </m:r>
            </m:oMath>
            <w:r>
              <w:rPr>
                <w:rFonts w:ascii="Times New Roman" w:hAnsi="Times New Roman" w:cs="Times New Roman"/>
                <w:color w:val="auto"/>
                <w:sz w:val="20"/>
                <w:szCs w:val="20"/>
              </w:rPr>
              <w:t xml:space="preserve"> m)</w:t>
            </w:r>
          </w:p>
        </w:tc>
        <w:tc>
          <w:tcPr>
            <w:tcW w:w="2187" w:type="dxa"/>
            <w:vAlign w:val="center"/>
          </w:tcPr>
          <w:p w14:paraId="2897E3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0.92%</w:t>
            </w:r>
          </w:p>
        </w:tc>
        <w:tc>
          <w:tcPr>
            <w:tcW w:w="1053" w:type="dxa"/>
            <w:vAlign w:val="center"/>
          </w:tcPr>
          <w:p w14:paraId="6F03346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0.66%</w:t>
            </w:r>
          </w:p>
        </w:tc>
        <w:tc>
          <w:tcPr>
            <w:tcW w:w="2026" w:type="dxa"/>
            <w:vAlign w:val="center"/>
          </w:tcPr>
          <w:p w14:paraId="0FDC9D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0.31%</w:t>
            </w:r>
          </w:p>
        </w:tc>
      </w:tr>
      <w:tr w14:paraId="3A0FF1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7A89F79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per Newton step (CPR–SA-AMG)</w:t>
            </w:r>
          </w:p>
        </w:tc>
        <w:tc>
          <w:tcPr>
            <w:tcW w:w="2187" w:type="dxa"/>
            <w:vAlign w:val="center"/>
          </w:tcPr>
          <w:p w14:paraId="4983CB6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1053" w:type="dxa"/>
            <w:vAlign w:val="center"/>
          </w:tcPr>
          <w:p w14:paraId="0593C5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w:t>
            </w:r>
          </w:p>
        </w:tc>
        <w:tc>
          <w:tcPr>
            <w:tcW w:w="2026" w:type="dxa"/>
            <w:vAlign w:val="center"/>
          </w:tcPr>
          <w:p w14:paraId="76F649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6A7DC3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3590" w:type="dxa"/>
            <w:vAlign w:val="center"/>
          </w:tcPr>
          <w:p w14:paraId="64257F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Peak pressure-drop error vs. semi-analytical</w:t>
            </w:r>
          </w:p>
        </w:tc>
        <w:tc>
          <w:tcPr>
            <w:tcW w:w="2187" w:type="dxa"/>
            <w:vAlign w:val="center"/>
          </w:tcPr>
          <w:p w14:paraId="54F553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18.5%</w:t>
            </w:r>
          </w:p>
        </w:tc>
        <w:tc>
          <w:tcPr>
            <w:tcW w:w="1053" w:type="dxa"/>
            <w:vAlign w:val="center"/>
          </w:tcPr>
          <w:p w14:paraId="5D52EC3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12.1%</w:t>
            </w:r>
          </w:p>
        </w:tc>
        <w:tc>
          <w:tcPr>
            <w:tcW w:w="2026" w:type="dxa"/>
            <w:vAlign w:val="center"/>
          </w:tcPr>
          <w:p w14:paraId="42BCF38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bl>
    <w:p w14:paraId="78A54E25">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Figure 7 and Table 9 demonstrate that agreement in cumulative production is a necessary but not sufficient condition for solution accuracy. Within 5 m of the fracture tips, the PEBI method reduces the peak pressure-drop error by 79.5% relative to Eclipse LGR and by 68.6% relative to EDFM.</w:t>
      </w:r>
    </w:p>
    <w:p w14:paraId="05494547">
      <w:pPr>
        <w:pStyle w:val="4"/>
      </w:pPr>
      <w:r>
        <w:rPr>
          <w:rFonts w:ascii="Times New Roman" w:hAnsi="Times New Roman"/>
          <w:b/>
          <w:sz w:val="24"/>
        </w:rPr>
        <w:t>3.4 Linear-Solver Performance</w:t>
      </w:r>
    </w:p>
    <w:p w14:paraId="0484C15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Table 10 summarizes preconditioner performance on the 32-million-cell model at 512 cores.</w:t>
      </w:r>
    </w:p>
    <w:p w14:paraId="33E8DAAC">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10: Linear-solver performance per Newton step (32 M cells, 512 cores).</w:t>
      </w:r>
    </w:p>
    <w:tbl>
      <w:tblPr>
        <w:tblStyle w:val="28"/>
        <w:tblW w:w="9367"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13"/>
        <w:gridCol w:w="2223"/>
        <w:gridCol w:w="1500"/>
        <w:gridCol w:w="2046"/>
        <w:gridCol w:w="1585"/>
      </w:tblGrid>
      <w:tr w14:paraId="01A65F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016" w:type="dxa"/>
            <w:tcBorders>
              <w:bottom w:val="single" w:color="auto" w:sz="0" w:space="0"/>
            </w:tcBorders>
            <w:vAlign w:val="center"/>
          </w:tcPr>
          <w:p w14:paraId="0949335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Preconditioner</w:t>
            </w:r>
          </w:p>
        </w:tc>
        <w:tc>
          <w:tcPr>
            <w:tcW w:w="2260" w:type="dxa"/>
            <w:tcBorders>
              <w:bottom w:val="single" w:color="auto" w:sz="0" w:space="0"/>
            </w:tcBorders>
            <w:vAlign w:val="center"/>
          </w:tcPr>
          <w:p w14:paraId="64EF334D">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c>
          <w:tcPr>
            <w:tcW w:w="0" w:type="auto"/>
            <w:tcBorders>
              <w:bottom w:val="single" w:color="auto" w:sz="0" w:space="0"/>
            </w:tcBorders>
            <w:vAlign w:val="center"/>
          </w:tcPr>
          <w:p w14:paraId="5D19CE3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Solve Time </w:t>
            </w:r>
          </w:p>
          <w:p w14:paraId="499D219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6CB65CF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Setup Overhead</w:t>
            </w:r>
          </w:p>
        </w:tc>
        <w:tc>
          <w:tcPr>
            <w:tcW w:w="1490" w:type="dxa"/>
            <w:tcBorders>
              <w:bottom w:val="single" w:color="auto" w:sz="0" w:space="0"/>
            </w:tcBorders>
            <w:vAlign w:val="center"/>
          </w:tcPr>
          <w:p w14:paraId="75C68F1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Memory </w:t>
            </w:r>
          </w:p>
          <w:p w14:paraId="79867D7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(GB/rank)</w:t>
            </w:r>
          </w:p>
        </w:tc>
      </w:tr>
      <w:tr w14:paraId="09BC68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738D870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None (diagonal scaling)</w:t>
            </w:r>
          </w:p>
        </w:tc>
        <w:tc>
          <w:tcPr>
            <w:tcW w:w="2260" w:type="dxa"/>
            <w:vAlign w:val="center"/>
          </w:tcPr>
          <w:p w14:paraId="771DB8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&gt;1 000 (no convergence within limit)</w:t>
            </w:r>
          </w:p>
        </w:tc>
        <w:tc>
          <w:tcPr>
            <w:tcW w:w="0" w:type="auto"/>
            <w:vAlign w:val="center"/>
          </w:tcPr>
          <w:p w14:paraId="15B1AC5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c>
          <w:tcPr>
            <w:tcW w:w="0" w:type="auto"/>
            <w:vAlign w:val="center"/>
          </w:tcPr>
          <w:p w14:paraId="7941A69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c>
          <w:tcPr>
            <w:tcW w:w="1490" w:type="dxa"/>
            <w:vAlign w:val="center"/>
          </w:tcPr>
          <w:p w14:paraId="5ABB0D2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9D91F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0D4FFA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2260" w:type="dxa"/>
            <w:vAlign w:val="center"/>
          </w:tcPr>
          <w:p w14:paraId="472F15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7BDD12D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8.47</w:t>
            </w:r>
          </w:p>
        </w:tc>
        <w:tc>
          <w:tcPr>
            <w:tcW w:w="0" w:type="auto"/>
            <w:vAlign w:val="center"/>
          </w:tcPr>
          <w:p w14:paraId="524628F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w:t>
            </w:r>
          </w:p>
        </w:tc>
        <w:tc>
          <w:tcPr>
            <w:tcW w:w="1490" w:type="dxa"/>
            <w:vAlign w:val="center"/>
          </w:tcPr>
          <w:p w14:paraId="639AF38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4C884E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32CC71D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BoomerAMG (HYPRE)</w:t>
            </w:r>
          </w:p>
        </w:tc>
        <w:tc>
          <w:tcPr>
            <w:tcW w:w="2260" w:type="dxa"/>
            <w:vAlign w:val="center"/>
          </w:tcPr>
          <w:p w14:paraId="1025B64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c>
          <w:tcPr>
            <w:tcW w:w="0" w:type="auto"/>
            <w:vAlign w:val="center"/>
          </w:tcPr>
          <w:p w14:paraId="602770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777F17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14.5%</w:t>
            </w:r>
          </w:p>
        </w:tc>
        <w:tc>
          <w:tcPr>
            <w:tcW w:w="1490" w:type="dxa"/>
            <w:vAlign w:val="center"/>
          </w:tcPr>
          <w:p w14:paraId="66256A2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0E86AD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016" w:type="dxa"/>
            <w:vAlign w:val="center"/>
          </w:tcPr>
          <w:p w14:paraId="07A41D9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2260" w:type="dxa"/>
            <w:vAlign w:val="center"/>
          </w:tcPr>
          <w:p w14:paraId="3C5AB1E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1516" w:type="dxa"/>
            <w:vAlign w:val="center"/>
          </w:tcPr>
          <w:p w14:paraId="1B6EAD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2085" w:type="dxa"/>
            <w:vAlign w:val="center"/>
          </w:tcPr>
          <w:p w14:paraId="5371BC3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w:t>
            </w:r>
          </w:p>
        </w:tc>
        <w:tc>
          <w:tcPr>
            <w:tcW w:w="1490" w:type="dxa"/>
            <w:vAlign w:val="center"/>
          </w:tcPr>
          <w:p w14:paraId="04E282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w:t>
            </w:r>
          </w:p>
        </w:tc>
      </w:tr>
    </w:tbl>
    <w:p w14:paraId="457A7A18">
      <w:pPr>
        <w:pStyle w:val="34"/>
        <w:rPr>
          <w:color w:val="auto"/>
        </w:rPr>
      </w:pPr>
      <w:r>
        <w:rPr>
          <w:color w:val="auto"/>
        </w:rPr>
        <w:drawing>
          <wp:inline distT="0" distB="0" distL="114300" distR="114300">
            <wp:extent cx="5334000" cy="2153285"/>
            <wp:effectExtent l="0" t="0" r="0" b="0"/>
            <wp:doc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Fig. 8. Linear-solver diagnostics. (a) GMRES residual convergence history. CPR–SA-AMG reaches a residual reduction of 10^{-6} within 21 iterations, whereas Block-ILU(0) stagnates above 10^{-1} for more than 200 iterations. BoomerAMG converges in 28 iterations. (b) Per-Newton-step wall-clock time decomposition; the exposed MPI waiting period is compressed to 10.8% of the total solve time under CPR–SA-AMG."/>
                    <pic:cNvPicPr>
                      <a:picLocks noChangeAspect="1" noChangeArrowheads="1"/>
                    </pic:cNvPicPr>
                  </pic:nvPicPr>
                  <pic:blipFill>
                    <a:blip r:embed="rId12"/>
                    <a:stretch>
                      <a:fillRect/>
                    </a:stretch>
                  </pic:blipFill>
                  <pic:spPr>
                    <a:xfrm>
                      <a:off x="0" y="0"/>
                      <a:ext cx="5334000" cy="2153555"/>
                    </a:xfrm>
                    <a:prstGeom prst="rect">
                      <a:avLst/>
                    </a:prstGeom>
                    <a:noFill/>
                    <a:ln w="9525">
                      <a:noFill/>
                    </a:ln>
                  </pic:spPr>
                </pic:pic>
              </a:graphicData>
            </a:graphic>
          </wp:inline>
        </w:drawing>
      </w:r>
    </w:p>
    <w:p w14:paraId="1B35113E">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 xml:space="preserve">Fig. 8. Linear-solver diagnostics. (a) GMRES residual convergence history. CPR–SA-AMG reaches a residual reduction of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10</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−6</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within 21 iterations, whereas Block-ILU(0) stagnates above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10</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−1</m:t>
            </m:r>
            <m:ctrlPr>
              <w:rPr>
                <w:rFonts w:ascii="Times New Roman" w:hAnsi="Times New Roman" w:cs="Times New Roman"/>
                <w:color w:val="auto"/>
                <w:sz w:val="20"/>
                <w:szCs w:val="20"/>
              </w:rPr>
            </m:ctrlPr>
          </m:sup>
        </m:sSup>
      </m:oMath>
      <w:r>
        <w:rPr>
          <w:rFonts w:ascii="Times New Roman" w:hAnsi="Times New Roman" w:cs="Times New Roman"/>
          <w:color w:val="auto"/>
          <w:sz w:val="20"/>
          <w:szCs w:val="20"/>
        </w:rPr>
        <w:t xml:space="preserve"> for more than 200 iterations. BoomerAMG converges in 28 iterations. (b) Per-Newton-step wall-clock time decomposition; the exposed MPI waiting period is compressed to 10.8% of the total solve time under CPR–SA-AMG.</w:t>
      </w:r>
    </w:p>
    <w:p w14:paraId="14F06C8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Figure 8 illustrates that CPR-SA-AMG achieves a 14.9-fold reduction in GMRES iteration count (mean 21.0 +/- 2.3, n = 3,650 Newton steps) and a 72.7% decrease in solve time relative to Block-ILU(0). The SA-AMG setup overhead accounts for only 5.1% of total solution time, substantially below the 14.5% required by BoomerAMG (Henson and Yang, 2002; Falgout et al., 2006). This advantage traces to the PEBI-generated Jacobian, whose enhanced diagonal dominance (mean delta = 2.18 vs. 1.43 for Cartesian LGR) supports more efficient aggregate construction. The 21 vs. 28 iteration edge over BoomerAMG is consistent across all timesteps (paired t-test p &lt; 0.001).</w:t>
      </w:r>
    </w:p>
    <w:p w14:paraId="738AEC7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Two single-factor decomposition experiments isolate the effect of the PEBI mesh on solver performance:</w:t>
      </w:r>
    </w:p>
    <w:p w14:paraId="4B178951">
      <w:pPr>
        <w:pStyle w:val="3"/>
        <w:numPr>
          <w:ilvl w:val="0"/>
          <w:numId w:val="2"/>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Mesh-isolation experiment (CPR-SA-AMG on Cartesian LGR): Running the identical CPR-SA-AMG solver on a Cartesian LGR grid covering the same spatial domain with matched total cell count (32 million cells) yields 38 GMRES iterations and a solve time of 3.87 s, 67.5% slower than the PEBI configuration. The increase from 21 to 38 iterations is attributable to the degraded diagonal dominance of the Cartesian LGR Jacobian (delta = 1.43 vs. 2.18 for PEBI).</w:t>
      </w:r>
    </w:p>
    <w:p w14:paraId="096048E4">
      <w:pPr>
        <w:pStyle w:val="3"/>
        <w:numPr>
          <w:ilvl w:val="0"/>
          <w:numId w:val="2"/>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Solver-isolation experiment (Block-ILU(0) on PEBI): Retaining the PEBI mesh but degrading the preconditioner to Block-ILU(0) yields 312 GMRES iterations and a solve time of 8.47 s—a 3.67× increase over CPR–SA-AMG on the same PEBI grid. This isolates the preconditioner effect while holding the mesh constant.</w:t>
      </w:r>
    </w:p>
    <w:p w14:paraId="3A9ACBA0">
      <w:pPr>
        <w:pStyle w:val="12"/>
        <w:spacing w:before="0" w:after="0" w:line="300" w:lineRule="auto"/>
      </w:pPr>
      <w:r>
        <w:rPr>
          <w:rFonts w:ascii="Times New Roman" w:hAnsi="Times New Roman"/>
          <w:i/>
          <w:sz w:val="20"/>
        </w:rPr>
        <w:t>Table 11: Single-factor decomposition of solver performance (32 M cells, 512 cores).</w:t>
      </w:r>
    </w:p>
    <w:tbl>
      <w:tblPr>
        <w:tblStyle w:val="28"/>
        <w:tblW w:w="9278"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8"/>
        <w:gridCol w:w="1452"/>
        <w:gridCol w:w="1974"/>
        <w:gridCol w:w="1593"/>
        <w:gridCol w:w="1225"/>
        <w:gridCol w:w="1046"/>
      </w:tblGrid>
      <w:tr w14:paraId="473FD0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60" w:type="dxa"/>
            <w:tcBorders>
              <w:bottom w:val="single" w:color="auto" w:sz="0" w:space="0"/>
            </w:tcBorders>
            <w:vAlign w:val="center"/>
          </w:tcPr>
          <w:p w14:paraId="269F0026">
            <w:pPr>
              <w:pStyle w:val="24"/>
              <w:snapToGrid w:val="0"/>
              <w:spacing w:before="0" w:after="0"/>
              <w:ind w:left="0" w:leftChars="0" w:right="0" w:rightChars="0" w:firstLineChars="0"/>
              <w:jc w:val="left"/>
              <w:rPr>
                <w:b/>
                <w:color w:val="auto"/>
              </w:rPr>
            </w:pPr>
            <w:r>
              <w:rPr>
                <w:rFonts w:hint="eastAsia" w:ascii="Times New Roman" w:hAnsi="Times New Roman" w:eastAsia="宋体" w:cs="Times New Roman"/>
                <w:b/>
                <w:bCs/>
                <w:color w:val="auto"/>
                <w:sz w:val="20"/>
                <w:szCs w:val="20"/>
                <w:lang w:eastAsia="zh-CN"/>
              </w:rPr>
              <w:t>Single-factor decomposition of solver performance (32 M cells, 512 cores).</w:t>
            </w:r>
            <w:r>
              <w:rPr>
                <w:rFonts w:ascii="Times New Roman" w:hAnsi="Times New Roman" w:cs="Times New Roman"/>
                <w:b/>
                <w:bCs/>
                <w:color w:val="auto"/>
                <w:sz w:val="20"/>
                <w:szCs w:val="20"/>
              </w:rPr>
              <w:t>Configuration</w:t>
            </w:r>
          </w:p>
        </w:tc>
        <w:tc>
          <w:tcPr>
            <w:tcW w:w="1029" w:type="dxa"/>
            <w:tcBorders>
              <w:bottom w:val="single" w:color="auto" w:sz="0" w:space="0"/>
            </w:tcBorders>
            <w:vAlign w:val="center"/>
          </w:tcPr>
          <w:p w14:paraId="4C0AE76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Mesh</w:t>
            </w:r>
          </w:p>
        </w:tc>
        <w:tc>
          <w:tcPr>
            <w:tcW w:w="0" w:type="auto"/>
            <w:tcBorders>
              <w:bottom w:val="single" w:color="auto" w:sz="0" w:space="0"/>
            </w:tcBorders>
            <w:vAlign w:val="center"/>
          </w:tcPr>
          <w:p w14:paraId="1A28498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Preconditioner</w:t>
            </w:r>
          </w:p>
        </w:tc>
        <w:tc>
          <w:tcPr>
            <w:tcW w:w="0" w:type="auto"/>
            <w:tcBorders>
              <w:bottom w:val="single" w:color="auto" w:sz="0" w:space="0"/>
            </w:tcBorders>
            <w:vAlign w:val="center"/>
          </w:tcPr>
          <w:p w14:paraId="1234522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c>
          <w:tcPr>
            <w:tcW w:w="0" w:type="auto"/>
            <w:tcBorders>
              <w:bottom w:val="single" w:color="auto" w:sz="0" w:space="0"/>
            </w:tcBorders>
            <w:vAlign w:val="center"/>
          </w:tcPr>
          <w:p w14:paraId="7B2B67F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Solve Time </w:t>
            </w:r>
          </w:p>
          <w:p w14:paraId="48841941">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783" w:type="dxa"/>
            <w:tcBorders>
              <w:bottom w:val="single" w:color="auto" w:sz="0" w:space="0"/>
            </w:tcBorders>
            <w:vAlign w:val="center"/>
          </w:tcPr>
          <w:p w14:paraId="563C79D2">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acc>
                      <m:accPr>
                        <m:chr m:val="‾"/>
                        <m:ctrlPr>
                          <w:rPr>
                            <w:rFonts w:ascii="Times New Roman" w:hAnsi="Times New Roman"/>
                            <w:b/>
                            <w:color w:val="auto"/>
                          </w:rPr>
                        </m:ctrlPr>
                      </m:accPr>
                      <m:e>
                        <m:r>
                          <m:rPr>
                            <m:sty m:val="bi"/>
                          </m:rPr>
                          <w:rPr>
                            <w:rFonts w:hint="default" w:ascii="Times New Roman" w:hAnsi="Times New Roman"/>
                            <w:color w:val="auto"/>
                          </w:rPr>
                          <m:t>δ</m:t>
                        </m:r>
                        <m:ctrlPr>
                          <w:rPr>
                            <w:rFonts w:ascii="Times New Roman" w:hAnsi="Times New Roman"/>
                            <w:b/>
                            <w:color w:val="auto"/>
                          </w:rPr>
                        </m:ctrlPr>
                      </m:e>
                    </m:acc>
                    <m:ctrlPr>
                      <w:rPr>
                        <w:rFonts w:ascii="Times New Roman" w:hAnsi="Times New Roman"/>
                        <w:b/>
                        <w:color w:val="auto"/>
                      </w:rPr>
                    </m:ctrlPr>
                  </m:e>
                  <m:sub>
                    <m:r>
                      <m:rPr>
                        <m:sty m:val="bi"/>
                      </m:rPr>
                      <w:rPr>
                        <w:rFonts w:hint="default" w:ascii="Times New Roman" w:hAnsi="Times New Roman"/>
                        <w:color w:val="auto"/>
                      </w:rPr>
                      <m:t>i</m:t>
                    </m:r>
                    <m:ctrlPr>
                      <w:rPr>
                        <w:rFonts w:ascii="Times New Roman" w:hAnsi="Times New Roman"/>
                        <w:b/>
                        <w:color w:val="auto"/>
                      </w:rPr>
                    </m:ctrlPr>
                  </m:sub>
                </m:sSub>
              </m:oMath>
            </m:oMathPara>
          </w:p>
        </w:tc>
      </w:tr>
      <w:tr w14:paraId="1FEEA60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4CEA43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 (Proposed)</w:t>
            </w:r>
          </w:p>
        </w:tc>
        <w:tc>
          <w:tcPr>
            <w:tcW w:w="1029" w:type="dxa"/>
            <w:vAlign w:val="center"/>
          </w:tcPr>
          <w:p w14:paraId="350338B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0" w:type="auto"/>
            <w:vAlign w:val="center"/>
          </w:tcPr>
          <w:p w14:paraId="5A020A6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0" w:type="auto"/>
            <w:vAlign w:val="center"/>
          </w:tcPr>
          <w:p w14:paraId="793C481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0" w:type="auto"/>
            <w:vAlign w:val="center"/>
          </w:tcPr>
          <w:p w14:paraId="3672B97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783" w:type="dxa"/>
            <w:vAlign w:val="center"/>
          </w:tcPr>
          <w:p w14:paraId="6385A1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r>
      <w:tr w14:paraId="444B49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02CB9FA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 (Mesh isolation)</w:t>
            </w:r>
          </w:p>
        </w:tc>
        <w:tc>
          <w:tcPr>
            <w:tcW w:w="1029" w:type="dxa"/>
            <w:vAlign w:val="center"/>
          </w:tcPr>
          <w:p w14:paraId="3C0E377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Cartesian LGR</w:t>
            </w:r>
          </w:p>
        </w:tc>
        <w:tc>
          <w:tcPr>
            <w:tcW w:w="0" w:type="auto"/>
            <w:vAlign w:val="center"/>
          </w:tcPr>
          <w:p w14:paraId="227C03E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CPR–SA-AMG</w:t>
            </w:r>
          </w:p>
        </w:tc>
        <w:tc>
          <w:tcPr>
            <w:tcW w:w="0" w:type="auto"/>
            <w:vAlign w:val="center"/>
          </w:tcPr>
          <w:p w14:paraId="7AA59C3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0" w:type="auto"/>
            <w:vAlign w:val="center"/>
          </w:tcPr>
          <w:p w14:paraId="3D8A943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w:t>
            </w:r>
          </w:p>
        </w:tc>
        <w:tc>
          <w:tcPr>
            <w:tcW w:w="783" w:type="dxa"/>
            <w:vAlign w:val="center"/>
          </w:tcPr>
          <w:p w14:paraId="329D36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1.43</w:t>
            </w:r>
          </w:p>
        </w:tc>
      </w:tr>
      <w:tr w14:paraId="493C9C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50442C3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 (Solver isolation)</w:t>
            </w:r>
          </w:p>
        </w:tc>
        <w:tc>
          <w:tcPr>
            <w:tcW w:w="1029" w:type="dxa"/>
            <w:vAlign w:val="center"/>
          </w:tcPr>
          <w:p w14:paraId="4FAD7C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0" w:type="auto"/>
            <w:vAlign w:val="center"/>
          </w:tcPr>
          <w:p w14:paraId="4655A1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0" w:type="auto"/>
            <w:vAlign w:val="center"/>
          </w:tcPr>
          <w:p w14:paraId="26A154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0" w:type="auto"/>
            <w:vAlign w:val="center"/>
          </w:tcPr>
          <w:p w14:paraId="6117D70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8.47</w:t>
            </w:r>
          </w:p>
        </w:tc>
        <w:tc>
          <w:tcPr>
            <w:tcW w:w="783" w:type="dxa"/>
            <w:vAlign w:val="center"/>
          </w:tcPr>
          <w:p w14:paraId="41896FF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r>
      <w:tr w14:paraId="0A462E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60" w:type="dxa"/>
            <w:vAlign w:val="center"/>
          </w:tcPr>
          <w:p w14:paraId="0870BB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 (Baseline)</w:t>
            </w:r>
          </w:p>
        </w:tc>
        <w:tc>
          <w:tcPr>
            <w:tcW w:w="1029" w:type="dxa"/>
            <w:vAlign w:val="center"/>
          </w:tcPr>
          <w:p w14:paraId="5479BB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Cartesian LGR</w:t>
            </w:r>
          </w:p>
        </w:tc>
        <w:tc>
          <w:tcPr>
            <w:tcW w:w="1897" w:type="dxa"/>
            <w:vAlign w:val="center"/>
          </w:tcPr>
          <w:p w14:paraId="0458364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2227" w:type="dxa"/>
            <w:vAlign w:val="center"/>
          </w:tcPr>
          <w:p w14:paraId="55D09C5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312+</w:t>
            </w:r>
          </w:p>
        </w:tc>
        <w:tc>
          <w:tcPr>
            <w:tcW w:w="1482" w:type="dxa"/>
            <w:vAlign w:val="center"/>
          </w:tcPr>
          <w:p w14:paraId="025A9E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&gt;8.47</w:t>
            </w:r>
          </w:p>
        </w:tc>
        <w:tc>
          <w:tcPr>
            <w:tcW w:w="783" w:type="dxa"/>
            <w:vAlign w:val="center"/>
          </w:tcPr>
          <w:p w14:paraId="02042A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1.43</w:t>
            </w:r>
          </w:p>
        </w:tc>
      </w:tr>
    </w:tbl>
    <w:p w14:paraId="522E19C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Multi-point flux approximation methods (MPFA-O, MPFA-H, AvgMPFA) restore flux consistency on non-K-orthogonal grids at the cost of enlarged flux stencils (7-27 points in 2D). A direct comparison between PEBI+TPFA and an MPFA-type scheme on an identical unstructured grid would quantify the trade-off between mesh-generation effort and stencil complexity; such a comparison is reserved for future work (Section 4.3). Based on the diagonal dominance analysis, the mesh-isolation experiment (Table 11, Configuration B) provides a lower bound on the geometric contribution: K-orthogonality alone accounts for approximately a 1.81x reduction in GMRES iterations relative to a non-K-orthogonal grid of equivalent cell count under identical CPR-SA-AMG preconditioning.</w:t>
      </w:r>
    </w:p>
    <w:p w14:paraId="5BD9774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Factorial analysis reveals that both the mesh contribution (B - A = +17 iterations, +1.56 s) and the solver contribution (C - A = +291 iterations, +6.16 s) are substantial, but the solver improvement accounts for the larger share of total speedup. Importantly, the mesh improvement is a prerequisite for maximizing the solver benefit: the PEBI mesh reduces the diagonal dominance deficit, enabling SA-AMG to achieve a convergence factor of 0.31 versus 0.45 on Cartesian LGR. Eclipse-100 (Schlumberger, 2023) employs Nested Factorization (NF) rather than AMG-type preconditioning, so the Cartesian LGR + CPR-SA-AMG configuration (Configuration B) serves as the closest available proxy for Eclipse + CPR-SA-AMG.</w:t>
      </w:r>
    </w:p>
    <w:p w14:paraId="28D808B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Memory breakdown (per rank, PEBI + CPR-SA-AMG): Jacobian matrix 0.9 GB, AMG hierarchy (5 levels) 1.4 GB, Krylov subspace vectors 0.5 GB, MPI buffers 0.2 GB, other 0.2 GB. Total: 3.2 GB/rank.</w:t>
      </w:r>
    </w:p>
    <w:p w14:paraId="58933A7E">
      <w:pPr>
        <w:pStyle w:val="4"/>
        <w:spacing w:before="120" w:after="60" w:line="360" w:lineRule="auto"/>
        <w:jc w:val="left"/>
        <w:rPr>
          <w:rFonts w:ascii="Times New Roman" w:hAnsi="Times New Roman" w:cs="Times New Roman"/>
          <w:color w:val="auto"/>
          <w:sz w:val="24"/>
          <w:szCs w:val="24"/>
        </w:rPr>
      </w:pPr>
      <w:bookmarkStart w:id="16" w:name="parallel-scalability"/>
      <w:r>
        <w:rPr>
          <w:rFonts w:ascii="Times New Roman" w:hAnsi="Times New Roman" w:cs="Times New Roman"/>
          <w:b/>
          <w:bCs/>
          <w:color w:val="auto"/>
          <w:sz w:val="24"/>
          <w:szCs w:val="24"/>
        </w:rPr>
        <w:t>3.5 Parallel Scalability</w:t>
      </w:r>
      <w:bookmarkEnd w:id="16"/>
    </w:p>
    <w:p w14:paraId="15797BA8">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Strong-scaling performance is evaluated by varying the number of MPI ranks from 64 to 1,024 while keeping the 32-million-cell problem size fixed. Weak-scaling performance is evaluated by increasing both the problem size and the number of MPI ranks proportionally, maintaining a constant workload of 62,500 cells per rank.</w:t>
      </w:r>
    </w:p>
    <w:p w14:paraId="27B36C65">
      <w:pPr>
        <w:pStyle w:val="34"/>
        <w:rPr>
          <w:color w:val="auto"/>
        </w:rPr>
      </w:pPr>
      <w:r>
        <w:rPr>
          <w:color w:val="auto"/>
        </w:rPr>
        <w:drawing>
          <wp:inline distT="0" distB="0" distL="114300" distR="114300">
            <wp:extent cx="5334000" cy="2153285"/>
            <wp:effectExtent l="0" t="0" r="0" b="0"/>
            <wp:doc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 9. Parallel scaling characteristics. (a) Strong-scaling speedup: measured (solid curve), ideal linear (dashed), and Amdahl fit (dotted, serial fraction f = 0.002). (b) Parallel efficiency as a function of core count, comparing strong scaling (fixed 32 M cells) and weak scaling (62,500 cells per rank)."/>
                    <pic:cNvPicPr>
                      <a:picLocks noChangeAspect="1" noChangeArrowheads="1"/>
                    </pic:cNvPicPr>
                  </pic:nvPicPr>
                  <pic:blipFill>
                    <a:blip r:embed="rId13"/>
                    <a:stretch>
                      <a:fillRect/>
                    </a:stretch>
                  </pic:blipFill>
                  <pic:spPr>
                    <a:xfrm>
                      <a:off x="0" y="0"/>
                      <a:ext cx="5334000" cy="2153555"/>
                    </a:xfrm>
                    <a:prstGeom prst="rect">
                      <a:avLst/>
                    </a:prstGeom>
                    <a:noFill/>
                    <a:ln w="9525">
                      <a:noFill/>
                    </a:ln>
                  </pic:spPr>
                </pic:pic>
              </a:graphicData>
            </a:graphic>
          </wp:inline>
        </w:drawing>
      </w:r>
    </w:p>
    <w:p w14:paraId="0F2E3700">
      <w:pPr>
        <w:pStyle w:val="12"/>
        <w:spacing w:before="0" w:after="0" w:line="300" w:lineRule="auto"/>
        <w:jc w:val="center"/>
        <w:rPr>
          <w:rFonts w:ascii="Times New Roman" w:hAnsi="Times New Roman" w:cs="Times New Roman"/>
          <w:color w:val="auto"/>
          <w:sz w:val="20"/>
          <w:szCs w:val="20"/>
        </w:rPr>
      </w:pPr>
      <w:r>
        <w:rPr>
          <w:rFonts w:ascii="Times New Roman" w:hAnsi="Times New Roman"/>
          <w:sz w:val="20"/>
        </w:rPr>
        <w:t>Fig. 9. Parallel scaling characteristics. (a) Strong-scaling speedup: measured (solid curve), ideal linear (dashed), and Amdahl fit (dotted, serial fraction f = 0.002)</w:t>
      </w:r>
    </w:p>
    <w:p w14:paraId="20099AB9">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12: Strong-scaling data and communication analysis.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96"/>
        <w:gridCol w:w="1191"/>
        <w:gridCol w:w="1430"/>
        <w:gridCol w:w="1552"/>
        <w:gridCol w:w="2074"/>
        <w:gridCol w:w="1413"/>
      </w:tblGrid>
      <w:tr w14:paraId="5A8FF0A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999" w:type="dxa"/>
            <w:tcBorders>
              <w:bottom w:val="single" w:color="auto" w:sz="0" w:space="0"/>
            </w:tcBorders>
            <w:vAlign w:val="center"/>
          </w:tcPr>
          <w:p w14:paraId="7B8DEFFE">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Cores</w:t>
            </w:r>
          </w:p>
        </w:tc>
        <w:tc>
          <w:tcPr>
            <w:tcW w:w="0" w:type="auto"/>
            <w:tcBorders>
              <w:bottom w:val="single" w:color="auto" w:sz="0" w:space="0"/>
            </w:tcBorders>
            <w:vAlign w:val="center"/>
          </w:tcPr>
          <w:p w14:paraId="203B83B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Wall Time </w:t>
            </w:r>
          </w:p>
          <w:p w14:paraId="11144D5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408BCE06">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Speedup</w:t>
            </w:r>
          </w:p>
        </w:tc>
        <w:tc>
          <w:tcPr>
            <w:tcW w:w="0" w:type="auto"/>
            <w:tcBorders>
              <w:bottom w:val="single" w:color="auto" w:sz="0" w:space="0"/>
            </w:tcBorders>
            <w:vAlign w:val="center"/>
          </w:tcPr>
          <w:p w14:paraId="2EABF47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Efficiency</w:t>
            </w:r>
          </w:p>
        </w:tc>
        <w:tc>
          <w:tcPr>
            <w:tcW w:w="2003" w:type="dxa"/>
            <w:tcBorders>
              <w:bottom w:val="single" w:color="auto" w:sz="0" w:space="0"/>
            </w:tcBorders>
            <w:vAlign w:val="center"/>
          </w:tcPr>
          <w:p w14:paraId="3638011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Communication Fraction</w:t>
            </w:r>
          </w:p>
        </w:tc>
        <w:tc>
          <w:tcPr>
            <w:tcW w:w="2022" w:type="dxa"/>
            <w:tcBorders>
              <w:bottom w:val="single" w:color="auto" w:sz="0" w:space="0"/>
            </w:tcBorders>
            <w:vAlign w:val="center"/>
          </w:tcPr>
          <w:p w14:paraId="1B57AC9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Load Imbalance</w:t>
            </w:r>
          </w:p>
        </w:tc>
      </w:tr>
      <w:tr w14:paraId="6CF9D59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12D666B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w:t>
            </w:r>
          </w:p>
        </w:tc>
        <w:tc>
          <w:tcPr>
            <w:tcW w:w="0" w:type="auto"/>
            <w:vAlign w:val="center"/>
          </w:tcPr>
          <w:p w14:paraId="58C5F82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4 820</w:t>
            </w:r>
          </w:p>
        </w:tc>
        <w:tc>
          <w:tcPr>
            <w:tcW w:w="0" w:type="auto"/>
            <w:vAlign w:val="center"/>
          </w:tcPr>
          <w:p w14:paraId="7B456BA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0" w:type="auto"/>
            <w:vAlign w:val="center"/>
          </w:tcPr>
          <w:p w14:paraId="55AF6E6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2003" w:type="dxa"/>
            <w:vAlign w:val="center"/>
          </w:tcPr>
          <w:p w14:paraId="7B7565E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c>
          <w:tcPr>
            <w:tcW w:w="2022" w:type="dxa"/>
            <w:vAlign w:val="center"/>
          </w:tcPr>
          <w:p w14:paraId="3EF3E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w:t>
            </w:r>
          </w:p>
        </w:tc>
      </w:tr>
      <w:tr w14:paraId="497173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6B5A100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128</w:t>
            </w:r>
          </w:p>
        </w:tc>
        <w:tc>
          <w:tcPr>
            <w:tcW w:w="0" w:type="auto"/>
            <w:vAlign w:val="center"/>
          </w:tcPr>
          <w:p w14:paraId="3E5E1E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2 470</w:t>
            </w:r>
          </w:p>
        </w:tc>
        <w:tc>
          <w:tcPr>
            <w:tcW w:w="0" w:type="auto"/>
            <w:vAlign w:val="center"/>
          </w:tcPr>
          <w:p w14:paraId="77F1027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1.95</w:t>
            </w:r>
          </w:p>
        </w:tc>
        <w:tc>
          <w:tcPr>
            <w:tcW w:w="0" w:type="auto"/>
            <w:vAlign w:val="center"/>
          </w:tcPr>
          <w:p w14:paraId="5B8B9E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97.5%</w:t>
            </w:r>
          </w:p>
        </w:tc>
        <w:tc>
          <w:tcPr>
            <w:tcW w:w="2003" w:type="dxa"/>
            <w:vAlign w:val="center"/>
          </w:tcPr>
          <w:p w14:paraId="233573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6.1%</w:t>
            </w:r>
          </w:p>
        </w:tc>
        <w:tc>
          <w:tcPr>
            <w:tcW w:w="2022" w:type="dxa"/>
            <w:vAlign w:val="center"/>
          </w:tcPr>
          <w:p w14:paraId="0EC1CD8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r>
      <w:tr w14:paraId="40A32EF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5145505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256</w:t>
            </w:r>
          </w:p>
        </w:tc>
        <w:tc>
          <w:tcPr>
            <w:tcW w:w="0" w:type="auto"/>
            <w:vAlign w:val="center"/>
          </w:tcPr>
          <w:p w14:paraId="6A2346A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1 330</w:t>
            </w:r>
          </w:p>
        </w:tc>
        <w:tc>
          <w:tcPr>
            <w:tcW w:w="0" w:type="auto"/>
            <w:vAlign w:val="center"/>
          </w:tcPr>
          <w:p w14:paraId="2365CC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3.62</w:t>
            </w:r>
          </w:p>
        </w:tc>
        <w:tc>
          <w:tcPr>
            <w:tcW w:w="0" w:type="auto"/>
            <w:vAlign w:val="center"/>
          </w:tcPr>
          <w:p w14:paraId="22D65DA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90.1%</w:t>
            </w:r>
          </w:p>
        </w:tc>
        <w:tc>
          <w:tcPr>
            <w:tcW w:w="2003" w:type="dxa"/>
            <w:vAlign w:val="center"/>
          </w:tcPr>
          <w:p w14:paraId="41F737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8.3%</w:t>
            </w:r>
          </w:p>
        </w:tc>
        <w:tc>
          <w:tcPr>
            <w:tcW w:w="2022" w:type="dxa"/>
            <w:vAlign w:val="center"/>
          </w:tcPr>
          <w:p w14:paraId="17B5FFA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r>
      <w:tr w14:paraId="0940A3B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6A31850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512</w:t>
            </w:r>
          </w:p>
        </w:tc>
        <w:tc>
          <w:tcPr>
            <w:tcW w:w="0" w:type="auto"/>
            <w:vAlign w:val="center"/>
          </w:tcPr>
          <w:p w14:paraId="0F32E1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730</w:t>
            </w:r>
          </w:p>
        </w:tc>
        <w:tc>
          <w:tcPr>
            <w:tcW w:w="0" w:type="auto"/>
            <w:vAlign w:val="center"/>
          </w:tcPr>
          <w:p w14:paraId="5165D4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6.60</w:t>
            </w:r>
          </w:p>
        </w:tc>
        <w:tc>
          <w:tcPr>
            <w:tcW w:w="0" w:type="auto"/>
            <w:vAlign w:val="center"/>
          </w:tcPr>
          <w:p w14:paraId="09DF8B5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82.5%</w:t>
            </w:r>
          </w:p>
        </w:tc>
        <w:tc>
          <w:tcPr>
            <w:tcW w:w="2003" w:type="dxa"/>
            <w:vAlign w:val="center"/>
          </w:tcPr>
          <w:p w14:paraId="06A6CEF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10.8%</w:t>
            </w:r>
          </w:p>
        </w:tc>
        <w:tc>
          <w:tcPr>
            <w:tcW w:w="2022" w:type="dxa"/>
            <w:vAlign w:val="center"/>
          </w:tcPr>
          <w:p w14:paraId="705C6E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w:t>
            </w:r>
          </w:p>
        </w:tc>
      </w:tr>
      <w:tr w14:paraId="6C9536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99" w:type="dxa"/>
            <w:vAlign w:val="center"/>
          </w:tcPr>
          <w:p w14:paraId="175EE1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1377" w:type="dxa"/>
            <w:vAlign w:val="center"/>
          </w:tcPr>
          <w:p w14:paraId="21939CC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425</w:t>
            </w:r>
          </w:p>
        </w:tc>
        <w:tc>
          <w:tcPr>
            <w:tcW w:w="1168" w:type="dxa"/>
            <w:vAlign w:val="center"/>
          </w:tcPr>
          <w:p w14:paraId="5F8E99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11.34</w:t>
            </w:r>
          </w:p>
        </w:tc>
        <w:tc>
          <w:tcPr>
            <w:tcW w:w="1287" w:type="dxa"/>
            <w:vAlign w:val="center"/>
          </w:tcPr>
          <w:p w14:paraId="755E821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70.8%</w:t>
            </w:r>
          </w:p>
        </w:tc>
        <w:tc>
          <w:tcPr>
            <w:tcW w:w="2003" w:type="dxa"/>
            <w:vAlign w:val="center"/>
          </w:tcPr>
          <w:p w14:paraId="7A38025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15.7%</w:t>
            </w:r>
          </w:p>
        </w:tc>
        <w:tc>
          <w:tcPr>
            <w:tcW w:w="2022" w:type="dxa"/>
            <w:vAlign w:val="center"/>
          </w:tcPr>
          <w:p w14:paraId="39278E8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4.7%</w:t>
            </w:r>
          </w:p>
        </w:tc>
      </w:tr>
    </w:tbl>
    <w:p w14:paraId="23B2B657">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13: Weak-scaling data (62,500 cells per rank, 10 Newton steps, averaged).</w:t>
      </w:r>
    </w:p>
    <w:tbl>
      <w:tblPr>
        <w:tblStyle w:val="28"/>
        <w:tblW w:w="10779"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96"/>
        <w:gridCol w:w="1474"/>
        <w:gridCol w:w="3091"/>
        <w:gridCol w:w="2807"/>
        <w:gridCol w:w="2211"/>
      </w:tblGrid>
      <w:tr w14:paraId="4879B02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958" w:type="dxa"/>
            <w:tcBorders>
              <w:bottom w:val="single" w:color="auto" w:sz="0" w:space="0"/>
            </w:tcBorders>
            <w:vAlign w:val="center"/>
          </w:tcPr>
          <w:p w14:paraId="22A8BD4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Cores</w:t>
            </w:r>
          </w:p>
        </w:tc>
        <w:tc>
          <w:tcPr>
            <w:tcW w:w="1491" w:type="dxa"/>
            <w:tcBorders>
              <w:bottom w:val="single" w:color="auto" w:sz="0" w:space="0"/>
            </w:tcBorders>
            <w:vAlign w:val="center"/>
          </w:tcPr>
          <w:p w14:paraId="4CB0BAC1">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Total Cells</w:t>
            </w:r>
          </w:p>
        </w:tc>
        <w:tc>
          <w:tcPr>
            <w:tcW w:w="0" w:type="auto"/>
            <w:tcBorders>
              <w:bottom w:val="single" w:color="auto" w:sz="0" w:space="0"/>
            </w:tcBorders>
            <w:vAlign w:val="center"/>
          </w:tcPr>
          <w:p w14:paraId="5E991E0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Wall Time per Newton Step </w:t>
            </w:r>
          </w:p>
          <w:p w14:paraId="4D7CC35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w:t>
            </w:r>
          </w:p>
        </w:tc>
        <w:tc>
          <w:tcPr>
            <w:tcW w:w="0" w:type="auto"/>
            <w:tcBorders>
              <w:bottom w:val="single" w:color="auto" w:sz="0" w:space="0"/>
            </w:tcBorders>
            <w:vAlign w:val="center"/>
          </w:tcPr>
          <w:p w14:paraId="7B136F5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Weak-Scaling Efficiency</w:t>
            </w:r>
          </w:p>
        </w:tc>
        <w:tc>
          <w:tcPr>
            <w:tcW w:w="2251" w:type="dxa"/>
            <w:tcBorders>
              <w:bottom w:val="single" w:color="auto" w:sz="0" w:space="0"/>
            </w:tcBorders>
            <w:vAlign w:val="center"/>
          </w:tcPr>
          <w:p w14:paraId="0F0B0F8F">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GMRES Iterations</w:t>
            </w:r>
          </w:p>
        </w:tc>
      </w:tr>
      <w:tr w14:paraId="250359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33B4511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w:t>
            </w:r>
          </w:p>
        </w:tc>
        <w:tc>
          <w:tcPr>
            <w:tcW w:w="1491" w:type="dxa"/>
            <w:vAlign w:val="center"/>
          </w:tcPr>
          <w:p w14:paraId="53A73E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4.0 M</w:t>
            </w:r>
          </w:p>
        </w:tc>
        <w:tc>
          <w:tcPr>
            <w:tcW w:w="0" w:type="auto"/>
            <w:vAlign w:val="center"/>
          </w:tcPr>
          <w:p w14:paraId="521E3B6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126</w:t>
            </w:r>
          </w:p>
        </w:tc>
        <w:tc>
          <w:tcPr>
            <w:tcW w:w="0" w:type="auto"/>
            <w:vAlign w:val="center"/>
          </w:tcPr>
          <w:p w14:paraId="27AD90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 (baseline)</w:t>
            </w:r>
          </w:p>
        </w:tc>
        <w:tc>
          <w:tcPr>
            <w:tcW w:w="2251" w:type="dxa"/>
            <w:vAlign w:val="center"/>
          </w:tcPr>
          <w:p w14:paraId="3E133B1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r>
      <w:tr w14:paraId="77EA5F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4BB9551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128</w:t>
            </w:r>
          </w:p>
        </w:tc>
        <w:tc>
          <w:tcPr>
            <w:tcW w:w="1491" w:type="dxa"/>
            <w:vAlign w:val="center"/>
          </w:tcPr>
          <w:p w14:paraId="6552FFD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8.0 M</w:t>
            </w:r>
          </w:p>
        </w:tc>
        <w:tc>
          <w:tcPr>
            <w:tcW w:w="0" w:type="auto"/>
            <w:vAlign w:val="center"/>
          </w:tcPr>
          <w:p w14:paraId="7FF934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129</w:t>
            </w:r>
          </w:p>
        </w:tc>
        <w:tc>
          <w:tcPr>
            <w:tcW w:w="0" w:type="auto"/>
            <w:vAlign w:val="center"/>
          </w:tcPr>
          <w:p w14:paraId="699ABD4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97.7%</w:t>
            </w:r>
          </w:p>
        </w:tc>
        <w:tc>
          <w:tcPr>
            <w:tcW w:w="2251" w:type="dxa"/>
            <w:vAlign w:val="center"/>
          </w:tcPr>
          <w:p w14:paraId="476FBDC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205664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1C8F8C8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256</w:t>
            </w:r>
          </w:p>
        </w:tc>
        <w:tc>
          <w:tcPr>
            <w:tcW w:w="1491" w:type="dxa"/>
            <w:vAlign w:val="center"/>
          </w:tcPr>
          <w:p w14:paraId="6370D1A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16.0 M</w:t>
            </w:r>
          </w:p>
        </w:tc>
        <w:tc>
          <w:tcPr>
            <w:tcW w:w="0" w:type="auto"/>
            <w:vAlign w:val="center"/>
          </w:tcPr>
          <w:p w14:paraId="226858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132</w:t>
            </w:r>
          </w:p>
        </w:tc>
        <w:tc>
          <w:tcPr>
            <w:tcW w:w="0" w:type="auto"/>
            <w:vAlign w:val="center"/>
          </w:tcPr>
          <w:p w14:paraId="371D5E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95.5%</w:t>
            </w:r>
          </w:p>
        </w:tc>
        <w:tc>
          <w:tcPr>
            <w:tcW w:w="2251" w:type="dxa"/>
            <w:vAlign w:val="center"/>
          </w:tcPr>
          <w:p w14:paraId="0ACA4FF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r>
      <w:tr w14:paraId="3515F81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37D384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512</w:t>
            </w:r>
          </w:p>
        </w:tc>
        <w:tc>
          <w:tcPr>
            <w:tcW w:w="1491" w:type="dxa"/>
            <w:vAlign w:val="center"/>
          </w:tcPr>
          <w:p w14:paraId="2066C6D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32.0 M</w:t>
            </w:r>
          </w:p>
        </w:tc>
        <w:tc>
          <w:tcPr>
            <w:tcW w:w="0" w:type="auto"/>
            <w:vAlign w:val="center"/>
          </w:tcPr>
          <w:p w14:paraId="0D2C334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138</w:t>
            </w:r>
          </w:p>
        </w:tc>
        <w:tc>
          <w:tcPr>
            <w:tcW w:w="0" w:type="auto"/>
            <w:vAlign w:val="center"/>
          </w:tcPr>
          <w:p w14:paraId="1492BC8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91.3%</w:t>
            </w:r>
          </w:p>
        </w:tc>
        <w:tc>
          <w:tcPr>
            <w:tcW w:w="2251" w:type="dxa"/>
            <w:vAlign w:val="center"/>
          </w:tcPr>
          <w:p w14:paraId="0A2629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0F1152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58" w:type="dxa"/>
            <w:vAlign w:val="center"/>
          </w:tcPr>
          <w:p w14:paraId="6C259E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w:t>
            </w:r>
          </w:p>
        </w:tc>
        <w:tc>
          <w:tcPr>
            <w:tcW w:w="1491" w:type="dxa"/>
            <w:vAlign w:val="center"/>
          </w:tcPr>
          <w:p w14:paraId="5B3CCAF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64.0 M</w:t>
            </w:r>
          </w:p>
        </w:tc>
        <w:tc>
          <w:tcPr>
            <w:tcW w:w="3193" w:type="dxa"/>
            <w:vAlign w:val="center"/>
          </w:tcPr>
          <w:p w14:paraId="63D6528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147</w:t>
            </w:r>
          </w:p>
        </w:tc>
        <w:tc>
          <w:tcPr>
            <w:tcW w:w="2886" w:type="dxa"/>
            <w:vAlign w:val="center"/>
          </w:tcPr>
          <w:p w14:paraId="71E7581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85.7%</w:t>
            </w:r>
          </w:p>
        </w:tc>
        <w:tc>
          <w:tcPr>
            <w:tcW w:w="2251" w:type="dxa"/>
            <w:vAlign w:val="center"/>
          </w:tcPr>
          <w:p w14:paraId="4894F1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w:t>
            </w:r>
          </w:p>
        </w:tc>
      </w:tr>
    </w:tbl>
    <w:p w14:paraId="72B1D53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Physics-weighted partitioning reduces load imbalance from 18.5% (unweighted ParMETIS) to 3.2% at 512 cores. The strong-scaling efficiency loss beyond 512 cores is attributable to global MPI_Allreduce operations on the coarsest AMG levels (Amdahl, 1967; Gustafson, 1988). Under weak scaling, GMRES iterations remain stable at 21-23 across all tested core counts.</w:t>
      </w:r>
    </w:p>
    <w:p w14:paraId="760ABBEB">
      <w:pPr>
        <w:pStyle w:val="3"/>
        <w:spacing w:before="0" w:after="0" w:line="360" w:lineRule="auto"/>
        <w:ind w:firstLine="480" w:firstLineChars="200"/>
        <w:jc w:val="both"/>
        <w:rPr>
          <w:rFonts w:ascii="Times New Roman" w:hAnsi="Times New Roman" w:cs="Times New Roman"/>
          <w:color w:val="auto"/>
          <w:sz w:val="24"/>
          <w:szCs w:val="24"/>
        </w:rPr>
      </w:pPr>
    </w:p>
    <w:p w14:paraId="4897351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assess practical viability, the mesh-generation pipeline was benchmarked on the 32-million-cell base configuration using a single node (64 cores). The five-stage pipeline required 1,247 s total wall-clock time: constrained point seeding (42 s), CDT construction (218 s), Ruppert refinement (531 s), Voronoi dual extraction (189 s), and Lloyd smoothing (267 s, 50 iterations). This one-time preprocessing cost represents approximately 2.6% of a single ten-year production forecast (13.4 h on 512 cores) and is amortized after the second simulation run. For Monte Carlo ensemble studies (n = 25 in Section 3.6), the embarrassingly parallel nature of mesh generation reduces wall-clock time linearly with available nodes. For comparison, generating an equivalently resolved seven-level nested Cartesian LGR grid required 894 s, confirming the PEBI pipeline introduces no prohibitive preprocessing overhead.</w:t>
      </w:r>
    </w:p>
    <w:p w14:paraId="2D95BF62">
      <w:pPr>
        <w:pStyle w:val="4"/>
        <w:spacing w:before="120" w:after="60" w:line="360" w:lineRule="auto"/>
        <w:jc w:val="left"/>
        <w:rPr>
          <w:rFonts w:ascii="Times New Roman" w:hAnsi="Times New Roman" w:cs="Times New Roman"/>
          <w:color w:val="auto"/>
          <w:sz w:val="24"/>
          <w:szCs w:val="24"/>
        </w:rPr>
      </w:pPr>
      <w:bookmarkStart w:id="17" w:name="dfn-robustness"/>
      <w:r>
        <w:rPr>
          <w:rFonts w:ascii="Times New Roman" w:hAnsi="Times New Roman" w:cs="Times New Roman"/>
          <w:b/>
          <w:bCs/>
          <w:color w:val="auto"/>
          <w:sz w:val="24"/>
          <w:szCs w:val="24"/>
        </w:rPr>
        <w:t>3.6 DFN Robustness</w:t>
      </w:r>
      <w:bookmarkEnd w:id="17"/>
    </w:p>
    <w:p w14:paraId="774AA45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To evaluate robustness under complex geological conditions, a stochastic DFN comprising 1,247 natural fractures is superimposed on the base model. A single baseline DFN realization (seed 0) is used for all deterministic comparisons; the Monte Carlo ensemble (n = 25) quantifies statistical variability. The single-realization condition number ratio is 2.87x; the ensemble yields 2.94 +/- 0.41x (mean +/- 1 sigma, n = 25).</w:t>
      </w:r>
    </w:p>
    <w:p w14:paraId="6E98FEE6">
      <w:pPr>
        <w:pStyle w:val="34"/>
        <w:rPr>
          <w:color w:val="auto"/>
        </w:rPr>
      </w:pPr>
      <w:r>
        <w:rPr>
          <w:color w:val="auto"/>
        </w:rPr>
        <w:drawing>
          <wp:inline distT="0" distB="0" distL="114300" distR="114300">
            <wp:extent cx="5334000" cy="2414905"/>
            <wp:effectExtent l="0" t="0" r="0" b="0"/>
            <wp:doc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
                    <pic:cNvPicPr>
                      <a:picLocks noChangeAspect="1" noChangeArrowheads="1"/>
                    </pic:cNvPicPr>
                  </pic:nvPicPr>
                  <pic:blipFill>
                    <a:blip r:embed="rId14"/>
                    <a:stretch>
                      <a:fillRect/>
                    </a:stretch>
                  </pic:blipFill>
                  <pic:spPr>
                    <a:xfrm>
                      <a:off x="0" y="0"/>
                      <a:ext cx="5334000" cy="2415474"/>
                    </a:xfrm>
                    <a:prstGeom prst="rect">
                      <a:avLst/>
                    </a:prstGeom>
                    <a:noFill/>
                    <a:ln w="9525">
                      <a:noFill/>
                    </a:ln>
                  </pic:spPr>
                </pic:pic>
              </a:graphicData>
            </a:graphic>
          </wp:inline>
        </w:drawing>
      </w:r>
    </w:p>
    <w:p w14:paraId="3C4FF157">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10. PEBI mesh conforming to the DFN. (a) Full-domain view showing the 1,247 natural fractures (gray) and five hydraulic-fracture stages (red) embedded in the PEBI framework. (b) Local enlargement at a triple-fracture junction, demonstrating preserved cell quality and strict face–fracture conformity.</w:t>
      </w:r>
    </w:p>
    <w:p w14:paraId="384F0AB4">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14: Algebraic conditioning and solver performance under DFN insertion (n = 25 Monte Carlo realizations).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9"/>
        <w:gridCol w:w="1531"/>
        <w:gridCol w:w="1831"/>
        <w:gridCol w:w="1790"/>
        <w:gridCol w:w="1825"/>
      </w:tblGrid>
      <w:tr w14:paraId="443C4A4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bottom"/>
          </w:tcPr>
          <w:p w14:paraId="3F8F798A">
            <w:pPr>
              <w:pStyle w:val="24"/>
              <w:snapToGrid w:val="0"/>
              <w:spacing w:before="0" w:after="0"/>
              <w:jc w:val="left"/>
              <w:rPr>
                <w:color w:val="auto"/>
              </w:rPr>
            </w:pPr>
            <w:r>
              <w:rPr>
                <w:rFonts w:ascii="Times New Roman" w:hAnsi="Times New Roman" w:cs="Times New Roman"/>
                <w:b/>
                <w:bCs/>
                <w:color w:val="auto"/>
                <w:sz w:val="20"/>
                <w:szCs w:val="20"/>
              </w:rPr>
              <w:t>Metric</w:t>
            </w:r>
          </w:p>
        </w:tc>
        <w:tc>
          <w:tcPr>
            <w:tcW w:w="0" w:type="auto"/>
            <w:tcBorders>
              <w:bottom w:val="single" w:color="auto" w:sz="0" w:space="0"/>
            </w:tcBorders>
            <w:vAlign w:val="bottom"/>
          </w:tcPr>
          <w:p w14:paraId="4C933025">
            <w:pPr>
              <w:pStyle w:val="24"/>
              <w:snapToGrid w:val="0"/>
              <w:spacing w:before="0" w:after="0"/>
              <w:jc w:val="left"/>
              <w:rPr>
                <w:color w:val="auto"/>
              </w:rPr>
            </w:pPr>
            <w:r>
              <w:rPr>
                <w:rFonts w:ascii="Times New Roman" w:hAnsi="Times New Roman" w:cs="Times New Roman"/>
                <w:b/>
                <w:bCs/>
                <w:color w:val="auto"/>
                <w:sz w:val="20"/>
                <w:szCs w:val="20"/>
              </w:rPr>
              <w:t>No DFN</w:t>
            </w:r>
          </w:p>
        </w:tc>
        <w:tc>
          <w:tcPr>
            <w:tcW w:w="0" w:type="auto"/>
            <w:tcBorders>
              <w:bottom w:val="single" w:color="auto" w:sz="0" w:space="0"/>
            </w:tcBorders>
            <w:vAlign w:val="bottom"/>
          </w:tcPr>
          <w:p w14:paraId="7FF07ABF">
            <w:pPr>
              <w:pStyle w:val="24"/>
              <w:snapToGrid w:val="0"/>
              <w:spacing w:before="0" w:after="0"/>
              <w:jc w:val="left"/>
              <w:rPr>
                <w:color w:val="auto"/>
              </w:rPr>
            </w:pPr>
            <w:r>
              <w:rPr>
                <w:rFonts w:ascii="Times New Roman" w:hAnsi="Times New Roman" w:cs="Times New Roman"/>
                <w:b/>
                <w:bCs/>
                <w:color w:val="auto"/>
                <w:sz w:val="20"/>
                <w:szCs w:val="20"/>
              </w:rPr>
              <w:t>Proposed PEBI (DFN)</w:t>
            </w:r>
          </w:p>
        </w:tc>
        <w:tc>
          <w:tcPr>
            <w:tcW w:w="0" w:type="auto"/>
            <w:tcBorders>
              <w:bottom w:val="single" w:color="auto" w:sz="0" w:space="0"/>
            </w:tcBorders>
            <w:vAlign w:val="bottom"/>
          </w:tcPr>
          <w:p w14:paraId="7DE158F7">
            <w:pPr>
              <w:pStyle w:val="24"/>
              <w:snapToGrid w:val="0"/>
              <w:spacing w:before="0" w:after="0"/>
              <w:jc w:val="left"/>
              <w:rPr>
                <w:color w:val="auto"/>
              </w:rPr>
            </w:pPr>
            <w:r>
              <w:rPr>
                <w:rFonts w:ascii="Times New Roman" w:hAnsi="Times New Roman" w:cs="Times New Roman"/>
                <w:b/>
                <w:bCs/>
                <w:color w:val="auto"/>
                <w:sz w:val="20"/>
                <w:szCs w:val="20"/>
              </w:rPr>
              <w:t>Standard Unstructured (DFN)</w:t>
            </w:r>
          </w:p>
        </w:tc>
        <w:tc>
          <w:tcPr>
            <w:tcW w:w="1825" w:type="dxa"/>
            <w:tcBorders>
              <w:bottom w:val="single" w:color="auto" w:sz="0" w:space="0"/>
            </w:tcBorders>
            <w:vAlign w:val="bottom"/>
          </w:tcPr>
          <w:p w14:paraId="75A9CB0C">
            <w:pPr>
              <w:pStyle w:val="24"/>
              <w:snapToGrid w:val="0"/>
              <w:spacing w:before="0" w:after="0"/>
              <w:jc w:val="left"/>
              <w:rPr>
                <w:color w:val="auto"/>
              </w:rPr>
            </w:pPr>
            <w:r>
              <w:rPr>
                <w:rFonts w:ascii="Times New Roman" w:hAnsi="Times New Roman" w:cs="Times New Roman"/>
                <w:b/>
                <w:bCs/>
                <w:color w:val="auto"/>
                <w:sz w:val="20"/>
                <w:szCs w:val="20"/>
              </w:rPr>
              <w:t>Cartesian LGR (DFN)</w:t>
            </w:r>
          </w:p>
        </w:tc>
      </w:tr>
      <w:tr w14:paraId="0DDC9B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32749B54">
            <w:pPr>
              <w:pStyle w:val="24"/>
              <w:snapToGrid w:val="0"/>
              <w:spacing w:before="0" w:after="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0" w:type="auto"/>
          </w:tcPr>
          <w:p w14:paraId="1883EB12">
            <w:pPr>
              <w:pStyle w:val="24"/>
              <w:snapToGrid w:val="0"/>
              <w:spacing w:before="0" w:after="0"/>
              <w:jc w:val="left"/>
              <w:rPr>
                <w:color w:val="auto"/>
              </w:rPr>
            </w:pPr>
            <w:r>
              <w:rPr>
                <w:rFonts w:ascii="Times New Roman" w:hAnsi="Times New Roman" w:cs="Times New Roman"/>
                <w:color w:val="auto"/>
                <w:sz w:val="20"/>
                <w:szCs w:val="20"/>
              </w:rPr>
              <w:t>97.1%</w:t>
            </w:r>
          </w:p>
        </w:tc>
        <w:tc>
          <w:tcPr>
            <w:tcW w:w="0" w:type="auto"/>
          </w:tcPr>
          <w:p w14:paraId="31E627BD">
            <w:pPr>
              <w:pStyle w:val="24"/>
              <w:snapToGrid w:val="0"/>
              <w:spacing w:before="0" w:after="0"/>
              <w:jc w:val="left"/>
              <w:rPr>
                <w:color w:val="auto"/>
              </w:rPr>
            </w:pPr>
            <w:r>
              <w:rPr>
                <w:rFonts w:ascii="Times New Roman" w:hAnsi="Times New Roman" w:cs="Times New Roman"/>
                <w:color w:val="auto"/>
                <w:sz w:val="20"/>
                <w:szCs w:val="20"/>
              </w:rPr>
              <w:t>95.3%</w:t>
            </w:r>
          </w:p>
        </w:tc>
        <w:tc>
          <w:tcPr>
            <w:tcW w:w="0" w:type="auto"/>
          </w:tcPr>
          <w:p w14:paraId="45074B1C">
            <w:pPr>
              <w:pStyle w:val="24"/>
              <w:snapToGrid w:val="0"/>
              <w:spacing w:before="0" w:after="0"/>
              <w:jc w:val="left"/>
              <w:rPr>
                <w:color w:val="auto"/>
              </w:rPr>
            </w:pPr>
            <w:r>
              <w:rPr>
                <w:rFonts w:ascii="Times New Roman" w:hAnsi="Times New Roman" w:cs="Times New Roman"/>
                <w:color w:val="auto"/>
                <w:sz w:val="20"/>
                <w:szCs w:val="20"/>
              </w:rPr>
              <w:t>81.2%</w:t>
            </w:r>
          </w:p>
        </w:tc>
        <w:tc>
          <w:tcPr>
            <w:tcW w:w="1825" w:type="dxa"/>
          </w:tcPr>
          <w:p w14:paraId="2557908C">
            <w:pPr>
              <w:pStyle w:val="24"/>
              <w:snapToGrid w:val="0"/>
              <w:spacing w:before="0" w:after="0"/>
              <w:jc w:val="left"/>
              <w:rPr>
                <w:color w:val="auto"/>
              </w:rPr>
            </w:pPr>
            <w:r>
              <w:rPr>
                <w:rFonts w:ascii="Times New Roman" w:hAnsi="Times New Roman" w:cs="Times New Roman"/>
                <w:color w:val="auto"/>
                <w:sz w:val="20"/>
                <w:szCs w:val="20"/>
              </w:rPr>
              <w:t>58.7%</w:t>
            </w:r>
          </w:p>
        </w:tc>
      </w:tr>
      <w:tr w14:paraId="5AA7CA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2D3247EF">
            <w:pPr>
              <w:pStyle w:val="24"/>
              <w:snapToGrid w:val="0"/>
              <w:spacing w:before="0" w:after="0"/>
              <w:jc w:val="left"/>
              <w:rPr>
                <w:color w:val="auto"/>
              </w:rPr>
            </w:pPr>
            <w:r>
              <w:rPr>
                <w:rFonts w:ascii="Times New Roman" w:hAnsi="Times New Roman" w:cs="Times New Roman"/>
                <w:color w:val="auto"/>
                <w:sz w:val="20"/>
                <w:szCs w:val="20"/>
              </w:rPr>
              <w:t>Maximum aspect ratio</w:t>
            </w:r>
          </w:p>
        </w:tc>
        <w:tc>
          <w:tcPr>
            <w:tcW w:w="0" w:type="auto"/>
          </w:tcPr>
          <w:p w14:paraId="657A4B73">
            <w:pPr>
              <w:pStyle w:val="24"/>
              <w:snapToGrid w:val="0"/>
              <w:spacing w:before="0" w:after="0"/>
              <w:jc w:val="left"/>
              <w:rPr>
                <w:color w:val="auto"/>
              </w:rPr>
            </w:pPr>
            <w:r>
              <w:rPr>
                <w:rFonts w:ascii="Times New Roman" w:hAnsi="Times New Roman" w:cs="Times New Roman"/>
                <w:color w:val="auto"/>
                <w:sz w:val="20"/>
                <w:szCs w:val="20"/>
              </w:rPr>
              <w:t>3.8</w:t>
            </w:r>
          </w:p>
        </w:tc>
        <w:tc>
          <w:tcPr>
            <w:tcW w:w="0" w:type="auto"/>
          </w:tcPr>
          <w:p w14:paraId="4E9AF441">
            <w:pPr>
              <w:pStyle w:val="24"/>
              <w:snapToGrid w:val="0"/>
              <w:spacing w:before="0" w:after="0"/>
              <w:jc w:val="left"/>
              <w:rPr>
                <w:color w:val="auto"/>
              </w:rPr>
            </w:pPr>
            <w:r>
              <w:rPr>
                <w:rFonts w:ascii="Times New Roman" w:hAnsi="Times New Roman" w:cs="Times New Roman"/>
                <w:color w:val="auto"/>
                <w:sz w:val="20"/>
                <w:szCs w:val="20"/>
              </w:rPr>
              <w:t>4.7</w:t>
            </w:r>
          </w:p>
        </w:tc>
        <w:tc>
          <w:tcPr>
            <w:tcW w:w="0" w:type="auto"/>
          </w:tcPr>
          <w:p w14:paraId="63C70D89">
            <w:pPr>
              <w:pStyle w:val="24"/>
              <w:snapToGrid w:val="0"/>
              <w:spacing w:before="0" w:after="0"/>
              <w:jc w:val="left"/>
              <w:rPr>
                <w:color w:val="auto"/>
              </w:rPr>
            </w:pPr>
            <w:r>
              <w:rPr>
                <w:rFonts w:ascii="Times New Roman" w:hAnsi="Times New Roman" w:cs="Times New Roman"/>
                <w:color w:val="auto"/>
                <w:sz w:val="20"/>
                <w:szCs w:val="20"/>
              </w:rPr>
              <w:t>12.3</w:t>
            </w:r>
          </w:p>
        </w:tc>
        <w:tc>
          <w:tcPr>
            <w:tcW w:w="1825" w:type="dxa"/>
          </w:tcPr>
          <w:p w14:paraId="18C90BBD">
            <w:pPr>
              <w:pStyle w:val="24"/>
              <w:snapToGrid w:val="0"/>
              <w:spacing w:before="0" w:after="0"/>
              <w:jc w:val="left"/>
              <w:rPr>
                <w:color w:val="auto"/>
              </w:rPr>
            </w:pPr>
            <w:r>
              <w:rPr>
                <w:rFonts w:ascii="Times New Roman" w:hAnsi="Times New Roman" w:cs="Times New Roman"/>
                <w:color w:val="auto"/>
                <w:sz w:val="20"/>
                <w:szCs w:val="20"/>
              </w:rPr>
              <w:t>9.1</w:t>
            </w:r>
          </w:p>
        </w:tc>
      </w:tr>
      <w:tr w14:paraId="136ED4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56CDC26F">
            <w:pPr>
              <w:pStyle w:val="24"/>
              <w:snapToGrid w:val="0"/>
              <w:spacing w:before="0" w:after="0"/>
              <w:jc w:val="left"/>
              <w:rPr>
                <w:color w:val="auto"/>
              </w:rPr>
            </w:pPr>
            <m:oMathPara>
              <m:oMath>
                <m:r>
                  <m:rPr/>
                  <w:rPr>
                    <w:color w:val="auto"/>
                  </w:rPr>
                  <m:t>κ(A)/</m:t>
                </m:r>
                <m:sSub>
                  <m:sSubPr>
                    <m:ctrlPr>
                      <w:rPr>
                        <w:color w:val="auto"/>
                      </w:rPr>
                    </m:ctrlPr>
                  </m:sSubPr>
                  <m:e>
                    <m:r>
                      <m:rPr/>
                      <w:rPr>
                        <w:color w:val="auto"/>
                      </w:rPr>
                      <m:t>κ</m:t>
                    </m:r>
                    <m:ctrlPr>
                      <w:rPr>
                        <w:color w:val="auto"/>
                      </w:rPr>
                    </m:ctrlPr>
                  </m:e>
                  <m:sub>
                    <m:r>
                      <m:rPr/>
                      <w:rPr>
                        <w:color w:val="auto"/>
                      </w:rPr>
                      <m:t>0</m:t>
                    </m:r>
                    <m:ctrlPr>
                      <w:rPr>
                        <w:color w:val="auto"/>
                      </w:rPr>
                    </m:ctrlPr>
                  </m:sub>
                </m:sSub>
                <m:r>
                  <m:rPr/>
                  <w:rPr>
                    <w:color w:val="auto"/>
                  </w:rPr>
                  <m:t>(A)</m:t>
                </m:r>
              </m:oMath>
            </m:oMathPara>
          </w:p>
        </w:tc>
        <w:tc>
          <w:tcPr>
            <w:tcW w:w="0" w:type="auto"/>
          </w:tcPr>
          <w:p w14:paraId="1E41923B">
            <w:pPr>
              <w:pStyle w:val="24"/>
              <w:snapToGrid w:val="0"/>
              <w:spacing w:before="0" w:after="0"/>
              <w:jc w:val="left"/>
              <w:rPr>
                <w:color w:val="auto"/>
              </w:rPr>
            </w:pPr>
            <w:r>
              <w:rPr>
                <w:rFonts w:ascii="Times New Roman" w:hAnsi="Times New Roman" w:cs="Times New Roman"/>
                <w:color w:val="auto"/>
                <w:sz w:val="20"/>
                <w:szCs w:val="20"/>
              </w:rPr>
              <w:t>1.00</w:t>
            </w:r>
          </w:p>
        </w:tc>
        <w:tc>
          <w:tcPr>
            <w:tcW w:w="0" w:type="auto"/>
          </w:tcPr>
          <w:p w14:paraId="1607F95F">
            <w:pPr>
              <w:pStyle w:val="24"/>
              <w:snapToGrid w:val="0"/>
              <w:spacing w:before="0" w:after="0"/>
              <w:jc w:val="left"/>
              <w:rPr>
                <w:color w:val="auto"/>
              </w:rPr>
            </w:pPr>
            <w:r>
              <w:rPr>
                <w:rFonts w:ascii="Times New Roman" w:hAnsi="Times New Roman" w:cs="Times New Roman"/>
                <w:color w:val="auto"/>
                <w:sz w:val="20"/>
                <w:szCs w:val="20"/>
              </w:rPr>
              <w:t>2.87</w:t>
            </w:r>
          </w:p>
        </w:tc>
        <w:tc>
          <w:tcPr>
            <w:tcW w:w="0" w:type="auto"/>
          </w:tcPr>
          <w:p w14:paraId="3E90D51E">
            <w:pPr>
              <w:pStyle w:val="24"/>
              <w:snapToGrid w:val="0"/>
              <w:spacing w:before="0" w:after="0"/>
              <w:jc w:val="left"/>
              <w:rPr>
                <w:color w:val="auto"/>
              </w:rPr>
            </w:pPr>
            <w:r>
              <w:rPr>
                <w:rFonts w:ascii="Times New Roman" w:hAnsi="Times New Roman" w:cs="Times New Roman"/>
                <w:color w:val="auto"/>
                <w:sz w:val="20"/>
                <w:szCs w:val="20"/>
              </w:rPr>
              <w:t>18.6</w:t>
            </w:r>
          </w:p>
        </w:tc>
        <w:tc>
          <w:tcPr>
            <w:tcW w:w="1825" w:type="dxa"/>
          </w:tcPr>
          <w:p w14:paraId="1E4B0CDB">
            <w:pPr>
              <w:pStyle w:val="24"/>
              <w:snapToGrid w:val="0"/>
              <w:spacing w:before="0" w:after="0"/>
              <w:jc w:val="left"/>
              <w:rPr>
                <w:color w:val="auto"/>
              </w:rPr>
            </w:pPr>
            <w:r>
              <w:rPr>
                <w:rFonts w:ascii="Times New Roman" w:hAnsi="Times New Roman" w:cs="Times New Roman"/>
                <w:color w:val="auto"/>
                <w:sz w:val="20"/>
                <w:szCs w:val="20"/>
              </w:rPr>
              <w:t>11.4</w:t>
            </w:r>
          </w:p>
        </w:tc>
      </w:tr>
      <w:tr w14:paraId="4373FF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Pr>
          <w:p w14:paraId="3FB19E1A">
            <w:pPr>
              <w:pStyle w:val="24"/>
              <w:snapToGrid w:val="0"/>
              <w:spacing w:before="0" w:after="0"/>
              <w:jc w:val="left"/>
              <w:rPr>
                <w:color w:val="auto"/>
              </w:rPr>
            </w:pPr>
            <w:r>
              <w:rPr>
                <w:rFonts w:ascii="Times New Roman" w:hAnsi="Times New Roman" w:cs="Times New Roman"/>
                <w:color w:val="auto"/>
                <w:sz w:val="20"/>
                <w:szCs w:val="20"/>
              </w:rPr>
              <w:t>GMRES iterations (CPR–SA-AMG)</w:t>
            </w:r>
          </w:p>
        </w:tc>
        <w:tc>
          <w:tcPr>
            <w:tcW w:w="0" w:type="auto"/>
          </w:tcPr>
          <w:p w14:paraId="3048240C">
            <w:pPr>
              <w:pStyle w:val="24"/>
              <w:snapToGrid w:val="0"/>
              <w:spacing w:before="0" w:after="0"/>
              <w:jc w:val="left"/>
              <w:rPr>
                <w:color w:val="auto"/>
              </w:rPr>
            </w:pPr>
            <w:r>
              <w:rPr>
                <w:rFonts w:ascii="Times New Roman" w:hAnsi="Times New Roman" w:cs="Times New Roman"/>
                <w:color w:val="auto"/>
                <w:sz w:val="20"/>
                <w:szCs w:val="20"/>
              </w:rPr>
              <w:t>21</w:t>
            </w:r>
          </w:p>
        </w:tc>
        <w:tc>
          <w:tcPr>
            <w:tcW w:w="0" w:type="auto"/>
          </w:tcPr>
          <w:p w14:paraId="6017E3CB">
            <w:pPr>
              <w:pStyle w:val="24"/>
              <w:snapToGrid w:val="0"/>
              <w:spacing w:before="0" w:after="0"/>
              <w:jc w:val="left"/>
              <w:rPr>
                <w:color w:val="auto"/>
              </w:rPr>
            </w:pPr>
            <w:r>
              <w:rPr>
                <w:rFonts w:ascii="Times New Roman" w:hAnsi="Times New Roman" w:cs="Times New Roman"/>
                <w:color w:val="auto"/>
                <w:sz w:val="20"/>
                <w:szCs w:val="20"/>
              </w:rPr>
              <w:t>24</w:t>
            </w:r>
          </w:p>
        </w:tc>
        <w:tc>
          <w:tcPr>
            <w:tcW w:w="0" w:type="auto"/>
          </w:tcPr>
          <w:p w14:paraId="5445B0E5">
            <w:pPr>
              <w:pStyle w:val="24"/>
              <w:snapToGrid w:val="0"/>
              <w:spacing w:before="0" w:after="0"/>
              <w:jc w:val="left"/>
              <w:rPr>
                <w:color w:val="auto"/>
              </w:rPr>
            </w:pPr>
            <w:r>
              <w:rPr>
                <w:rFonts w:ascii="Times New Roman" w:hAnsi="Times New Roman" w:cs="Times New Roman"/>
                <w:color w:val="auto"/>
                <w:sz w:val="20"/>
                <w:szCs w:val="20"/>
              </w:rPr>
              <w:t>89</w:t>
            </w:r>
          </w:p>
        </w:tc>
        <w:tc>
          <w:tcPr>
            <w:tcW w:w="1825" w:type="dxa"/>
          </w:tcPr>
          <w:p w14:paraId="2B6B30E2">
            <w:pPr>
              <w:pStyle w:val="24"/>
              <w:snapToGrid w:val="0"/>
              <w:spacing w:before="0" w:after="0"/>
              <w:jc w:val="left"/>
              <w:rPr>
                <w:color w:val="auto"/>
              </w:rPr>
            </w:pPr>
            <w:r>
              <w:rPr>
                <w:rFonts w:ascii="Times New Roman" w:hAnsi="Times New Roman" w:cs="Times New Roman"/>
                <w:color w:val="auto"/>
                <w:sz w:val="20"/>
                <w:szCs w:val="20"/>
              </w:rPr>
              <w:t>52</w:t>
            </w:r>
          </w:p>
        </w:tc>
      </w:tr>
      <w:tr w14:paraId="067D46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79" w:type="dxa"/>
          </w:tcPr>
          <w:p w14:paraId="304913BC">
            <w:pPr>
              <w:pStyle w:val="24"/>
              <w:snapToGrid w:val="0"/>
              <w:spacing w:before="0" w:after="0"/>
              <w:jc w:val="left"/>
              <w:rPr>
                <w:color w:val="auto"/>
              </w:rPr>
            </w:pPr>
            <w:r>
              <w:rPr>
                <w:rFonts w:ascii="Times New Roman" w:hAnsi="Times New Roman" w:cs="Times New Roman"/>
                <w:color w:val="auto"/>
                <w:sz w:val="20"/>
                <w:szCs w:val="20"/>
              </w:rPr>
              <w:t xml:space="preserve">Matrix diagonal dominance </w:t>
            </w:r>
            <m:oMath>
              <m:sSub>
                <m:sSubPr>
                  <m:ctrlPr>
                    <w:rPr>
                      <w:color w:val="auto"/>
                    </w:rPr>
                  </m:ctrlPr>
                </m:sSubPr>
                <m:e>
                  <m:acc>
                    <m:accPr>
                      <m:chr m:val="‾"/>
                      <m:ctrlPr>
                        <w:rPr>
                          <w:color w:val="auto"/>
                        </w:rPr>
                      </m:ctrlPr>
                    </m:accPr>
                    <m:e>
                      <m:r>
                        <m:rPr/>
                        <w:rPr>
                          <w:color w:val="auto"/>
                        </w:rPr>
                        <m:t>δ</m:t>
                      </m:r>
                      <m:ctrlPr>
                        <w:rPr>
                          <w:color w:val="auto"/>
                        </w:rPr>
                      </m:ctrlPr>
                    </m:e>
                  </m:acc>
                  <m:ctrlPr>
                    <w:rPr>
                      <w:color w:val="auto"/>
                    </w:rPr>
                  </m:ctrlPr>
                </m:e>
                <m:sub>
                  <m:r>
                    <m:rPr/>
                    <w:rPr>
                      <w:color w:val="auto"/>
                    </w:rPr>
                    <m:t>i</m:t>
                  </m:r>
                  <m:ctrlPr>
                    <w:rPr>
                      <w:color w:val="auto"/>
                    </w:rPr>
                  </m:ctrlPr>
                </m:sub>
              </m:sSub>
            </m:oMath>
          </w:p>
        </w:tc>
        <w:tc>
          <w:tcPr>
            <w:tcW w:w="1531" w:type="dxa"/>
          </w:tcPr>
          <w:p w14:paraId="4D7A6563">
            <w:pPr>
              <w:pStyle w:val="24"/>
              <w:snapToGrid w:val="0"/>
              <w:spacing w:before="0" w:after="0"/>
              <w:jc w:val="left"/>
              <w:rPr>
                <w:color w:val="auto"/>
              </w:rPr>
            </w:pPr>
            <w:r>
              <w:rPr>
                <w:rFonts w:ascii="Times New Roman" w:hAnsi="Times New Roman" w:cs="Times New Roman"/>
                <w:color w:val="auto"/>
                <w:sz w:val="20"/>
                <w:szCs w:val="20"/>
              </w:rPr>
              <w:t>2.18</w:t>
            </w:r>
          </w:p>
        </w:tc>
        <w:tc>
          <w:tcPr>
            <w:tcW w:w="1831" w:type="dxa"/>
          </w:tcPr>
          <w:p w14:paraId="4938686E">
            <w:pPr>
              <w:pStyle w:val="24"/>
              <w:snapToGrid w:val="0"/>
              <w:spacing w:before="0" w:after="0"/>
              <w:jc w:val="left"/>
              <w:rPr>
                <w:color w:val="auto"/>
              </w:rPr>
            </w:pPr>
            <w:r>
              <w:rPr>
                <w:rFonts w:ascii="Times New Roman" w:hAnsi="Times New Roman" w:cs="Times New Roman"/>
                <w:color w:val="auto"/>
                <w:sz w:val="20"/>
                <w:szCs w:val="20"/>
              </w:rPr>
              <w:t>1.94</w:t>
            </w:r>
          </w:p>
        </w:tc>
        <w:tc>
          <w:tcPr>
            <w:tcW w:w="1790" w:type="dxa"/>
          </w:tcPr>
          <w:p w14:paraId="11B2F3D2">
            <w:pPr>
              <w:pStyle w:val="24"/>
              <w:snapToGrid w:val="0"/>
              <w:spacing w:before="0" w:after="0"/>
              <w:jc w:val="left"/>
              <w:rPr>
                <w:color w:val="auto"/>
              </w:rPr>
            </w:pPr>
            <w:r>
              <w:rPr>
                <w:rFonts w:ascii="Times New Roman" w:hAnsi="Times New Roman" w:cs="Times New Roman"/>
                <w:color w:val="auto"/>
                <w:sz w:val="20"/>
                <w:szCs w:val="20"/>
              </w:rPr>
              <w:t>1.12</w:t>
            </w:r>
          </w:p>
        </w:tc>
        <w:tc>
          <w:tcPr>
            <w:tcW w:w="1825" w:type="dxa"/>
          </w:tcPr>
          <w:p w14:paraId="292F3C4D">
            <w:pPr>
              <w:pStyle w:val="24"/>
              <w:snapToGrid w:val="0"/>
              <w:spacing w:before="0" w:after="0"/>
              <w:jc w:val="left"/>
              <w:rPr>
                <w:color w:val="auto"/>
              </w:rPr>
            </w:pPr>
            <w:r>
              <w:rPr>
                <w:rFonts w:ascii="Times New Roman" w:hAnsi="Times New Roman" w:cs="Times New Roman"/>
                <w:color w:val="auto"/>
                <w:sz w:val="20"/>
                <w:szCs w:val="20"/>
              </w:rPr>
              <w:t>1.31</w:t>
            </w:r>
          </w:p>
        </w:tc>
      </w:tr>
    </w:tbl>
    <w:p w14:paraId="3F62985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Figure 10 and Table 14 document that the mesh generator retains 95.3% of faces in K-orthogonal condition despite the geometric complexity introduced by 1,247 stochastically placed natural fractures. The spectral conditioning proxy rises to only 2.87x--a modest increase relative to the DFN-free PEBI baseline--compared with 18.6x for the standard unstructured mesh and 11.4x for Cartesian LGR under identical DFN placement.</w:t>
      </w:r>
    </w:p>
    <w:p w14:paraId="6BE12C09">
      <w:pPr>
        <w:pStyle w:val="34"/>
        <w:rPr>
          <w:color w:val="auto"/>
        </w:rPr>
      </w:pPr>
      <w:r>
        <w:rPr>
          <w:color w:val="auto"/>
        </w:rPr>
        <w:drawing>
          <wp:inline distT="0" distB="0" distL="114300" distR="114300">
            <wp:extent cx="4287520" cy="3014345"/>
            <wp:effectExtent l="0" t="0" r="0" b="0"/>
            <wp:doc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Fig. 11. Condition number evolution as a function of the number of embedded fracture planes. The proposed PEBI formulation exhibits approximately linear growth (R^2 = 0.97, slope = 0.0018 per fracture), whereas the Cartesian LGR and standard unstructured mesh degrade at superlinear rates."/>
                    <pic:cNvPicPr>
                      <a:picLocks noChangeAspect="1" noChangeArrowheads="1"/>
                    </pic:cNvPicPr>
                  </pic:nvPicPr>
                  <pic:blipFill>
                    <a:blip r:embed="rId15"/>
                    <a:stretch>
                      <a:fillRect/>
                    </a:stretch>
                  </pic:blipFill>
                  <pic:spPr>
                    <a:xfrm>
                      <a:off x="0" y="0"/>
                      <a:ext cx="4288076" cy="3014597"/>
                    </a:xfrm>
                    <a:prstGeom prst="rect">
                      <a:avLst/>
                    </a:prstGeom>
                    <a:noFill/>
                    <a:ln w="9525">
                      <a:noFill/>
                    </a:ln>
                  </pic:spPr>
                </pic:pic>
              </a:graphicData>
            </a:graphic>
          </wp:inline>
        </w:drawing>
      </w:r>
    </w:p>
    <w:p w14:paraId="7783FE45">
      <w:pPr>
        <w:pStyle w:val="12"/>
        <w:spacing w:before="0" w:after="0" w:line="300" w:lineRule="auto"/>
        <w:jc w:val="center"/>
        <w:rPr>
          <w:rFonts w:ascii="Times New Roman" w:hAnsi="Times New Roman" w:cs="Times New Roman"/>
          <w:color w:val="auto"/>
          <w:sz w:val="20"/>
          <w:szCs w:val="20"/>
        </w:rPr>
      </w:pPr>
      <w:r>
        <w:rPr>
          <w:rFonts w:ascii="Times New Roman" w:hAnsi="Times New Roman" w:cs="Times New Roman"/>
          <w:color w:val="auto"/>
          <w:sz w:val="20"/>
          <w:szCs w:val="20"/>
        </w:rPr>
        <w:t>Fig. 11. Condition number evolution as a function of the number of embedded fracture planes. The proposed PEBI formulation exhibits approximately linear growth (</w:t>
      </w:r>
      <m:oMath>
        <m:sSup>
          <m:sSupPr>
            <m:ctrlPr>
              <w:rPr>
                <w:rFonts w:ascii="Times New Roman" w:hAnsi="Times New Roman" w:cs="Times New Roman"/>
                <w:color w:val="auto"/>
                <w:sz w:val="20"/>
                <w:szCs w:val="20"/>
              </w:rPr>
            </m:ctrlPr>
          </m:sSupPr>
          <m:e>
            <m:r>
              <m:rPr/>
              <w:rPr>
                <w:rFonts w:ascii="Times New Roman" w:hAnsi="Times New Roman" w:cs="Times New Roman"/>
                <w:color w:val="auto"/>
                <w:sz w:val="20"/>
                <w:szCs w:val="20"/>
              </w:rPr>
              <m:t>R</m:t>
            </m:r>
            <m:ctrlPr>
              <w:rPr>
                <w:rFonts w:ascii="Times New Roman" w:hAnsi="Times New Roman" w:cs="Times New Roman"/>
                <w:color w:val="auto"/>
                <w:sz w:val="20"/>
                <w:szCs w:val="20"/>
              </w:rPr>
            </m:ctrlPr>
          </m:e>
          <m:sup>
            <m:r>
              <m:rPr/>
              <w:rPr>
                <w:rFonts w:ascii="Times New Roman" w:hAnsi="Times New Roman" w:cs="Times New Roman"/>
                <w:color w:val="auto"/>
                <w:sz w:val="20"/>
                <w:szCs w:val="20"/>
              </w:rPr>
              <m:t>2</m:t>
            </m:r>
            <m:ctrlPr>
              <w:rPr>
                <w:rFonts w:ascii="Times New Roman" w:hAnsi="Times New Roman" w:cs="Times New Roman"/>
                <w:color w:val="auto"/>
                <w:sz w:val="20"/>
                <w:szCs w:val="20"/>
              </w:rPr>
            </m:ctrlPr>
          </m:sup>
        </m:sSup>
        <m:r>
          <m:rPr/>
          <w:rPr>
            <w:rFonts w:ascii="Times New Roman" w:hAnsi="Times New Roman" w:cs="Times New Roman"/>
            <w:color w:val="auto"/>
            <w:sz w:val="20"/>
            <w:szCs w:val="20"/>
          </w:rPr>
          <m:t>=0.97</m:t>
        </m:r>
      </m:oMath>
      <w:r>
        <w:rPr>
          <w:rFonts w:ascii="Times New Roman" w:hAnsi="Times New Roman" w:cs="Times New Roman"/>
          <w:color w:val="auto"/>
          <w:sz w:val="20"/>
          <w:szCs w:val="20"/>
        </w:rPr>
        <w:t>, slope = 0.0015 per fracture), whereas the Cartesian LGR and standard unstructured mesh degrade at superlinear rates.</w:t>
      </w:r>
    </w:p>
    <w:p w14:paraId="5AA8B97C">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mechanisms underlying this divergent behavior are clarified in Fig. 11.</w:t>
      </w:r>
    </w:p>
    <w:p w14:paraId="2EF07E5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Statistical significance of the DFN-influenced results was established through a Monte Carlo ensemble study comprising 25 independent DFN realizations. Each realization was generated from the same parent statistical distributions (Fisher orientation,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κ</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f</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=15</m:t>
        </m:r>
      </m:oMath>
      <w:r>
        <w:rPr>
          <w:rFonts w:ascii="Times New Roman" w:hAnsi="Times New Roman" w:cs="Times New Roman"/>
          <w:color w:val="auto"/>
          <w:sz w:val="24"/>
          <w:szCs w:val="24"/>
        </w:rPr>
        <w:t xml:space="preserve">; power-law length distribution, exponent 2.3; log-normal apertures, mean 0.5 mm, </w:t>
      </w:r>
      <m:oMath>
        <m:r>
          <m:rPr/>
          <w:rPr>
            <w:rFonts w:ascii="Times New Roman" w:hAnsi="Times New Roman" w:cs="Times New Roman"/>
            <w:color w:val="auto"/>
            <w:sz w:val="24"/>
            <w:szCs w:val="24"/>
          </w:rPr>
          <m:t>σ=0.3</m:t>
        </m:r>
      </m:oMath>
      <w:r>
        <w:rPr>
          <w:rFonts w:ascii="Times New Roman" w:hAnsi="Times New Roman" w:cs="Times New Roman"/>
          <w:color w:val="auto"/>
          <w:sz w:val="24"/>
          <w:szCs w:val="24"/>
        </w:rPr>
        <w:t xml:space="preserve"> mm) but with independent random seeds governing fracture center placement, orientation, and aperture assignment. The PEBI mesh was regenerated for each realization, and the full ten-year simulation was executed. This ensemble size (</w:t>
      </w:r>
      <m:oMath>
        <m:r>
          <m:rPr/>
          <w:rPr>
            <w:rFonts w:ascii="Times New Roman" w:hAnsi="Times New Roman" w:cs="Times New Roman"/>
            <w:color w:val="auto"/>
            <w:sz w:val="24"/>
            <w:szCs w:val="24"/>
          </w:rPr>
          <m:t>n=25</m:t>
        </m:r>
      </m:oMath>
      <w:r>
        <w:rPr>
          <w:rFonts w:ascii="Times New Roman" w:hAnsi="Times New Roman" w:cs="Times New Roman"/>
          <w:color w:val="auto"/>
          <w:sz w:val="24"/>
          <w:szCs w:val="24"/>
        </w:rPr>
        <w:t xml:space="preserve">) is sufficient for the sample mean to converge within </w:t>
      </w:r>
      <m:oMath>
        <m:r>
          <m:rPr/>
          <w:rPr>
            <w:rFonts w:ascii="Times New Roman" w:hAnsi="Times New Roman" w:cs="Times New Roman"/>
            <w:color w:val="auto"/>
            <w:sz w:val="24"/>
            <w:szCs w:val="24"/>
          </w:rPr>
          <m:t>2%</m:t>
        </m:r>
      </m:oMath>
      <w:r>
        <w:rPr>
          <w:rFonts w:ascii="Times New Roman" w:hAnsi="Times New Roman" w:cs="Times New Roman"/>
          <w:color w:val="auto"/>
          <w:sz w:val="24"/>
          <w:szCs w:val="24"/>
        </w:rPr>
        <w:t xml:space="preserve"> of the population mean at the 95% confidence level for both condition number ratio and cumulative oil enhancement, as verified by bootstrap resampling of the ensemble.</w:t>
      </w:r>
    </w:p>
    <w:p w14:paraId="23595C10">
      <w:pPr>
        <w:pStyle w:val="3"/>
        <w:spacing w:before="0" w:after="120"/>
        <w:ind w:firstLine="480" w:firstLineChars="200"/>
        <w:jc w:val="both"/>
        <w:rPr>
          <w:color w:val="auto"/>
        </w:rPr>
      </w:pPr>
    </w:p>
    <w:p w14:paraId="6D59BEAA">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b/>
          <w:sz w:val="20"/>
        </w:rPr>
        <w:t>Table 14 (continued): Monte Carlo ensemble statistics (n = 25 DFN realizations).</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5"/>
        <w:gridCol w:w="1326"/>
        <w:gridCol w:w="1142"/>
        <w:gridCol w:w="1326"/>
        <w:gridCol w:w="1326"/>
        <w:gridCol w:w="1911"/>
      </w:tblGrid>
      <w:tr w14:paraId="41338B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7" w:type="dxa"/>
            <w:tcBorders>
              <w:bottom w:val="single" w:color="auto" w:sz="0" w:space="0"/>
            </w:tcBorders>
            <w:vAlign w:val="center"/>
          </w:tcPr>
          <w:p w14:paraId="4A28E605">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Quantity</w:t>
            </w:r>
          </w:p>
        </w:tc>
        <w:tc>
          <w:tcPr>
            <w:tcW w:w="1133" w:type="dxa"/>
            <w:tcBorders>
              <w:bottom w:val="single" w:color="auto" w:sz="0" w:space="0"/>
            </w:tcBorders>
            <w:vAlign w:val="center"/>
          </w:tcPr>
          <w:p w14:paraId="36F315A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w:t>
            </w:r>
          </w:p>
        </w:tc>
        <w:tc>
          <w:tcPr>
            <w:tcW w:w="1168" w:type="dxa"/>
            <w:tcBorders>
              <w:bottom w:val="single" w:color="auto" w:sz="0" w:space="0"/>
            </w:tcBorders>
            <w:vAlign w:val="center"/>
          </w:tcPr>
          <w:p w14:paraId="012C4CF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Std Dev</w:t>
            </w:r>
          </w:p>
        </w:tc>
        <w:tc>
          <w:tcPr>
            <w:tcW w:w="1133" w:type="dxa"/>
            <w:tcBorders>
              <w:bottom w:val="single" w:color="auto" w:sz="0" w:space="0"/>
            </w:tcBorders>
            <w:vAlign w:val="center"/>
          </w:tcPr>
          <w:p w14:paraId="40E26584">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Min</w:t>
            </w:r>
          </w:p>
        </w:tc>
        <w:tc>
          <w:tcPr>
            <w:tcW w:w="1133" w:type="dxa"/>
            <w:tcBorders>
              <w:bottom w:val="single" w:color="auto" w:sz="0" w:space="0"/>
            </w:tcBorders>
            <w:vAlign w:val="center"/>
          </w:tcPr>
          <w:p w14:paraId="4E9F902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Max</w:t>
            </w:r>
          </w:p>
        </w:tc>
        <w:tc>
          <w:tcPr>
            <w:tcW w:w="2141" w:type="dxa"/>
            <w:tcBorders>
              <w:bottom w:val="single" w:color="auto" w:sz="0" w:space="0"/>
            </w:tcBorders>
            <w:vAlign w:val="center"/>
          </w:tcPr>
          <w:p w14:paraId="742AC21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95% CI </w:t>
            </w:r>
          </w:p>
          <w:p w14:paraId="0AFC6E20">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(bootstrap)</w:t>
            </w:r>
          </w:p>
        </w:tc>
      </w:tr>
      <w:tr w14:paraId="4A14F1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33052F69">
            <w:pPr>
              <w:pStyle w:val="24"/>
              <w:snapToGrid w:val="0"/>
              <w:spacing w:before="0" w:after="0"/>
              <w:ind w:left="0" w:leftChars="0" w:right="0" w:rightChars="0" w:firstLineChars="0"/>
              <w:jc w:val="left"/>
              <w:rPr>
                <w:color w:val="auto"/>
              </w:rPr>
            </w:pPr>
            <m:oMathPara>
              <m:oMath>
                <m:r>
                  <m:rPr/>
                  <w:rPr>
                    <w:color w:val="auto"/>
                  </w:rPr>
                  <m:t>κ(A)/</m:t>
                </m:r>
                <m:sSub>
                  <m:sSubPr>
                    <m:ctrlPr>
                      <w:rPr>
                        <w:color w:val="auto"/>
                      </w:rPr>
                    </m:ctrlPr>
                  </m:sSubPr>
                  <m:e>
                    <m:r>
                      <m:rPr/>
                      <w:rPr>
                        <w:color w:val="auto"/>
                      </w:rPr>
                      <m:t>κ</m:t>
                    </m:r>
                    <m:ctrlPr>
                      <w:rPr>
                        <w:color w:val="auto"/>
                      </w:rPr>
                    </m:ctrlPr>
                  </m:e>
                  <m:sub>
                    <m:r>
                      <m:rPr/>
                      <w:rPr>
                        <w:color w:val="auto"/>
                      </w:rPr>
                      <m:t>0</m:t>
                    </m:r>
                    <m:ctrlPr>
                      <w:rPr>
                        <w:color w:val="auto"/>
                      </w:rPr>
                    </m:ctrlPr>
                  </m:sub>
                </m:sSub>
                <m:r>
                  <m:rPr/>
                  <w:rPr>
                    <w:color w:val="auto"/>
                  </w:rPr>
                  <m:t>(A)</m:t>
                </m:r>
              </m:oMath>
            </m:oMathPara>
          </w:p>
        </w:tc>
        <w:tc>
          <w:tcPr>
            <w:tcW w:w="1133" w:type="dxa"/>
            <w:vAlign w:val="center"/>
          </w:tcPr>
          <w:p w14:paraId="1E75713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2.94</w:t>
            </w:r>
          </w:p>
        </w:tc>
        <w:tc>
          <w:tcPr>
            <w:tcW w:w="1168" w:type="dxa"/>
            <w:vAlign w:val="center"/>
          </w:tcPr>
          <w:p w14:paraId="0ABB0A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0.41</w:t>
            </w:r>
          </w:p>
        </w:tc>
        <w:tc>
          <w:tcPr>
            <w:tcW w:w="1133" w:type="dxa"/>
            <w:vAlign w:val="center"/>
          </w:tcPr>
          <w:p w14:paraId="316FA7F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2.31</w:t>
            </w:r>
          </w:p>
        </w:tc>
        <w:tc>
          <w:tcPr>
            <w:tcW w:w="1133" w:type="dxa"/>
            <w:vAlign w:val="center"/>
          </w:tcPr>
          <w:p w14:paraId="731A95F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w:t>
            </w:r>
          </w:p>
        </w:tc>
        <w:tc>
          <w:tcPr>
            <w:tcW w:w="2141" w:type="dxa"/>
            <w:vAlign w:val="center"/>
          </w:tcPr>
          <w:p w14:paraId="32035E4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[2.78, 3.11]</w:t>
            </w:r>
          </w:p>
        </w:tc>
      </w:tr>
      <w:tr w14:paraId="3A79F8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7DC5FC69">
            <w:pPr>
              <w:pStyle w:val="24"/>
              <w:snapToGrid w:val="0"/>
              <w:spacing w:before="0" w:after="0"/>
              <w:ind w:left="0" w:leftChars="0" w:right="0" w:rightChars="0" w:firstLineChars="0"/>
              <w:jc w:val="left"/>
              <w:rPr>
                <w:color w:val="auto"/>
              </w:rPr>
            </w:pPr>
            <m:oMath>
              <m:r>
                <m:rPr/>
                <w:rPr>
                  <w:color w:val="auto"/>
                </w:rPr>
                <m:t>Δ</m:t>
              </m:r>
              <m:sSub>
                <m:sSubPr>
                  <m:ctrlPr>
                    <w:rPr>
                      <w:color w:val="auto"/>
                    </w:rPr>
                  </m:ctrlPr>
                </m:sSubPr>
                <m:e>
                  <m:r>
                    <m:rPr/>
                    <w:rPr>
                      <w:color w:val="auto"/>
                    </w:rPr>
                    <m:t>N</m:t>
                  </m:r>
                  <m:ctrlPr>
                    <w:rPr>
                      <w:color w:val="auto"/>
                    </w:rPr>
                  </m:ctrlPr>
                </m:e>
                <m:sub>
                  <m:r>
                    <m:rPr/>
                    <w:rPr>
                      <w:color w:val="auto"/>
                    </w:rPr>
                    <m:t>10</m:t>
                  </m:r>
                  <m:r>
                    <m:rPr>
                      <m:nor/>
                      <m:sty m:val="p"/>
                    </m:rPr>
                    <w:rPr>
                      <w:b w:val="0"/>
                      <w:i w:val="0"/>
                      <w:color w:val="auto"/>
                    </w:rPr>
                    <m:t>y</m:t>
                  </m:r>
                  <m:ctrlPr>
                    <w:rPr>
                      <w:color w:val="auto"/>
                    </w:rPr>
                  </m:ctrlPr>
                </m:sub>
              </m:sSub>
            </m:oMath>
            <w:r>
              <w:rPr>
                <w:rFonts w:ascii="Times New Roman" w:hAnsi="Times New Roman" w:cs="Times New Roman"/>
                <w:color w:val="auto"/>
                <w:sz w:val="20"/>
                <w:szCs w:val="20"/>
              </w:rPr>
              <w:t xml:space="preserve"> (cumulative oil, %)</w:t>
            </w:r>
          </w:p>
        </w:tc>
        <w:tc>
          <w:tcPr>
            <w:tcW w:w="1133" w:type="dxa"/>
            <w:vAlign w:val="center"/>
          </w:tcPr>
          <w:p w14:paraId="6A4C975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+21.8%</w:t>
            </w:r>
          </w:p>
        </w:tc>
        <w:tc>
          <w:tcPr>
            <w:tcW w:w="1168" w:type="dxa"/>
            <w:vAlign w:val="center"/>
          </w:tcPr>
          <w:p w14:paraId="307EE2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4.3%</w:t>
            </w:r>
          </w:p>
        </w:tc>
        <w:tc>
          <w:tcPr>
            <w:tcW w:w="1133" w:type="dxa"/>
            <w:vAlign w:val="center"/>
          </w:tcPr>
          <w:p w14:paraId="261C97F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+14.2%</w:t>
            </w:r>
          </w:p>
        </w:tc>
        <w:tc>
          <w:tcPr>
            <w:tcW w:w="1133" w:type="dxa"/>
            <w:vAlign w:val="center"/>
          </w:tcPr>
          <w:p w14:paraId="12C5362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+30.1%</w:t>
            </w:r>
          </w:p>
        </w:tc>
        <w:tc>
          <w:tcPr>
            <w:tcW w:w="2141" w:type="dxa"/>
            <w:vAlign w:val="center"/>
          </w:tcPr>
          <w:p w14:paraId="0ACA358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[+20.1%, +23.6%]</w:t>
            </w:r>
          </w:p>
        </w:tc>
      </w:tr>
      <w:tr w14:paraId="6F68B0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5F7A5EB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133" w:type="dxa"/>
            <w:vAlign w:val="center"/>
          </w:tcPr>
          <w:p w14:paraId="79053DB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95.1%</w:t>
            </w:r>
          </w:p>
        </w:tc>
        <w:tc>
          <w:tcPr>
            <w:tcW w:w="1168" w:type="dxa"/>
            <w:vAlign w:val="center"/>
          </w:tcPr>
          <w:p w14:paraId="148F02E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1133" w:type="dxa"/>
            <w:vAlign w:val="center"/>
          </w:tcPr>
          <w:p w14:paraId="614E1DC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93.5%</w:t>
            </w:r>
          </w:p>
        </w:tc>
        <w:tc>
          <w:tcPr>
            <w:tcW w:w="1133" w:type="dxa"/>
            <w:vAlign w:val="center"/>
          </w:tcPr>
          <w:p w14:paraId="698F42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96.4%</w:t>
            </w:r>
          </w:p>
        </w:tc>
        <w:tc>
          <w:tcPr>
            <w:tcW w:w="2141" w:type="dxa"/>
            <w:vAlign w:val="center"/>
          </w:tcPr>
          <w:p w14:paraId="267A141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[94.7%, 95.4%]</w:t>
            </w:r>
          </w:p>
        </w:tc>
      </w:tr>
      <w:tr w14:paraId="37970C5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7" w:type="dxa"/>
            <w:vAlign w:val="center"/>
          </w:tcPr>
          <w:p w14:paraId="1DEE8E9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w:t>
            </w:r>
          </w:p>
        </w:tc>
        <w:tc>
          <w:tcPr>
            <w:tcW w:w="1133" w:type="dxa"/>
            <w:vAlign w:val="center"/>
          </w:tcPr>
          <w:p w14:paraId="417FEA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24.3</w:t>
            </w:r>
          </w:p>
        </w:tc>
        <w:tc>
          <w:tcPr>
            <w:tcW w:w="1168" w:type="dxa"/>
            <w:vAlign w:val="center"/>
          </w:tcPr>
          <w:p w14:paraId="4403FFE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1.8</w:t>
            </w:r>
          </w:p>
        </w:tc>
        <w:tc>
          <w:tcPr>
            <w:tcW w:w="1133" w:type="dxa"/>
            <w:vAlign w:val="center"/>
          </w:tcPr>
          <w:p w14:paraId="536C286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c>
          <w:tcPr>
            <w:tcW w:w="1133" w:type="dxa"/>
            <w:vAlign w:val="center"/>
          </w:tcPr>
          <w:p w14:paraId="51FD683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c>
          <w:tcPr>
            <w:tcW w:w="2141" w:type="dxa"/>
            <w:vAlign w:val="center"/>
          </w:tcPr>
          <w:p w14:paraId="385719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[23.6, 25.1]</w:t>
            </w:r>
          </w:p>
        </w:tc>
      </w:tr>
    </w:tbl>
    <w:p w14:paraId="09CD31D3">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condition number ratio exhibits a coefficient of variation (CoV) of 14.0%, indicating moderate sensitivity to realization-specific fracture topology. The cumulative oil enhancement shows a CoV of 19.7%, whose larger dispersion reflects the compounding of geometric variability (fracture network connectivity) with physical sensitivity. Even the minimum-connectivity realization (14.2% enhancement) confirms that the DFN contribution is a robust effect rather than an artifact of a particular geometric configuration.</w:t>
      </w:r>
    </w:p>
    <w:p w14:paraId="0CB719A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ensemble-mean recovery enhancement of 21.8 ± 4.3% (mean </w:t>
      </w:r>
      <m:oMath>
        <m:r>
          <m:rPr/>
          <m:t>± 1σ</m:t>
        </m:r>
      </m:oMath>
      <w:r>
        <w:rPr>
          <w:rFonts w:ascii="Times New Roman" w:hAnsi="Times New Roman"/>
          <w:sz w:val="24"/>
        </w:rPr>
        <w:t>) arises primarily from the 312 ± 47 natural fractures that intersect the stimulated reservoir volume, extending the effective drainage area beyond the hydraulic-fracture tips.</w:t>
      </w:r>
    </w:p>
    <w:p w14:paraId="4CB6AB10">
      <w:pPr>
        <w:pStyle w:val="4"/>
        <w:spacing w:before="120" w:after="60" w:line="360" w:lineRule="auto"/>
        <w:jc w:val="left"/>
        <w:rPr>
          <w:rFonts w:ascii="Times New Roman" w:hAnsi="Times New Roman" w:cs="Times New Roman"/>
          <w:color w:val="auto"/>
          <w:sz w:val="24"/>
          <w:szCs w:val="24"/>
        </w:rPr>
      </w:pPr>
      <w:bookmarkStart w:id="18" w:name="sensitivity-analysis"/>
      <w:r>
        <w:rPr>
          <w:rFonts w:ascii="Times New Roman" w:hAnsi="Times New Roman" w:cs="Times New Roman"/>
          <w:b/>
          <w:bCs/>
          <w:color w:val="auto"/>
          <w:sz w:val="24"/>
          <w:szCs w:val="24"/>
        </w:rPr>
        <w:t>3.7 Sensitivity Analysis</w:t>
      </w:r>
      <w:bookmarkEnd w:id="18"/>
    </w:p>
    <w:p w14:paraId="484ABE0F">
      <w:pPr>
        <w:pStyle w:val="3"/>
        <w:spacing w:before="0" w:after="0" w:line="360" w:lineRule="auto"/>
        <w:ind w:firstLine="480"/>
        <w:jc w:val="both"/>
        <w:rPr>
          <w:rFonts w:ascii="Times New Roman" w:hAnsi="Times New Roman" w:cs="Times New Roman"/>
          <w:color w:val="auto"/>
          <w:sz w:val="24"/>
          <w:szCs w:val="24"/>
        </w:rPr>
      </w:pPr>
      <w:r>
        <w:rPr>
          <w:rFonts w:ascii="Times New Roman" w:hAnsi="Times New Roman"/>
          <w:sz w:val="24"/>
        </w:rPr>
        <w:t>A one-factor-at-a-time parametric study quantifies the sensitivity of ten-year cumulative oil production to six reservoir and completion variables, each perturbed by +/-20% from its base value. A preliminary two-factor response surface for the dominant pair (fracture half-length x matrix permeability) indicates largely additive behavior, suggesting minimal synergistic effects in the studied parameter ranges.</w:t>
      </w:r>
    </w:p>
    <w:p w14:paraId="7162C079">
      <w:pPr>
        <w:jc w:val="center"/>
      </w:pPr>
      <w:r>
        <w:drawing>
          <wp:inline distT="0" distB="0" distL="0" distR="0">
            <wp:extent cx="5039995" cy="2950845"/>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6"/>
                    <a:stretch>
                      <a:fillRect/>
                    </a:stretch>
                  </pic:blipFill>
                  <pic:spPr>
                    <a:xfrm>
                      <a:off x="0" y="0"/>
                      <a:ext cx="5040000" cy="2951293"/>
                    </a:xfrm>
                    <a:prstGeom prst="rect">
                      <a:avLst/>
                    </a:prstGeom>
                  </pic:spPr>
                </pic:pic>
              </a:graphicData>
            </a:graphic>
          </wp:inline>
        </w:drawing>
      </w:r>
    </w:p>
    <w:p w14:paraId="29E63590">
      <w:pPr>
        <w:pStyle w:val="12"/>
        <w:spacing w:before="0" w:after="0" w:line="300" w:lineRule="auto"/>
        <w:jc w:val="center"/>
        <w:rPr>
          <w:rFonts w:ascii="Times New Roman" w:hAnsi="Times New Roman" w:cs="Times New Roman"/>
          <w:color w:val="auto"/>
          <w:sz w:val="20"/>
          <w:szCs w:val="20"/>
        </w:rPr>
      </w:pPr>
      <w:r>
        <w:rPr>
          <w:rFonts w:ascii="Times New Roman" w:hAnsi="Times New Roman"/>
          <w:sz w:val="20"/>
        </w:rPr>
        <w:t>Fig. 12. Tornado chart illustrating parametric sensitivity (each parameter perturbed by +/-20% from base value). Fracture half-length and matrix permeability exert the strongest control on ten-year cumulative recovery.</w:t>
      </w:r>
    </w:p>
    <w:p w14:paraId="7FA2607A">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15: Sensitivity ranking for ten-year cumulative oil production.</w:t>
      </w:r>
    </w:p>
    <w:tbl>
      <w:tblPr>
        <w:tblStyle w:val="28"/>
        <w:tblW w:w="8856"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63"/>
        <w:gridCol w:w="2878"/>
        <w:gridCol w:w="2407"/>
        <w:gridCol w:w="2408"/>
      </w:tblGrid>
      <w:tr w14:paraId="3FBC18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1A9C2F39">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Rank</w:t>
            </w:r>
          </w:p>
        </w:tc>
        <w:tc>
          <w:tcPr>
            <w:tcW w:w="0" w:type="auto"/>
            <w:tcBorders>
              <w:bottom w:val="single" w:color="auto" w:sz="0" w:space="0"/>
            </w:tcBorders>
            <w:vAlign w:val="center"/>
          </w:tcPr>
          <w:p w14:paraId="1688774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Parameter</w:t>
            </w:r>
          </w:p>
        </w:tc>
        <w:tc>
          <w:tcPr>
            <w:tcW w:w="0" w:type="auto"/>
            <w:tcBorders>
              <w:bottom w:val="single" w:color="auto" w:sz="0" w:space="0"/>
            </w:tcBorders>
            <w:vAlign w:val="center"/>
          </w:tcPr>
          <w:p w14:paraId="795ADB06">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Δ</m:t>
              </m:r>
            </m:oMath>
            <w:r>
              <w:rPr>
                <w:rFonts w:ascii="Times New Roman" w:hAnsi="Times New Roman" w:cs="Times New Roman"/>
                <w:b/>
                <w:bCs/>
                <w:color w:val="auto"/>
                <w:sz w:val="20"/>
                <w:szCs w:val="20"/>
              </w:rPr>
              <w:t xml:space="preserve"> Cumulative Oil (+20%)</w:t>
            </w:r>
          </w:p>
        </w:tc>
        <w:tc>
          <w:tcPr>
            <w:tcW w:w="2529" w:type="dxa"/>
            <w:tcBorders>
              <w:bottom w:val="single" w:color="auto" w:sz="0" w:space="0"/>
            </w:tcBorders>
            <w:vAlign w:val="center"/>
          </w:tcPr>
          <w:p w14:paraId="48985B36">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Δ</m:t>
              </m:r>
            </m:oMath>
            <w:r>
              <w:rPr>
                <w:rFonts w:ascii="Times New Roman" w:hAnsi="Times New Roman" w:cs="Times New Roman"/>
                <w:b/>
                <w:bCs/>
                <w:color w:val="auto"/>
                <w:sz w:val="20"/>
                <w:szCs w:val="20"/>
              </w:rPr>
              <w:t xml:space="preserve"> Cumulative Oil (−20%)</w:t>
            </w:r>
          </w:p>
        </w:tc>
      </w:tr>
      <w:tr w14:paraId="52AEE76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4B489FD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w:t>
            </w:r>
          </w:p>
        </w:tc>
        <w:tc>
          <w:tcPr>
            <w:tcW w:w="0" w:type="auto"/>
            <w:vAlign w:val="center"/>
          </w:tcPr>
          <w:p w14:paraId="604B7C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half-length</w:t>
            </w:r>
          </w:p>
        </w:tc>
        <w:tc>
          <w:tcPr>
            <w:tcW w:w="0" w:type="auto"/>
            <w:vAlign w:val="center"/>
          </w:tcPr>
          <w:p w14:paraId="62295CA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+8.7%</w:t>
            </w:r>
          </w:p>
        </w:tc>
        <w:tc>
          <w:tcPr>
            <w:tcW w:w="2529" w:type="dxa"/>
            <w:vAlign w:val="center"/>
          </w:tcPr>
          <w:p w14:paraId="497AC1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−9.3%</w:t>
            </w:r>
          </w:p>
        </w:tc>
      </w:tr>
      <w:tr w14:paraId="09A60A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0CB17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w:t>
            </w:r>
          </w:p>
        </w:tc>
        <w:tc>
          <w:tcPr>
            <w:tcW w:w="0" w:type="auto"/>
            <w:vAlign w:val="center"/>
          </w:tcPr>
          <w:p w14:paraId="612B043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0" w:type="auto"/>
            <w:vAlign w:val="center"/>
          </w:tcPr>
          <w:p w14:paraId="475303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+5.2%</w:t>
            </w:r>
          </w:p>
        </w:tc>
        <w:tc>
          <w:tcPr>
            <w:tcW w:w="2529" w:type="dxa"/>
            <w:vAlign w:val="center"/>
          </w:tcPr>
          <w:p w14:paraId="5BFB630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−5.8%</w:t>
            </w:r>
          </w:p>
        </w:tc>
      </w:tr>
      <w:tr w14:paraId="2545D3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4A700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w:t>
            </w:r>
          </w:p>
        </w:tc>
        <w:tc>
          <w:tcPr>
            <w:tcW w:w="0" w:type="auto"/>
            <w:vAlign w:val="center"/>
          </w:tcPr>
          <w:p w14:paraId="3EA16FA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Fracture conductivity</w:t>
            </w:r>
          </w:p>
        </w:tc>
        <w:tc>
          <w:tcPr>
            <w:tcW w:w="0" w:type="auto"/>
            <w:vAlign w:val="center"/>
          </w:tcPr>
          <w:p w14:paraId="72AF94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+3.1%</w:t>
            </w:r>
          </w:p>
        </w:tc>
        <w:tc>
          <w:tcPr>
            <w:tcW w:w="2529" w:type="dxa"/>
            <w:vAlign w:val="center"/>
          </w:tcPr>
          <w:p w14:paraId="13C91BC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−3.4%</w:t>
            </w:r>
          </w:p>
        </w:tc>
      </w:tr>
      <w:tr w14:paraId="7A87A7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487C28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w:t>
            </w:r>
          </w:p>
        </w:tc>
        <w:tc>
          <w:tcPr>
            <w:tcW w:w="0" w:type="auto"/>
            <w:vAlign w:val="center"/>
          </w:tcPr>
          <w:p w14:paraId="72B0CB8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Stage spacing</w:t>
            </w:r>
          </w:p>
        </w:tc>
        <w:tc>
          <w:tcPr>
            <w:tcW w:w="0" w:type="auto"/>
            <w:vAlign w:val="center"/>
          </w:tcPr>
          <w:p w14:paraId="598D42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−2.4%</w:t>
            </w:r>
          </w:p>
        </w:tc>
        <w:tc>
          <w:tcPr>
            <w:tcW w:w="2529" w:type="dxa"/>
            <w:vAlign w:val="center"/>
          </w:tcPr>
          <w:p w14:paraId="035CC59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+2.8%</w:t>
            </w:r>
          </w:p>
        </w:tc>
      </w:tr>
      <w:tr w14:paraId="6D8B9A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794A01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w:t>
            </w:r>
          </w:p>
        </w:tc>
        <w:tc>
          <w:tcPr>
            <w:tcW w:w="0" w:type="auto"/>
            <w:vAlign w:val="center"/>
          </w:tcPr>
          <w:p w14:paraId="540A2D0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Natural-fracture permeability</w:t>
            </w:r>
          </w:p>
        </w:tc>
        <w:tc>
          <w:tcPr>
            <w:tcW w:w="0" w:type="auto"/>
            <w:vAlign w:val="center"/>
          </w:tcPr>
          <w:p w14:paraId="5718D33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+1.9%</w:t>
            </w:r>
          </w:p>
        </w:tc>
        <w:tc>
          <w:tcPr>
            <w:tcW w:w="2529" w:type="dxa"/>
            <w:vAlign w:val="center"/>
          </w:tcPr>
          <w:p w14:paraId="05B978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r>
      <w:tr w14:paraId="348938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91" w:type="dxa"/>
            <w:vAlign w:val="center"/>
          </w:tcPr>
          <w:p w14:paraId="0EEB5A6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6</w:t>
            </w:r>
          </w:p>
        </w:tc>
        <w:tc>
          <w:tcPr>
            <w:tcW w:w="3008" w:type="dxa"/>
            <w:vAlign w:val="center"/>
          </w:tcPr>
          <w:p w14:paraId="547BAE6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2528" w:type="dxa"/>
            <w:vAlign w:val="center"/>
          </w:tcPr>
          <w:p w14:paraId="75F2972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+0.8%</w:t>
            </w:r>
          </w:p>
        </w:tc>
        <w:tc>
          <w:tcPr>
            <w:tcW w:w="2529" w:type="dxa"/>
            <w:vAlign w:val="center"/>
          </w:tcPr>
          <w:p w14:paraId="4FD9017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−0.9%</w:t>
            </w:r>
          </w:p>
        </w:tc>
      </w:tr>
    </w:tbl>
    <w:p w14:paraId="37607DE7">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Figure 12 and Table 15 confirm that fracture half-length is the dominant parameter, consistent with the drainage-geometry physics of ultra-low-permeability reservoirs. The introduction of natural-fracture permeability as a seventh parameter (ranked fifth in influence) indicates that the ensemble-mean DFN recovery enhancement is moderately sensitive to the assumed natural-fracture conductivity. The parameter importance ranking is invariant between the PEBI and Cartesian LGR discretizations, confirming physical consistency.</w:t>
      </w:r>
    </w:p>
    <w:p w14:paraId="6CEFC674">
      <w:pPr>
        <w:pStyle w:val="3"/>
        <w:spacing w:before="0" w:after="120"/>
        <w:ind w:firstLine="480" w:firstLineChars="200"/>
        <w:jc w:val="both"/>
        <w:rPr>
          <w:color w:val="auto"/>
        </w:rPr>
      </w:pPr>
    </w:p>
    <w:p w14:paraId="098F92C5">
      <w:pPr>
        <w:pStyle w:val="12"/>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16: Sensitivity of mesh quality to density function parameters.</w:t>
      </w: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9"/>
        <w:gridCol w:w="987"/>
        <w:gridCol w:w="1046"/>
        <w:gridCol w:w="2080"/>
        <w:gridCol w:w="2194"/>
        <w:gridCol w:w="1435"/>
      </w:tblGrid>
      <w:tr w14:paraId="60476DA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ABADD85">
            <w:pPr>
              <w:pStyle w:val="24"/>
              <w:snapToGrid w:val="0"/>
              <w:spacing w:before="0" w:after="0"/>
              <w:ind w:left="0" w:leftChars="0" w:right="0" w:rightChars="0" w:firstLineChars="0"/>
              <w:jc w:val="left"/>
              <w:rPr>
                <w:b/>
                <w:color w:val="auto"/>
              </w:rPr>
            </w:pPr>
            <m:oMath>
              <m:r>
                <m:rPr>
                  <m:sty m:val="bi"/>
                </m:rPr>
                <w:rPr>
                  <w:rFonts w:hint="default" w:ascii="Times New Roman" w:hAnsi="Times New Roman"/>
                  <w:color w:val="auto"/>
                </w:rPr>
                <m:t>α</m:t>
              </m:r>
            </m:oMath>
            <w:r>
              <w:rPr>
                <w:rFonts w:ascii="Times New Roman" w:hAnsi="Times New Roman" w:cs="Times New Roman"/>
                <w:b/>
                <w:bCs/>
                <w:color w:val="auto"/>
                <w:sz w:val="20"/>
                <w:szCs w:val="20"/>
              </w:rPr>
              <w:t xml:space="preserve"> (m⁻¹)</w:t>
            </w:r>
          </w:p>
        </w:tc>
        <w:tc>
          <w:tcPr>
            <w:tcW w:w="0" w:type="auto"/>
            <w:tcBorders>
              <w:bottom w:val="single" w:color="auto" w:sz="0" w:space="0"/>
            </w:tcBorders>
            <w:vAlign w:val="center"/>
          </w:tcPr>
          <w:p w14:paraId="4346C388">
            <w:pPr>
              <w:pStyle w:val="24"/>
              <w:snapToGrid w:val="0"/>
              <w:spacing w:before="0" w:after="0"/>
              <w:ind w:left="0" w:leftChars="0" w:right="0" w:rightChars="0" w:firstLineChars="0"/>
              <w:jc w:val="left"/>
              <w:rPr>
                <w:b/>
                <w:color w:val="auto"/>
              </w:rPr>
            </w:pPr>
            <m:oMath>
              <m:sSub>
                <m:sSubPr>
                  <m:ctrlPr>
                    <w:rPr>
                      <w:rFonts w:ascii="Times New Roman" w:hAnsi="Times New Roman"/>
                      <w:b/>
                      <w:color w:val="auto"/>
                    </w:rPr>
                  </m:ctrlPr>
                </m:sSubPr>
                <m:e>
                  <m:r>
                    <m:rPr>
                      <m:sty m:val="bi"/>
                    </m:rPr>
                    <w:rPr>
                      <w:rFonts w:hint="default" w:ascii="Times New Roman" w:hAnsi="Times New Roman"/>
                      <w:color w:val="auto"/>
                    </w:rPr>
                    <m:t>h</m:t>
                  </m:r>
                  <m:ctrlPr>
                    <w:rPr>
                      <w:rFonts w:ascii="Times New Roman" w:hAnsi="Times New Roman"/>
                      <w:b/>
                      <w:color w:val="auto"/>
                    </w:rPr>
                  </m:ctrlPr>
                </m:e>
                <m:sub>
                  <m:r>
                    <m:rPr>
                      <m:sty m:val="bi"/>
                    </m:rPr>
                    <w:rPr>
                      <w:rFonts w:hint="default" w:ascii="Times New Roman" w:hAnsi="Times New Roman"/>
                      <w:color w:val="auto"/>
                    </w:rPr>
                    <m:t>n</m:t>
                  </m:r>
                  <m:ctrlPr>
                    <w:rPr>
                      <w:rFonts w:ascii="Times New Roman" w:hAnsi="Times New Roman"/>
                      <w:b/>
                      <w:color w:val="auto"/>
                    </w:rPr>
                  </m:ctrlPr>
                </m:sub>
              </m:sSub>
            </m:oMath>
            <w:r>
              <w:rPr>
                <w:rFonts w:ascii="Times New Roman" w:hAnsi="Times New Roman" w:cs="Times New Roman"/>
                <w:b/>
                <w:bCs/>
                <w:color w:val="auto"/>
                <w:sz w:val="20"/>
                <w:szCs w:val="20"/>
              </w:rPr>
              <w:t xml:space="preserve"> (m)</w:t>
            </w:r>
          </w:p>
        </w:tc>
        <w:tc>
          <w:tcPr>
            <w:tcW w:w="0" w:type="auto"/>
            <w:tcBorders>
              <w:bottom w:val="single" w:color="auto" w:sz="0" w:space="0"/>
            </w:tcBorders>
            <w:vAlign w:val="center"/>
          </w:tcPr>
          <w:p w14:paraId="1F3F500C">
            <w:pPr>
              <w:pStyle w:val="24"/>
              <w:snapToGrid w:val="0"/>
              <w:spacing w:before="0" w:after="0"/>
              <w:ind w:left="0" w:leftChars="0" w:right="0" w:rightChars="0" w:firstLineChars="0"/>
              <w:jc w:val="left"/>
              <w:rPr>
                <w:b/>
                <w:color w:val="auto"/>
              </w:rPr>
            </w:pPr>
            <m:oMath>
              <m:sSub>
                <m:sSubPr>
                  <m:ctrlPr>
                    <w:rPr>
                      <w:rFonts w:ascii="Times New Roman" w:hAnsi="Times New Roman"/>
                      <w:b/>
                      <w:color w:val="auto"/>
                    </w:rPr>
                  </m:ctrlPr>
                </m:sSubPr>
                <m:e>
                  <m:r>
                    <m:rPr>
                      <m:sty m:val="bi"/>
                    </m:rPr>
                    <w:rPr>
                      <w:rFonts w:hint="default" w:ascii="Times New Roman" w:hAnsi="Times New Roman"/>
                      <w:color w:val="auto"/>
                    </w:rPr>
                    <m:t>h</m:t>
                  </m:r>
                  <m:ctrlPr>
                    <w:rPr>
                      <w:rFonts w:ascii="Times New Roman" w:hAnsi="Times New Roman"/>
                      <w:b/>
                      <w:color w:val="auto"/>
                    </w:rPr>
                  </m:ctrlPr>
                </m:e>
                <m:sub>
                  <m:r>
                    <m:rPr>
                      <m:sty m:val="bi"/>
                    </m:rPr>
                    <w:rPr>
                      <w:rFonts w:hint="default" w:ascii="Times New Roman" w:hAnsi="Times New Roman"/>
                      <w:color w:val="auto"/>
                    </w:rPr>
                    <m:t>f</m:t>
                  </m:r>
                  <m:ctrlPr>
                    <w:rPr>
                      <w:rFonts w:ascii="Times New Roman" w:hAnsi="Times New Roman"/>
                      <w:b/>
                      <w:color w:val="auto"/>
                    </w:rPr>
                  </m:ctrlPr>
                </m:sub>
              </m:sSub>
            </m:oMath>
            <w:r>
              <w:rPr>
                <w:rFonts w:ascii="Times New Roman" w:hAnsi="Times New Roman" w:cs="Times New Roman"/>
                <w:b/>
                <w:bCs/>
                <w:color w:val="auto"/>
                <w:sz w:val="20"/>
                <w:szCs w:val="20"/>
              </w:rPr>
              <w:t xml:space="preserve"> (m)</w:t>
            </w:r>
          </w:p>
        </w:tc>
        <w:tc>
          <w:tcPr>
            <w:tcW w:w="0" w:type="auto"/>
            <w:tcBorders>
              <w:bottom w:val="single" w:color="auto" w:sz="0" w:space="0"/>
            </w:tcBorders>
            <w:vAlign w:val="center"/>
          </w:tcPr>
          <w:p w14:paraId="3D20F643">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Faces with </w:t>
            </w:r>
            <m:oMath>
              <m:r>
                <m:rPr>
                  <m:sty m:val="bi"/>
                </m:rPr>
                <w:rPr>
                  <w:rFonts w:hint="default" w:ascii="Times New Roman" w:hAnsi="Times New Roman"/>
                  <w:color w:val="auto"/>
                </w:rPr>
                <m:t>θ≤</m:t>
              </m:r>
              <m:sSup>
                <m:sSupPr>
                  <m:ctrlPr>
                    <w:rPr>
                      <w:rFonts w:ascii="Times New Roman" w:hAnsi="Times New Roman"/>
                      <w:b/>
                      <w:color w:val="auto"/>
                    </w:rPr>
                  </m:ctrlPr>
                </m:sSupPr>
                <m:e>
                  <m:r>
                    <m:rPr>
                      <m:sty m:val="bi"/>
                    </m:rPr>
                    <w:rPr>
                      <w:rFonts w:hint="default" w:ascii="Times New Roman" w:hAnsi="Times New Roman"/>
                      <w:color w:val="auto"/>
                    </w:rPr>
                    <m:t>5</m:t>
                  </m:r>
                  <m:ctrlPr>
                    <w:rPr>
                      <w:rFonts w:ascii="Times New Roman" w:hAnsi="Times New Roman"/>
                      <w:b/>
                      <w:color w:val="auto"/>
                    </w:rPr>
                  </m:ctrlPr>
                </m:e>
                <m:sup>
                  <m:r>
                    <m:rPr>
                      <m:sty m:val="bi"/>
                    </m:rPr>
                    <w:rPr>
                      <w:rFonts w:ascii="Times New Roman" w:hAnsi="Times New Roman"/>
                      <w:color w:val="auto"/>
                    </w:rPr>
                    <m:t>∘</m:t>
                  </m:r>
                  <m:ctrlPr>
                    <w:rPr>
                      <w:rFonts w:ascii="Times New Roman" w:hAnsi="Times New Roman"/>
                      <w:b/>
                      <w:color w:val="auto"/>
                    </w:rPr>
                  </m:ctrlPr>
                </m:sup>
              </m:sSup>
            </m:oMath>
          </w:p>
        </w:tc>
        <w:tc>
          <w:tcPr>
            <w:tcW w:w="0" w:type="auto"/>
            <w:tcBorders>
              <w:bottom w:val="single" w:color="auto" w:sz="0" w:space="0"/>
            </w:tcBorders>
            <w:vAlign w:val="center"/>
          </w:tcPr>
          <w:p w14:paraId="3D0FDFB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Max Aspect Ratio</w:t>
            </w:r>
          </w:p>
        </w:tc>
        <w:tc>
          <w:tcPr>
            <w:tcW w:w="1442" w:type="dxa"/>
            <w:tcBorders>
              <w:bottom w:val="single" w:color="auto" w:sz="0" w:space="0"/>
            </w:tcBorders>
            <w:vAlign w:val="center"/>
          </w:tcPr>
          <w:p w14:paraId="102AC1E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Total Cells</w:t>
            </w:r>
          </w:p>
        </w:tc>
      </w:tr>
      <w:tr w14:paraId="2DE0BAB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DACD31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0.25</w:t>
            </w:r>
          </w:p>
        </w:tc>
        <w:tc>
          <w:tcPr>
            <w:tcW w:w="0" w:type="auto"/>
            <w:vAlign w:val="center"/>
          </w:tcPr>
          <w:p w14:paraId="6A9E693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2BCBDB8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03C9D6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95.8%</w:t>
            </w:r>
          </w:p>
        </w:tc>
        <w:tc>
          <w:tcPr>
            <w:tcW w:w="0" w:type="auto"/>
            <w:vAlign w:val="center"/>
          </w:tcPr>
          <w:p w14:paraId="6FB3C91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4.2</w:t>
            </w:r>
          </w:p>
        </w:tc>
        <w:tc>
          <w:tcPr>
            <w:tcW w:w="1442" w:type="dxa"/>
            <w:vAlign w:val="center"/>
          </w:tcPr>
          <w:p w14:paraId="556D91C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892 K</w:t>
            </w:r>
          </w:p>
        </w:tc>
      </w:tr>
      <w:tr w14:paraId="22E8C48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0DA842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6CF561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18AA5C3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548330A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0" w:type="auto"/>
            <w:vAlign w:val="center"/>
          </w:tcPr>
          <w:p w14:paraId="1527C3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3.8</w:t>
            </w:r>
          </w:p>
        </w:tc>
        <w:tc>
          <w:tcPr>
            <w:tcW w:w="1442" w:type="dxa"/>
            <w:vAlign w:val="center"/>
          </w:tcPr>
          <w:p w14:paraId="570598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 K</w:t>
            </w:r>
          </w:p>
        </w:tc>
      </w:tr>
      <w:tr w14:paraId="1BFABB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1E237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w:t>
            </w:r>
          </w:p>
        </w:tc>
        <w:tc>
          <w:tcPr>
            <w:tcW w:w="0" w:type="auto"/>
            <w:vAlign w:val="center"/>
          </w:tcPr>
          <w:p w14:paraId="517E6C0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013B5E3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4F2B09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97.4%</w:t>
            </w:r>
          </w:p>
        </w:tc>
        <w:tc>
          <w:tcPr>
            <w:tcW w:w="0" w:type="auto"/>
            <w:vAlign w:val="center"/>
          </w:tcPr>
          <w:p w14:paraId="3822579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3.6</w:t>
            </w:r>
          </w:p>
        </w:tc>
        <w:tc>
          <w:tcPr>
            <w:tcW w:w="1442" w:type="dxa"/>
            <w:vAlign w:val="center"/>
          </w:tcPr>
          <w:p w14:paraId="661574A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1 187 K</w:t>
            </w:r>
          </w:p>
        </w:tc>
      </w:tr>
      <w:tr w14:paraId="7DB24E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53BA77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2.00</w:t>
            </w:r>
          </w:p>
        </w:tc>
        <w:tc>
          <w:tcPr>
            <w:tcW w:w="0" w:type="auto"/>
            <w:vAlign w:val="center"/>
          </w:tcPr>
          <w:p w14:paraId="236166E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0" w:type="auto"/>
            <w:vAlign w:val="center"/>
          </w:tcPr>
          <w:p w14:paraId="4F5AD81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77DB82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97.6%</w:t>
            </w:r>
          </w:p>
        </w:tc>
        <w:tc>
          <w:tcPr>
            <w:tcW w:w="0" w:type="auto"/>
            <w:vAlign w:val="center"/>
          </w:tcPr>
          <w:p w14:paraId="6BF1E93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42" w:type="dxa"/>
            <w:vAlign w:val="center"/>
          </w:tcPr>
          <w:p w14:paraId="01D5D49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1 403 K</w:t>
            </w:r>
          </w:p>
        </w:tc>
      </w:tr>
      <w:tr w14:paraId="78C7BE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ECE2D7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1D45F0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w:t>
            </w:r>
          </w:p>
        </w:tc>
        <w:tc>
          <w:tcPr>
            <w:tcW w:w="0" w:type="auto"/>
            <w:vAlign w:val="center"/>
          </w:tcPr>
          <w:p w14:paraId="6AD4E22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7BF2052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97.8%</w:t>
            </w:r>
          </w:p>
        </w:tc>
        <w:tc>
          <w:tcPr>
            <w:tcW w:w="0" w:type="auto"/>
            <w:vAlign w:val="center"/>
          </w:tcPr>
          <w:p w14:paraId="5A7894D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4.1</w:t>
            </w:r>
          </w:p>
        </w:tc>
        <w:tc>
          <w:tcPr>
            <w:tcW w:w="1442" w:type="dxa"/>
            <w:vAlign w:val="center"/>
          </w:tcPr>
          <w:p w14:paraId="722D330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1 412 K</w:t>
            </w:r>
          </w:p>
        </w:tc>
      </w:tr>
      <w:tr w14:paraId="45F345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B06AC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0" w:type="auto"/>
            <w:vAlign w:val="center"/>
          </w:tcPr>
          <w:p w14:paraId="25C1674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2.0</w:t>
            </w:r>
          </w:p>
        </w:tc>
        <w:tc>
          <w:tcPr>
            <w:tcW w:w="0" w:type="auto"/>
            <w:vAlign w:val="center"/>
          </w:tcPr>
          <w:p w14:paraId="67E3E1E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50.0</w:t>
            </w:r>
          </w:p>
        </w:tc>
        <w:tc>
          <w:tcPr>
            <w:tcW w:w="0" w:type="auto"/>
            <w:vAlign w:val="center"/>
          </w:tcPr>
          <w:p w14:paraId="438511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95.1%</w:t>
            </w:r>
          </w:p>
        </w:tc>
        <w:tc>
          <w:tcPr>
            <w:tcW w:w="0" w:type="auto"/>
            <w:vAlign w:val="center"/>
          </w:tcPr>
          <w:p w14:paraId="1B9D1E4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3.5</w:t>
            </w:r>
          </w:p>
        </w:tc>
        <w:tc>
          <w:tcPr>
            <w:tcW w:w="1442" w:type="dxa"/>
            <w:vAlign w:val="center"/>
          </w:tcPr>
          <w:p w14:paraId="6346533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783 K</w:t>
            </w:r>
          </w:p>
        </w:tc>
      </w:tr>
      <w:tr w14:paraId="0EF7C07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111" w:type="dxa"/>
            <w:vAlign w:val="center"/>
          </w:tcPr>
          <w:p w14:paraId="6C741D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0.50</w:t>
            </w:r>
          </w:p>
        </w:tc>
        <w:tc>
          <w:tcPr>
            <w:tcW w:w="988" w:type="dxa"/>
            <w:vAlign w:val="center"/>
          </w:tcPr>
          <w:p w14:paraId="37CE322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1.0</w:t>
            </w:r>
          </w:p>
        </w:tc>
        <w:tc>
          <w:tcPr>
            <w:tcW w:w="985" w:type="dxa"/>
            <w:vAlign w:val="center"/>
          </w:tcPr>
          <w:p w14:paraId="7949E7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25.0</w:t>
            </w:r>
          </w:p>
        </w:tc>
        <w:tc>
          <w:tcPr>
            <w:tcW w:w="2102" w:type="dxa"/>
            <w:vAlign w:val="center"/>
          </w:tcPr>
          <w:p w14:paraId="57D6035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96.3%</w:t>
            </w:r>
          </w:p>
        </w:tc>
        <w:tc>
          <w:tcPr>
            <w:tcW w:w="2223" w:type="dxa"/>
            <w:vAlign w:val="center"/>
          </w:tcPr>
          <w:p w14:paraId="015CDD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3.9</w:t>
            </w:r>
          </w:p>
        </w:tc>
        <w:tc>
          <w:tcPr>
            <w:tcW w:w="1442" w:type="dxa"/>
            <w:vAlign w:val="center"/>
          </w:tcPr>
          <w:p w14:paraId="118877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1 856 K</w:t>
            </w:r>
          </w:p>
        </w:tc>
      </w:tr>
    </w:tbl>
    <w:p w14:paraId="70481C80">
      <w:pPr>
        <w:pStyle w:val="12"/>
        <w:spacing w:before="0" w:after="0" w:line="300" w:lineRule="auto"/>
        <w:ind w:firstLineChars="200"/>
        <w:jc w:val="both"/>
        <w:rPr>
          <w:rFonts w:ascii="Times New Roman" w:hAnsi="Times New Roman" w:cs="Times New Roman"/>
          <w:color w:val="auto"/>
          <w:sz w:val="20"/>
          <w:szCs w:val="20"/>
        </w:rPr>
      </w:pPr>
      <w:r>
        <w:rPr>
          <w:rFonts w:ascii="Times New Roman" w:hAnsi="Times New Roman" w:cs="Times New Roman"/>
          <w:b w:val="0"/>
          <w:bCs/>
          <w:color w:val="auto"/>
          <w:sz w:val="24"/>
          <w:szCs w:val="20"/>
        </w:rPr>
        <w:t xml:space="preserve">Table 16 reports mesh quality sensitivity to the density function parameters. The K-orthogonality fraction (97.1%) is robust to variations in and across a factor-of-four range, varying by less than 2 percentage points. The near-fracture spacing has the strongest influence: reducing from 1.0 m to 0.5 m improves K-orthogonality marginally (97.1% → 97.8%) but increases the total cell count by 38%. The base parameter set ( </w:t>
      </w:r>
      <m:oMath>
        <m:sSup>
          <m:sSupPr/>
          <m:e>
            <m:r>
              <m:rPr/>
              <w:rPr>
                <w:rFonts w:ascii="Times New Roman" w:hAnsi="Times New Roman" w:cs="Times New Roman"/>
                <w:sz w:val="20"/>
                <w:szCs w:val="20"/>
              </w:rPr>
              <m:t>m</m:t>
            </m:r>
          </m:e>
          <m:sup>
            <m:r>
              <m:rPr/>
              <w:rPr>
                <w:rFonts w:ascii="Times New Roman" w:hAnsi="Times New Roman" w:cs="Times New Roman"/>
                <w:sz w:val="20"/>
                <w:szCs w:val="20"/>
              </w:rPr>
              <m:t>−1</m:t>
            </m:r>
          </m:sup>
        </m:sSup>
      </m:oMath>
      <w:r>
        <w:rPr>
          <w:rFonts w:ascii="Times New Roman" w:hAnsi="Times New Roman" w:cs="Times New Roman"/>
          <w:b w:val="0"/>
          <w:bCs/>
          <w:color w:val="auto"/>
          <w:sz w:val="24"/>
          <w:szCs w:val="20"/>
        </w:rPr>
        <w:t>, m, m) represents a Pareto-optimal trade-off between mesh quality and cell count.</w:t>
      </w:r>
    </w:p>
    <w:p w14:paraId="3C079E5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sz w:val="24"/>
          <w:szCs w:val="24"/>
        </w:rPr>
        <w:t>Mesh parameter sensitivity data (Table 16) enable bounding estimates of the parameter space over which K-orthogonality guarantees remain valid. The near-fracture spacing trend (h_n = 0.5 m: 97.8% K-ortho; 1.0 m: 97.1%; 2.0 m: 95.1%) gives a linear sensitivity of approximately 1.4 percentage points per meter of h_n, indicating that the method retains adequate K-orthogonality for h_n up to approximately 4 m. For the dimensionless transition parameter, the K-orthogonality fraction decays by less than 1 percentage point across Pi_alpha = 20-150. Regarding fracture-network complexity, the condition-number growth rate of 0.0015 per fracture (Fig. 11) implies that the linear solver would remain within a factor of 3x of its base iteration count for fracture populations up to approximately 5,000 discrete features.</w:t>
      </w:r>
    </w:p>
    <w:p w14:paraId="188F65B8">
      <w:pPr>
        <w:pStyle w:val="4"/>
        <w:spacing w:before="120" w:after="60" w:line="360" w:lineRule="auto"/>
        <w:jc w:val="left"/>
        <w:rPr>
          <w:rFonts w:ascii="Times New Roman" w:hAnsi="Times New Roman" w:cs="Times New Roman"/>
          <w:color w:val="auto"/>
          <w:sz w:val="24"/>
          <w:szCs w:val="24"/>
        </w:rPr>
      </w:pPr>
      <w:bookmarkStart w:id="19" w:name="Xdb6de9254f3c379a3452f8c426d28cc97ce00ac"/>
      <w:r>
        <w:rPr>
          <w:rFonts w:ascii="Times New Roman" w:hAnsi="Times New Roman" w:cs="Times New Roman"/>
          <w:b/>
          <w:bCs/>
          <w:color w:val="auto"/>
          <w:sz w:val="24"/>
          <w:szCs w:val="24"/>
        </w:rPr>
        <w:t>3.8 Alternative Reservoir Configuration: Single-Well Depletion Case</w:t>
      </w:r>
      <w:bookmarkEnd w:id="19"/>
    </w:p>
    <w:p w14:paraId="02435C7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Generality of the findings beyond the base five-well pad configuration is assessed by considering a second case with a different well geometry: a single horizontal well with 12 hydraulic-fracture stages, keeping the matrix permeability (</w:t>
      </w:r>
      <m:oMath>
        <m:sSub>
          <m:sSubPr>
            <m:ctrlPr>
              <w:rPr>
                <w:rFonts w:ascii="Times New Roman" w:hAnsi="Times New Roman" w:cs="Times New Roman"/>
                <w:color w:val="auto"/>
                <w:sz w:val="24"/>
                <w:szCs w:val="24"/>
              </w:rPr>
            </m:ctrlPr>
          </m:sSubPr>
          <m:e>
            <m:r>
              <m:rPr/>
              <w:rPr>
                <w:rFonts w:ascii="Times New Roman" w:hAnsi="Times New Roman" w:cs="Times New Roman"/>
                <w:color w:val="auto"/>
                <w:sz w:val="24"/>
                <w:szCs w:val="24"/>
              </w:rPr>
              <m:t>K</m:t>
            </m:r>
            <m:ctrlPr>
              <w:rPr>
                <w:rFonts w:ascii="Times New Roman" w:hAnsi="Times New Roman" w:cs="Times New Roman"/>
                <w:color w:val="auto"/>
                <w:sz w:val="24"/>
                <w:szCs w:val="24"/>
              </w:rPr>
            </m:ctrlPr>
          </m:e>
          <m:sub>
            <m:r>
              <m:rPr/>
              <w:rPr>
                <w:rFonts w:ascii="Times New Roman" w:hAnsi="Times New Roman" w:cs="Times New Roman"/>
                <w:color w:val="auto"/>
                <w:sz w:val="24"/>
                <w:szCs w:val="24"/>
              </w:rPr>
              <m:t>m</m:t>
            </m:r>
            <m:ctrlPr>
              <w:rPr>
                <w:rFonts w:ascii="Times New Roman" w:hAnsi="Times New Roman" w:cs="Times New Roman"/>
                <w:color w:val="auto"/>
                <w:sz w:val="24"/>
                <w:szCs w:val="24"/>
              </w:rPr>
            </m:ctrlPr>
          </m:sub>
        </m:sSub>
        <m:r>
          <m:rPr/>
          <w:rPr>
            <w:rFonts w:ascii="Times New Roman" w:hAnsi="Times New Roman" w:cs="Times New Roman"/>
            <w:color w:val="auto"/>
            <w:sz w:val="24"/>
            <w:szCs w:val="24"/>
          </w:rPr>
          <m:t>=0.008</m:t>
        </m:r>
      </m:oMath>
      <w:r>
        <w:rPr>
          <w:rFonts w:ascii="Times New Roman" w:hAnsi="Times New Roman" w:cs="Times New Roman"/>
          <w:color w:val="auto"/>
          <w:sz w:val="24"/>
          <w:szCs w:val="24"/>
        </w:rPr>
        <w:t>mD), porosity, fluid properties, fracture properties, and all other reservoir parameters identical to the base case (Table 6). The reduction in fracture count (12 vs. 100) inherently changes several structural properties of the computational problem: the total cell count decreases (387K vs. 1,024K), the TPFA Jacobian sparsity pattern and AMG hierarchy depth adapt to the smaller problem size, and the ParMETIS partitioning operates on a graph with fewer high-weight edges. This is therefore a configuration-robustness test, not a strict single-variable control experiment—the change in fracture count is itself the geometric perturbation whose impact on the framework we wish to quantify. The well is operated under primary depletion (no water injection). To enable a fair parallel-efficiency comparison, both cases are evaluated at the same core count.</w:t>
      </w:r>
    </w:p>
    <w:p w14:paraId="07EA0C3F">
      <w:pPr>
        <w:pStyle w:val="12"/>
        <w:keepNext/>
        <w:spacing w:before="0" w:after="0" w:line="300" w:lineRule="auto"/>
        <w:ind w:firstLineChars="200"/>
        <w:jc w:val="center"/>
        <w:rPr>
          <w:rFonts w:ascii="Times New Roman" w:hAnsi="Times New Roman" w:cs="Times New Roman"/>
          <w:color w:val="auto"/>
          <w:sz w:val="20"/>
          <w:szCs w:val="20"/>
        </w:rPr>
      </w:pPr>
      <w:r>
        <w:rPr>
          <w:rFonts w:ascii="Times New Roman" w:hAnsi="Times New Roman" w:cs="Times New Roman"/>
          <w:b w:val="0"/>
          <w:bCs/>
          <w:color w:val="auto"/>
          <w:sz w:val="20"/>
          <w:szCs w:val="20"/>
        </w:rPr>
        <w:t>Table 17: Comparison of key metrics across the base (five-well) and alternative (single-well) configurations. Both cases share identical matrix permeability (0.008 mD), porosity (0.07), fluid properties, and per-fracture properties (Table 5). Parallel efficiency compared at identical core count (N = 64) and identical cells-per-rank ratio (6,000 cells/rank).</w:t>
      </w:r>
    </w:p>
    <w:tbl>
      <w:tblPr>
        <w:tblStyle w:val="28"/>
        <w:tblW w:w="9078"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43"/>
        <w:gridCol w:w="1689"/>
        <w:gridCol w:w="2148"/>
        <w:gridCol w:w="2498"/>
      </w:tblGrid>
      <w:tr w14:paraId="5AE1F5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743" w:type="dxa"/>
            <w:tcBorders>
              <w:bottom w:val="single" w:color="auto" w:sz="0" w:space="0"/>
            </w:tcBorders>
            <w:vAlign w:val="center"/>
          </w:tcPr>
          <w:p w14:paraId="344F1512">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Metric</w:t>
            </w:r>
          </w:p>
        </w:tc>
        <w:tc>
          <w:tcPr>
            <w:tcW w:w="1689" w:type="dxa"/>
            <w:tcBorders>
              <w:bottom w:val="single" w:color="auto" w:sz="0" w:space="0"/>
            </w:tcBorders>
            <w:vAlign w:val="center"/>
          </w:tcPr>
          <w:p w14:paraId="05D1DCC4">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 xml:space="preserve">Base Case </w:t>
            </w:r>
          </w:p>
          <w:p w14:paraId="2FCE19CA">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(5-well pad)</w:t>
            </w:r>
          </w:p>
        </w:tc>
        <w:tc>
          <w:tcPr>
            <w:tcW w:w="2148" w:type="dxa"/>
            <w:tcBorders>
              <w:bottom w:val="single" w:color="auto" w:sz="0" w:space="0"/>
            </w:tcBorders>
            <w:vAlign w:val="center"/>
          </w:tcPr>
          <w:p w14:paraId="6505351E">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Single-Well Case</w:t>
            </w:r>
          </w:p>
        </w:tc>
        <w:tc>
          <w:tcPr>
            <w:tcW w:w="2498" w:type="dxa"/>
            <w:tcBorders>
              <w:bottom w:val="single" w:color="auto" w:sz="0" w:space="0"/>
            </w:tcBorders>
            <w:vAlign w:val="center"/>
          </w:tcPr>
          <w:p w14:paraId="3882C512">
            <w:pPr>
              <w:pStyle w:val="24"/>
              <w:keepNext/>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Notes</w:t>
            </w:r>
          </w:p>
        </w:tc>
      </w:tr>
      <w:tr w14:paraId="574C28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4FEBAF1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Matrix permeability</w:t>
            </w:r>
          </w:p>
        </w:tc>
        <w:tc>
          <w:tcPr>
            <w:tcW w:w="1689" w:type="dxa"/>
            <w:vAlign w:val="center"/>
          </w:tcPr>
          <w:p w14:paraId="4A7A3185">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 mD</w:t>
            </w:r>
          </w:p>
        </w:tc>
        <w:tc>
          <w:tcPr>
            <w:tcW w:w="2148" w:type="dxa"/>
            <w:vAlign w:val="center"/>
          </w:tcPr>
          <w:p w14:paraId="269B90D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0.008 mD</w:t>
            </w:r>
          </w:p>
        </w:tc>
        <w:tc>
          <w:tcPr>
            <w:tcW w:w="2498" w:type="dxa"/>
            <w:vAlign w:val="center"/>
          </w:tcPr>
          <w:p w14:paraId="25A0BCF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Identical</w:t>
            </w:r>
          </w:p>
        </w:tc>
      </w:tr>
      <w:tr w14:paraId="0ADE2FB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7562711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Active fractures</w:t>
            </w:r>
          </w:p>
        </w:tc>
        <w:tc>
          <w:tcPr>
            <w:tcW w:w="1689" w:type="dxa"/>
            <w:vAlign w:val="center"/>
          </w:tcPr>
          <w:p w14:paraId="0FD3EC84">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100 (5 × 20)</w:t>
            </w:r>
          </w:p>
        </w:tc>
        <w:tc>
          <w:tcPr>
            <w:tcW w:w="2148" w:type="dxa"/>
            <w:vAlign w:val="center"/>
          </w:tcPr>
          <w:p w14:paraId="02860F2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12 (1 × 12)</w:t>
            </w:r>
          </w:p>
        </w:tc>
        <w:tc>
          <w:tcPr>
            <w:tcW w:w="2498" w:type="dxa"/>
            <w:vAlign w:val="center"/>
          </w:tcPr>
          <w:p w14:paraId="146A7522">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8.3× fewer</w:t>
            </w:r>
          </w:p>
        </w:tc>
      </w:tr>
      <w:tr w14:paraId="7ED033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0081BA69">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cells (PEBI)</w:t>
            </w:r>
          </w:p>
        </w:tc>
        <w:tc>
          <w:tcPr>
            <w:tcW w:w="1689" w:type="dxa"/>
            <w:vAlign w:val="center"/>
          </w:tcPr>
          <w:p w14:paraId="063FAF4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1 024 000</w:t>
            </w:r>
          </w:p>
        </w:tc>
        <w:tc>
          <w:tcPr>
            <w:tcW w:w="2148" w:type="dxa"/>
            <w:vAlign w:val="center"/>
          </w:tcPr>
          <w:p w14:paraId="4B722E30">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387 000</w:t>
            </w:r>
          </w:p>
        </w:tc>
        <w:tc>
          <w:tcPr>
            <w:tcW w:w="2498" w:type="dxa"/>
            <w:vAlign w:val="center"/>
          </w:tcPr>
          <w:p w14:paraId="4274760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Scales with fracture count</w:t>
            </w:r>
          </w:p>
        </w:tc>
      </w:tr>
      <w:tr w14:paraId="396857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0511D813">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Faces with </w:t>
            </w:r>
            <m:oMath>
              <m:r>
                <m:rPr/>
                <w:rPr>
                  <w:color w:val="auto"/>
                </w:rPr>
                <m:t>θ≤</m:t>
              </m:r>
              <m:sSup>
                <m:sSupPr>
                  <m:ctrlPr>
                    <w:rPr>
                      <w:color w:val="auto"/>
                    </w:rPr>
                  </m:ctrlPr>
                </m:sSupPr>
                <m:e>
                  <m:r>
                    <m:rPr/>
                    <w:rPr>
                      <w:color w:val="auto"/>
                    </w:rPr>
                    <m:t>5</m:t>
                  </m:r>
                  <m:ctrlPr>
                    <w:rPr>
                      <w:color w:val="auto"/>
                    </w:rPr>
                  </m:ctrlPr>
                </m:e>
                <m:sup>
                  <m:r>
                    <m:rPr/>
                    <w:rPr>
                      <w:color w:val="auto"/>
                    </w:rPr>
                    <m:t>∘</m:t>
                  </m:r>
                  <m:ctrlPr>
                    <w:rPr>
                      <w:color w:val="auto"/>
                    </w:rPr>
                  </m:ctrlPr>
                </m:sup>
              </m:sSup>
            </m:oMath>
          </w:p>
        </w:tc>
        <w:tc>
          <w:tcPr>
            <w:tcW w:w="1689" w:type="dxa"/>
            <w:vAlign w:val="center"/>
          </w:tcPr>
          <w:p w14:paraId="66B2CD6C">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97.1%</w:t>
            </w:r>
          </w:p>
        </w:tc>
        <w:tc>
          <w:tcPr>
            <w:tcW w:w="2148" w:type="dxa"/>
            <w:vAlign w:val="center"/>
          </w:tcPr>
          <w:p w14:paraId="4E810ACF">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96.8%</w:t>
            </w:r>
          </w:p>
        </w:tc>
        <w:tc>
          <w:tcPr>
            <w:tcW w:w="2498" w:type="dxa"/>
            <w:vAlign w:val="center"/>
          </w:tcPr>
          <w:p w14:paraId="0E7237B0">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Within 0.3 points</w:t>
            </w:r>
          </w:p>
        </w:tc>
      </w:tr>
      <w:tr w14:paraId="0FEE38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54806FE6">
            <w:pPr>
              <w:pStyle w:val="24"/>
              <w:keepNext/>
              <w:snapToGrid w:val="0"/>
              <w:spacing w:before="0" w:after="0"/>
              <w:ind w:left="0" w:leftChars="0" w:right="0" w:rightChars="0" w:firstLineChars="0"/>
              <w:jc w:val="left"/>
              <w:rPr>
                <w:color w:val="auto"/>
              </w:rPr>
            </w:pPr>
            <m:oMath>
              <m:r>
                <m:rPr/>
                <w:rPr>
                  <w:color w:val="auto"/>
                </w:rPr>
                <m:t>κ(A)</m:t>
              </m:r>
            </m:oMath>
            <w:r>
              <w:rPr>
                <w:rFonts w:ascii="Times New Roman" w:hAnsi="Times New Roman" w:cs="Times New Roman"/>
                <w:color w:val="auto"/>
                <w:sz w:val="20"/>
                <w:szCs w:val="20"/>
              </w:rPr>
              <w:t xml:space="preserve"> (Arnoldi estimate)</w:t>
            </w:r>
          </w:p>
        </w:tc>
        <w:tc>
          <w:tcPr>
            <w:tcW w:w="1689" w:type="dxa"/>
            <w:vAlign w:val="center"/>
          </w:tcPr>
          <w:p w14:paraId="46BB553D">
            <w:pPr>
              <w:pStyle w:val="24"/>
              <w:keepNext/>
              <w:snapToGrid w:val="0"/>
              <w:spacing w:before="0" w:after="0"/>
              <w:ind w:left="0" w:leftChars="0" w:right="0" w:rightChars="0" w:firstLineChars="0"/>
              <w:jc w:val="left"/>
              <w:rPr>
                <w:color w:val="auto"/>
              </w:rPr>
            </w:pPr>
            <m:oMathPara>
              <m:oMath>
                <m:r>
                  <m:rPr/>
                  <w:rPr>
                    <w:color w:val="auto"/>
                  </w:rPr>
                  <m:t>3.7×</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2148" w:type="dxa"/>
            <w:vAlign w:val="center"/>
          </w:tcPr>
          <w:p w14:paraId="676DC3DB">
            <w:pPr>
              <w:pStyle w:val="24"/>
              <w:keepNext/>
              <w:snapToGrid w:val="0"/>
              <w:spacing w:before="0" w:after="0"/>
              <w:ind w:left="0" w:leftChars="0" w:right="0" w:rightChars="0" w:firstLineChars="0"/>
              <w:jc w:val="left"/>
              <w:rPr>
                <w:color w:val="auto"/>
              </w:rPr>
            </w:pPr>
            <m:oMathPara>
              <m:oMath>
                <m:r>
                  <m:rPr/>
                  <w:rPr>
                    <w:color w:val="auto"/>
                  </w:rPr>
                  <m:t>3.2×</m:t>
                </m:r>
                <m:sSup>
                  <m:sSupPr>
                    <m:ctrlPr>
                      <w:rPr>
                        <w:color w:val="auto"/>
                      </w:rPr>
                    </m:ctrlPr>
                  </m:sSupPr>
                  <m:e>
                    <m:r>
                      <m:rPr/>
                      <w:rPr>
                        <w:color w:val="auto"/>
                      </w:rPr>
                      <m:t>10</m:t>
                    </m:r>
                    <m:ctrlPr>
                      <w:rPr>
                        <w:color w:val="auto"/>
                      </w:rPr>
                    </m:ctrlPr>
                  </m:e>
                  <m:sup>
                    <m:r>
                      <m:rPr/>
                      <w:rPr>
                        <w:color w:val="auto"/>
                      </w:rPr>
                      <m:t>6</m:t>
                    </m:r>
                    <m:ctrlPr>
                      <w:rPr>
                        <w:color w:val="auto"/>
                      </w:rPr>
                    </m:ctrlPr>
                  </m:sup>
                </m:sSup>
              </m:oMath>
            </m:oMathPara>
          </w:p>
        </w:tc>
        <w:tc>
          <w:tcPr>
            <w:tcW w:w="2498" w:type="dxa"/>
            <w:vAlign w:val="center"/>
          </w:tcPr>
          <w:p w14:paraId="0A3CE17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Lower due to fewer fractures</w:t>
            </w:r>
          </w:p>
        </w:tc>
      </w:tr>
      <w:tr w14:paraId="0F80CE4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11313AC3">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 iterations (CPR–SA-AMG)</w:t>
            </w:r>
          </w:p>
        </w:tc>
        <w:tc>
          <w:tcPr>
            <w:tcW w:w="1689" w:type="dxa"/>
            <w:vAlign w:val="center"/>
          </w:tcPr>
          <w:p w14:paraId="1A32D7B8">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21</w:t>
            </w:r>
          </w:p>
        </w:tc>
        <w:tc>
          <w:tcPr>
            <w:tcW w:w="2148" w:type="dxa"/>
            <w:vAlign w:val="center"/>
          </w:tcPr>
          <w:p w14:paraId="686C565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22</w:t>
            </w:r>
          </w:p>
        </w:tc>
        <w:tc>
          <w:tcPr>
            <w:tcW w:w="2498" w:type="dxa"/>
            <w:vAlign w:val="center"/>
          </w:tcPr>
          <w:p w14:paraId="1563042F">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At matched cells/rank</w:t>
            </w:r>
          </w:p>
        </w:tc>
      </w:tr>
      <w:tr w14:paraId="4FCB0E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215713D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Parallel efficiency (64 cores)</w:t>
            </w:r>
          </w:p>
        </w:tc>
        <w:tc>
          <w:tcPr>
            <w:tcW w:w="1689" w:type="dxa"/>
            <w:vAlign w:val="center"/>
          </w:tcPr>
          <w:p w14:paraId="64F5AD77">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96.2%</w:t>
            </w:r>
          </w:p>
        </w:tc>
        <w:tc>
          <w:tcPr>
            <w:tcW w:w="2148" w:type="dxa"/>
            <w:vAlign w:val="center"/>
          </w:tcPr>
          <w:p w14:paraId="4A92E1AB">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95.4%</w:t>
            </w:r>
          </w:p>
        </w:tc>
        <w:tc>
          <w:tcPr>
            <w:tcW w:w="2498" w:type="dxa"/>
            <w:vAlign w:val="center"/>
          </w:tcPr>
          <w:p w14:paraId="0D0E8526">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At identical core count</w:t>
            </w:r>
          </w:p>
        </w:tc>
      </w:tr>
      <w:tr w14:paraId="36AD9D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743" w:type="dxa"/>
            <w:vAlign w:val="center"/>
          </w:tcPr>
          <w:p w14:paraId="1C5E1A34">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Overlap efficiency </w:t>
            </w:r>
            <m:oMath>
              <m:r>
                <m:rPr/>
                <w:rPr>
                  <w:color w:val="auto"/>
                </w:rPr>
                <m:t>η</m:t>
              </m:r>
            </m:oMath>
            <w:r>
              <w:rPr>
                <w:rFonts w:ascii="Times New Roman" w:hAnsi="Times New Roman" w:cs="Times New Roman"/>
                <w:color w:val="auto"/>
                <w:sz w:val="20"/>
                <w:szCs w:val="20"/>
              </w:rPr>
              <w:t xml:space="preserve"> (64 cores)</w:t>
            </w:r>
          </w:p>
        </w:tc>
        <w:tc>
          <w:tcPr>
            <w:tcW w:w="1689" w:type="dxa"/>
            <w:vAlign w:val="center"/>
          </w:tcPr>
          <w:p w14:paraId="052B363E">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0.73</w:t>
            </w:r>
          </w:p>
        </w:tc>
        <w:tc>
          <w:tcPr>
            <w:tcW w:w="2148" w:type="dxa"/>
            <w:vAlign w:val="center"/>
          </w:tcPr>
          <w:p w14:paraId="0EB0EFDA">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0.71</w:t>
            </w:r>
          </w:p>
        </w:tc>
        <w:tc>
          <w:tcPr>
            <w:tcW w:w="2498" w:type="dxa"/>
            <w:vAlign w:val="center"/>
          </w:tcPr>
          <w:p w14:paraId="68222562">
            <w:pPr>
              <w:pStyle w:val="24"/>
              <w:keepNext/>
              <w:snapToGrid w:val="0"/>
              <w:spacing w:before="0" w:after="0"/>
              <w:ind w:left="0" w:leftChars="0" w:right="0" w:rightChars="0" w:firstLineChars="0"/>
              <w:jc w:val="left"/>
              <w:rPr>
                <w:color w:val="auto"/>
              </w:rPr>
            </w:pPr>
            <w:r>
              <w:rPr>
                <w:rFonts w:ascii="Times New Roman" w:hAnsi="Times New Roman" w:cs="Times New Roman"/>
                <w:color w:val="auto"/>
                <w:sz w:val="20"/>
                <w:szCs w:val="20"/>
              </w:rPr>
              <w:t>Slight reduction</w:t>
            </w:r>
          </w:p>
        </w:tc>
      </w:tr>
    </w:tbl>
    <w:p w14:paraId="56177AD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PEBI mesh generator achieves 96.8% K-orthogonality on the single-well configuration, within 0.3 percentage points of the five-well base case (97.1%), demonstrating that K-orthogonality is insensitive to the number and spatial density of fracture stages. The median theta (1.3 deg vs. 1.2 deg) and GMRES iteration count (22 vs. 21, at matched 6,000 cells/rank) are likewise stable.</w:t>
      </w:r>
    </w:p>
    <w:p w14:paraId="50A96846">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These results indicate that the proposed framework key performance characteristics -- K-orthogonality, solver convergence, and parallel efficiency -- are robust to well-pattern variation, supporting the generality of the Geometry-Algebra-Concurrency Triad concept (Section 4.1).</w:t>
      </w:r>
    </w:p>
    <w:p w14:paraId="4E30D484">
      <w:pPr>
        <w:pStyle w:val="2"/>
        <w:spacing w:before="120" w:after="60" w:line="360" w:lineRule="auto"/>
        <w:jc w:val="left"/>
        <w:rPr>
          <w:rFonts w:ascii="Times New Roman" w:hAnsi="Times New Roman" w:cs="Times New Roman"/>
          <w:color w:val="auto"/>
          <w:sz w:val="28"/>
          <w:szCs w:val="28"/>
        </w:rPr>
      </w:pPr>
      <w:bookmarkStart w:id="20" w:name="discussion"/>
      <w:r>
        <w:rPr>
          <w:rFonts w:ascii="Times New Roman" w:hAnsi="Times New Roman" w:cs="Times New Roman"/>
          <w:b/>
          <w:bCs/>
          <w:color w:val="auto"/>
          <w:sz w:val="28"/>
          <w:szCs w:val="28"/>
        </w:rPr>
        <w:t>4 Discussion</w:t>
      </w:r>
      <w:bookmarkEnd w:id="20"/>
    </w:p>
    <w:p w14:paraId="541F877E">
      <w:pPr>
        <w:pStyle w:val="4"/>
        <w:spacing w:before="120" w:after="60" w:line="360" w:lineRule="auto"/>
        <w:jc w:val="left"/>
        <w:rPr>
          <w:rFonts w:ascii="Times New Roman" w:hAnsi="Times New Roman" w:cs="Times New Roman"/>
          <w:color w:val="auto"/>
          <w:sz w:val="24"/>
          <w:szCs w:val="24"/>
        </w:rPr>
      </w:pPr>
      <w:bookmarkStart w:id="21" w:name="the-geometryalgebraconcurrency-triad"/>
      <w:r>
        <w:rPr>
          <w:rFonts w:ascii="Times New Roman" w:hAnsi="Times New Roman" w:cs="Times New Roman"/>
          <w:b/>
          <w:bCs/>
          <w:color w:val="auto"/>
          <w:sz w:val="24"/>
          <w:szCs w:val="24"/>
        </w:rPr>
        <w:t>4.1 The Geometry–Algebra–Concurrency Triad</w:t>
      </w:r>
      <w:bookmarkEnd w:id="21"/>
    </w:p>
    <w:p w14:paraId="069B1659">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A central empirical finding of this work is that mesh conformity, algebraic conditioning, and parallel concurrency form a quantitatively coupled chain--the Geometry-Algebra-Concurrency Triad--rather than independent tuning parameters. K-orthogonal mesh geometry is associated with improved Jacobian diagonal dominance (delta = 2.18 vs. 1.43), which accelerates AMG convergence (V-cycle factor 0.31 vs. 0.45), which in turn widens the temporal window for computation-communication overlap (eta = 0.73). The mesh-isolation experiment (Table 11, Configurations A vs. B) demonstrates that K-orthogonal PEBI geometry alone reduces GMRES iterations from 38 to 21 under identical CPR-SA-AMG preconditioning. Under DFN complexity, the proportional degradations persist: K-orthogonality decreases to 95.1 +/- 0.8%, GMRES iterations increase to 24.3 +/- 1.8, and overlap efficiency decreases to an estimated 0.68, confirming the Triad as a robust empirical design principle.</w:t>
      </w:r>
    </w:p>
    <w:p w14:paraId="40E9FE07">
      <w:pPr>
        <w:pStyle w:val="4"/>
        <w:spacing w:before="120" w:after="60" w:line="360" w:lineRule="auto"/>
        <w:jc w:val="left"/>
        <w:rPr>
          <w:rFonts w:ascii="Times New Roman" w:hAnsi="Times New Roman" w:cs="Times New Roman"/>
          <w:color w:val="auto"/>
          <w:sz w:val="24"/>
          <w:szCs w:val="24"/>
        </w:rPr>
      </w:pPr>
      <w:bookmarkStart w:id="22" w:name="Xf93c786a574fb2066446b484aec294f28aadd55"/>
      <w:r>
        <w:rPr>
          <w:rFonts w:ascii="Times New Roman" w:hAnsi="Times New Roman" w:cs="Times New Roman"/>
          <w:b/>
          <w:bCs/>
          <w:color w:val="auto"/>
          <w:sz w:val="24"/>
          <w:szCs w:val="24"/>
        </w:rPr>
        <w:t>4.2 Cumulative Production as a Misleading Accuracy Metric</w:t>
      </w:r>
      <w:bookmarkEnd w:id="22"/>
    </w:p>
    <w:p w14:paraId="727401F1">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comparative analysis in Section 3.3 reveals a notable result: two simulators may agree within 1.5% on cumulative production while disagreeing by 18.5% in the near-fracture pressure distribution—a discrepancy with direct consequences for history matching and fracture-property inversion. As a concrete illustration, a synthetic pressure-transient analysis was performed: treating the PEBI pressure profile at t = 1,000 days as the true reservoir response and the Cartesian LGR profile as the simulated observation, a standard well-test interpretation workflow (log–log derivative analysis followed by type-curve matching; Bourdet et al., 1989) was applied to estimate fracture half-length. The LGR-based estimate underestimated fracture half-length by 12.3% (133 m vs. the input 150 m) and overestimated fracture conductivity by 18.7%; the PEBI-based estimate recovered both parameters to within 2%. When calibrated parameters absorb numerical artifacts of this magnitude, they lose physical interpretability and propagate errors into well-spacing and completion-design decisions. The conforming PEBI discretization eliminates this bias at its source.</w:t>
      </w:r>
    </w:p>
    <w:p w14:paraId="46BBFDCA">
      <w:pPr>
        <w:pStyle w:val="4"/>
        <w:spacing w:before="120" w:after="60" w:line="360" w:lineRule="auto"/>
        <w:jc w:val="left"/>
        <w:rPr>
          <w:rFonts w:ascii="Times New Roman" w:hAnsi="Times New Roman" w:cs="Times New Roman"/>
          <w:color w:val="auto"/>
          <w:sz w:val="24"/>
          <w:szCs w:val="24"/>
        </w:rPr>
      </w:pPr>
      <w:bookmarkStart w:id="23" w:name="limitations"/>
      <w:r>
        <w:rPr>
          <w:rFonts w:ascii="Times New Roman" w:hAnsi="Times New Roman" w:cs="Times New Roman"/>
          <w:b/>
          <w:bCs/>
          <w:color w:val="auto"/>
          <w:sz w:val="24"/>
          <w:szCs w:val="24"/>
        </w:rPr>
        <w:t>4.3 Limitations</w:t>
      </w:r>
      <w:bookmarkEnd w:id="23"/>
    </w:p>
    <w:p w14:paraId="6C28F41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Several limitations of the present study should be acknowledged:</w:t>
      </w:r>
    </w:p>
    <w:p w14:paraId="4388E1D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sz w:val="24"/>
        </w:rPr>
        <w:t>2.5D extrusion formulation. The current implementation relies on a layered 2.5D extrusion approach rather than a fully three-dimensional constrained Voronoi construction. Extension to non-planar, arbitrarily oriented fractures in a true 3D setting requires solving the constrained Delaunay tetrahedralization problem with face constraints. For a fracture inclined by angle phi from vertical, the K-orthogonality fraction is estimated to degrade as cos^2(phi): for phi = 15 deg, approximately 95.8% (cf. 97.1% for vertical); for phi = 30 deg, approximately 91.5% (theoretical lower bound, neglecting the compensatory effect of the extrusion step). A supplementary verification case (phi = 30 deg) yields measured K-orthogonality of 92.1% (measured), near-fracture pressure error 0.52%, 26 GMRES iterations, and eta = 0.63, confirming the cos^2(phi) model as a conservative bound. For phi above 45 deg, fully 3D constrained Voronoi meshing or MPFA-type schemes become necessary.</w:t>
      </w:r>
    </w:p>
    <w:p w14:paraId="0FB165DD">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Stress-dependent fracture conductivity. The model assumes constant fracture conductivity. In practice, hydraulic-fracture conductivity declines with pressure depletion due to proppant embedment, crushing, and fracture closure. The black-oil assumption (R_v = 0) is self-consistent: a dimensionless pressure-depletion number (N_pd of approximately 0.73, below 1.0) confirms the reservoir remains above bubble point. For deeper depletion, a compositional formulation would be required.</w:t>
      </w:r>
    </w:p>
    <w:p w14:paraId="3ECE7E0E">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Geomechanical coupling. Porosity and permeability are treated as functions of fluid pressure only (Eq. 4), neglecting the full poroelastic coupling between fluid flow and rock deformation. For shale reservoirs, where the Biot coefficient is typically in the range 0.7–0.95, this coupling can be significant. The PEBI framework is compatible with a fixed-stress iterative coupling scheme, which would add a geomechanics solve step to each timestep without modifying the flow Jacobian structure.</w:t>
      </w:r>
    </w:p>
    <w:p w14:paraId="1B3A44A4">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Single reservoir configuration. The base numerical experiments are predominantly drawn from a five-well pad configuration. A complementary single-well depletion case (Section 3.8) confirms that the key performance characteristics (K-orthogonality fraction, solver convergence, and parallel efficiency) are robust to well configuration and matrix permeability. Nevertheless, broader validation across additional reservoir geometries (e.g., multi-pad, varying fracture geometries, gas-condensate fluids) and operational scenarios would further strengthen the generalizability of the conclusions.</w:t>
      </w:r>
    </w:p>
    <w:p w14:paraId="577086F0">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MPFA comparison. While the present study benchmarks PEBI+TPFA against Cartesian LGR and EDFM, multi-point flux approximation methods (MPFA-O, MPFA-H, AvgMPFA) offer an alternative path to flux consistency on non-orthogonal meshes using enlarged stencils of 7-27 points in 2D. A head-to-head PEBI+TPFA vs. MPFA evaluation would illuminate the trade-off between one-time mesh-generation cost (1,247 s one-time) and stencil complexity. Additional limitations include CPU-only implementation, though AMG operations are natural GPU-offload candidates (Anzt et al., 2022).</w:t>
      </w:r>
    </w:p>
    <w:p w14:paraId="5D679455">
      <w:pPr>
        <w:pStyle w:val="2"/>
        <w:spacing w:before="120" w:after="60" w:line="360" w:lineRule="auto"/>
        <w:jc w:val="left"/>
        <w:rPr>
          <w:rFonts w:ascii="Times New Roman" w:hAnsi="Times New Roman" w:cs="Times New Roman"/>
          <w:color w:val="auto"/>
          <w:sz w:val="28"/>
          <w:szCs w:val="28"/>
        </w:rPr>
      </w:pPr>
      <w:bookmarkStart w:id="24" w:name="conclusions"/>
      <w:r>
        <w:rPr>
          <w:rFonts w:ascii="Times New Roman" w:hAnsi="Times New Roman" w:cs="Times New Roman"/>
          <w:b/>
          <w:bCs/>
          <w:color w:val="auto"/>
          <w:sz w:val="28"/>
          <w:szCs w:val="28"/>
        </w:rPr>
        <w:t>5 Conclusions</w:t>
      </w:r>
      <w:bookmarkEnd w:id="24"/>
    </w:p>
    <w:p w14:paraId="47777C0F">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This paper presented a fracture-conforming 2.5D PEBI black-oil simulation framework. Its defining contribution is the demonstration that mesh generation, pressure-system preconditioning, and parallel communication protocols can be treated as a single integrated design problem. The principal findings are as follows.</w:t>
      </w:r>
    </w:p>
    <w:p w14:paraId="450A4A55">
      <w:pPr>
        <w:pStyle w:val="3"/>
        <w:numPr>
          <w:ilvl w:val="0"/>
          <w:numId w:val="3"/>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The density-constrained PEBI generator preserves K-orthogonality (theta &lt;= 5 deg) on 97.1% of faces in the baseline configuration (median theta = 1.2 deg) and on 95.1 +/- 0.8% in the DFN configuration (1,247 natural fractures, n = 25 Monte Carlo). Lloyd smoothing improves K-orthogonality monotonically from 96.4% post-CDT to 97.1% after 50 iterations. Near-fracture pressure errors reach 0.31% on the Ei-function benchmark, representing improvements of 53.0-83.4% over EDFM, Cartesian LGR, and uniform Cartesian discretizations. A systematic grid refinement study confirms first-order convergence (q = 0.94 +/- 0.08, R^2 = 0.991).</w:t>
      </w:r>
    </w:p>
    <w:p w14:paraId="1B8DBECB">
      <w:pPr>
        <w:pStyle w:val="3"/>
        <w:numPr>
          <w:ilvl w:val="0"/>
          <w:numId w:val="3"/>
        </w:numPr>
        <w:tabs>
          <w:tab w:val="left" w:pos="0"/>
        </w:tabs>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 xml:space="preserve">The CPR–SA-AMG preconditioner reduces GMRES iterations from 312 to 21, yielding a 72.7% reduction in linear-solve time; the spectral conditioning proxy </w:t>
      </w:r>
      <m:oMath>
        <m:r>
          <m:rPr/>
          <m:t>κ̂(A)</m:t>
        </m:r>
      </m:oMath>
      <w:r>
        <w:rPr>
          <w:rFonts w:ascii="Times New Roman" w:hAnsi="Times New Roman"/>
          <w:sz w:val="24"/>
        </w:rPr>
        <w:t xml:space="preserve"> is approximately 3.7 × 10⁶ for the base PEBI case, compared with approximately 6.9 × 10⁷ for the standard unstructured DFN configuration (a 2.87× increase under DFN insertion, vs. 18.6× for standard unstructured grids).</w:t>
      </w:r>
    </w:p>
    <w:p w14:paraId="770A428A">
      <w:pPr>
        <w:pStyle w:val="3"/>
        <w:spacing w:before="0" w:after="0" w:line="360" w:lineRule="auto"/>
        <w:ind w:firstLine="480" w:firstLineChars="200"/>
        <w:jc w:val="both"/>
        <w:rPr>
          <w:rFonts w:ascii="Times New Roman" w:hAnsi="Times New Roman" w:cs="Times New Roman"/>
          <w:color w:val="auto"/>
          <w:sz w:val="24"/>
          <w:szCs w:val="24"/>
        </w:rPr>
      </w:pPr>
      <w:r>
        <w:rPr>
          <w:rFonts w:ascii="Times New Roman" w:hAnsi="Times New Roman" w:cs="Times New Roman"/>
          <w:color w:val="auto"/>
          <w:sz w:val="24"/>
          <w:szCs w:val="24"/>
        </w:rPr>
        <w:t>Collectively, these results establish that, within the scope of 2.5D extrusion for reservoirs dominated by vertical or near-vertical fractures, fracture-conforming discretization restructures the algebraic properties of the fully implicit system. The effect propagates systematically from geometric fidelity through solver convergence to parallel performance. The Geometry-Algebra-Concurrency Triad (Section 4.1) describes an empirically observed systematic dependency: K-orthogonal mesh geometry is associated with improved Jacobian diagonal dominance, which accelerates AMG convergence, which in turn widens the temporal window for effective computation-communication overlap.</w:t>
      </w:r>
    </w:p>
    <w:p w14:paraId="5528BC02">
      <w:pPr>
        <w:spacing w:before="0" w:after="0" w:line="360" w:lineRule="auto"/>
        <w:jc w:val="both"/>
        <w:rPr>
          <w:rFonts w:ascii="Times New Roman" w:hAnsi="Times New Roman" w:cs="Times New Roman"/>
          <w:color w:val="auto"/>
          <w:sz w:val="24"/>
          <w:szCs w:val="24"/>
        </w:rPr>
      </w:pPr>
      <w:bookmarkStart w:id="25" w:name="declaration-of-competing-interest"/>
      <w:r>
        <w:rPr>
          <w:rFonts w:ascii="Times New Roman" w:hAnsi="Times New Roman" w:cs="Times New Roman"/>
          <w:b/>
          <w:bCs/>
          <w:color w:val="auto"/>
          <w:sz w:val="24"/>
          <w:szCs w:val="24"/>
        </w:rPr>
        <w:t>Declaration of Competing Interest</w:t>
      </w:r>
      <w:bookmarkEnd w:id="25"/>
    </w:p>
    <w:p w14:paraId="6F7E0E13">
      <w:pPr>
        <w:pStyle w:val="3"/>
        <w:spacing w:line="360" w:lineRule="auto"/>
        <w:ind w:firstLine="400" w:firstLineChars="200"/>
        <w:jc w:val="both"/>
        <w:rPr>
          <w:rFonts w:ascii="Times New Roman" w:hAnsi="Times New Roman" w:cs="Times New Roman"/>
          <w:color w:val="auto"/>
          <w:sz w:val="24"/>
          <w:szCs w:val="24"/>
        </w:rPr>
      </w:pPr>
      <w:r>
        <w:rPr>
          <w:rFonts w:ascii="Times New Roman" w:hAnsi="Times New Roman" w:cs="Times New Roman"/>
          <w:color w:val="auto"/>
          <w:sz w:val="20"/>
          <w:szCs w:val="24"/>
        </w:rPr>
        <w:t>The authors declare that they have no known competing financial interests or personal relationships that could have appeared to influence the work reported in this paper.</w:t>
      </w:r>
    </w:p>
    <w:p w14:paraId="7F1F81D2">
      <w:pPr>
        <w:pStyle w:val="3"/>
        <w:spacing w:before="120" w:after="60" w:line="360" w:lineRule="auto"/>
        <w:ind w:firstLine="480"/>
        <w:jc w:val="both"/>
        <w:rPr>
          <w:rFonts w:ascii="Times New Roman" w:hAnsi="Times New Roman" w:cs="Times New Roman"/>
          <w:color w:val="auto"/>
          <w:sz w:val="24"/>
          <w:szCs w:val="24"/>
        </w:rPr>
      </w:pPr>
      <w:bookmarkStart w:id="26" w:name="authorship-statement"/>
      <w:r>
        <w:rPr>
          <w:rFonts w:ascii="Times New Roman" w:hAnsi="Times New Roman" w:cs="Times New Roman"/>
          <w:b/>
          <w:color w:val="auto"/>
          <w:sz w:val="24"/>
          <w:szCs w:val="24"/>
        </w:rPr>
        <w:t>Authorship Statement</w:t>
      </w:r>
      <w:bookmarkEnd w:id="26"/>
    </w:p>
    <w:p w14:paraId="471D9BA3">
      <w:pPr>
        <w:pStyle w:val="3"/>
        <w:spacing w:line="360" w:lineRule="auto"/>
        <w:ind w:firstLine="400" w:firstLineChars="200"/>
        <w:jc w:val="both"/>
        <w:rPr>
          <w:rFonts w:ascii="Times New Roman" w:hAnsi="Times New Roman" w:cs="Times New Roman"/>
          <w:color w:val="auto"/>
          <w:sz w:val="20"/>
          <w:szCs w:val="24"/>
        </w:rPr>
      </w:pPr>
      <w:r>
        <w:rPr>
          <w:rFonts w:ascii="Times New Roman" w:hAnsi="Times New Roman" w:cs="Times New Roman"/>
          <w:color w:val="auto"/>
          <w:sz w:val="20"/>
          <w:szCs w:val="24"/>
        </w:rPr>
        <w:t>Rongwang Yin performed code development, simulations, data analysis, and manuscript drafting. Shaowei Zhang contributed to study design, supervision, interpretation of results, and manuscript revision. Both authors approved the final manuscript.</w:t>
      </w:r>
    </w:p>
    <w:p w14:paraId="587BEF93">
      <w:pPr>
        <w:pStyle w:val="3"/>
        <w:spacing w:before="120" w:after="60" w:line="360" w:lineRule="auto"/>
        <w:ind w:firstLine="480"/>
        <w:jc w:val="both"/>
        <w:rPr>
          <w:rFonts w:ascii="Times New Roman" w:hAnsi="Times New Roman" w:cs="Times New Roman"/>
          <w:color w:val="auto"/>
          <w:sz w:val="24"/>
          <w:szCs w:val="24"/>
        </w:rPr>
      </w:pPr>
      <w:bookmarkStart w:id="27" w:name="computer-code-availability"/>
      <w:r>
        <w:rPr>
          <w:rFonts w:ascii="Times New Roman" w:hAnsi="Times New Roman" w:cs="Times New Roman"/>
          <w:b/>
          <w:color w:val="auto"/>
          <w:sz w:val="24"/>
          <w:szCs w:val="24"/>
        </w:rPr>
        <w:t>Computer Code Availability</w:t>
      </w:r>
      <w:bookmarkEnd w:id="27"/>
    </w:p>
    <w:p w14:paraId="6CB396E6">
      <w:pPr>
        <w:pStyle w:val="3"/>
        <w:spacing w:line="360" w:lineRule="auto"/>
        <w:ind w:firstLine="400" w:firstLineChars="200"/>
        <w:jc w:val="both"/>
        <w:rPr>
          <w:rFonts w:ascii="Times New Roman" w:hAnsi="Times New Roman" w:cs="Times New Roman"/>
          <w:color w:val="auto"/>
          <w:sz w:val="20"/>
          <w:szCs w:val="24"/>
        </w:rPr>
      </w:pPr>
      <w:r>
        <w:rPr>
          <w:rFonts w:ascii="Times New Roman" w:hAnsi="Times New Roman" w:cs="Times New Roman"/>
          <w:color w:val="auto"/>
          <w:sz w:val="20"/>
          <w:szCs w:val="24"/>
        </w:rPr>
        <w:t>The numerical framework described in this paper incorporates the open-source PETSc library (version 3.19, https://petsc.org/), ParMETIS (version 4.0.3), and SLEPc (version 3.19). Custom code components—including the PEBI mesh generator, CPR–SA-AMG preconditioner wrapper, and non-blocking MPI communication scheduler—are available in a public GitHub repository (</w:t>
      </w:r>
      <w:r>
        <w:rPr>
          <w:rFonts w:hint="eastAsia" w:ascii="Times New Roman" w:hAnsi="Times New Roman" w:cs="Times New Roman"/>
          <w:color w:val="auto"/>
          <w:sz w:val="20"/>
          <w:szCs w:val="24"/>
        </w:rPr>
        <w:t xml:space="preserve"> https://github.com/rwyin08-bit/paper</w:t>
      </w:r>
      <w:r>
        <w:rPr>
          <w:rFonts w:ascii="Times New Roman" w:hAnsi="Times New Roman" w:cs="Times New Roman"/>
          <w:color w:val="auto"/>
          <w:sz w:val="20"/>
          <w:szCs w:val="24"/>
        </w:rPr>
        <w:t>), archived on Zenodo with DOI [to be assigned upon acceptance]. The repository includes: (i) the complete PEBI mesh generation pipeline with the tanh density function implementation, (ii) configuration files and parameter scripts to reproduce all numerical experiments reported in Sections 3.1–3.8, (iii) the SPE 10 comparative solution input files and the re-computed Cartesian reference solution, and (iv) a Docker container definition for reproducible execution on any x86-64 Linux platform. The SPE 10 comparative solution dataset is publicly available from the Society of Petroleum Engineers (https://www.spe.org/web/csp/datasets/set02.htm).</w:t>
      </w:r>
    </w:p>
    <w:p w14:paraId="41E33DC9">
      <w:pPr>
        <w:spacing w:before="120" w:after="60" w:line="360" w:lineRule="auto"/>
        <w:jc w:val="both"/>
        <w:rPr>
          <w:rFonts w:ascii="Times New Roman" w:hAnsi="Times New Roman" w:cs="Times New Roman"/>
          <w:color w:val="auto"/>
          <w:sz w:val="24"/>
          <w:szCs w:val="24"/>
        </w:rPr>
      </w:pPr>
      <w:bookmarkStart w:id="28" w:name="data-availability"/>
      <w:r>
        <w:rPr>
          <w:rFonts w:ascii="Times New Roman" w:hAnsi="Times New Roman" w:cs="Times New Roman"/>
          <w:b/>
          <w:bCs/>
          <w:color w:val="auto"/>
          <w:sz w:val="24"/>
          <w:szCs w:val="24"/>
        </w:rPr>
        <w:t>Data Availability</w:t>
      </w:r>
      <w:bookmarkEnd w:id="28"/>
    </w:p>
    <w:p w14:paraId="38445B68">
      <w:pPr>
        <w:pStyle w:val="3"/>
        <w:spacing w:line="360" w:lineRule="auto"/>
        <w:ind w:firstLine="400" w:firstLineChars="200"/>
        <w:jc w:val="both"/>
        <w:rPr>
          <w:rFonts w:ascii="Times New Roman" w:hAnsi="Times New Roman" w:cs="Times New Roman"/>
          <w:color w:val="auto"/>
          <w:sz w:val="24"/>
          <w:szCs w:val="24"/>
        </w:rPr>
      </w:pPr>
      <w:r>
        <w:rPr>
          <w:rFonts w:ascii="Times New Roman" w:hAnsi="Times New Roman" w:cs="Times New Roman"/>
          <w:color w:val="auto"/>
          <w:sz w:val="20"/>
          <w:szCs w:val="24"/>
        </w:rPr>
        <w:t>The datasets generated and analyzed during the current study are available from the corresponding author on reasonable request.</w:t>
      </w:r>
    </w:p>
    <w:p w14:paraId="0977A01B">
      <w:pPr>
        <w:pStyle w:val="3"/>
        <w:spacing w:before="120" w:after="60" w:line="360" w:lineRule="auto"/>
        <w:ind w:firstLine="480"/>
        <w:jc w:val="both"/>
        <w:rPr>
          <w:rFonts w:ascii="Times New Roman" w:hAnsi="Times New Roman" w:cs="Times New Roman"/>
          <w:color w:val="auto"/>
          <w:sz w:val="24"/>
          <w:szCs w:val="24"/>
        </w:rPr>
      </w:pPr>
      <w:bookmarkStart w:id="29" w:name="use-of-ai-assisted-tools"/>
      <w:bookmarkStart w:id="32" w:name="_GoBack"/>
      <w:bookmarkEnd w:id="32"/>
      <w:r>
        <w:rPr>
          <w:rFonts w:ascii="Times New Roman" w:hAnsi="Times New Roman" w:cs="Times New Roman"/>
          <w:b/>
          <w:color w:val="auto"/>
          <w:sz w:val="24"/>
          <w:szCs w:val="24"/>
        </w:rPr>
        <w:t>Use of AI-Assisted Tools</w:t>
      </w:r>
      <w:bookmarkEnd w:id="29"/>
    </w:p>
    <w:p w14:paraId="4B22DEC2">
      <w:pPr>
        <w:pStyle w:val="3"/>
        <w:spacing w:line="360" w:lineRule="auto"/>
        <w:ind w:firstLine="400" w:firstLineChars="200"/>
        <w:jc w:val="both"/>
        <w:rPr>
          <w:rFonts w:ascii="Times New Roman" w:hAnsi="Times New Roman" w:cs="Times New Roman"/>
          <w:color w:val="auto"/>
          <w:sz w:val="24"/>
          <w:szCs w:val="24"/>
        </w:rPr>
      </w:pPr>
      <w:r>
        <w:rPr>
          <w:rFonts w:ascii="Times New Roman" w:hAnsi="Times New Roman" w:cs="Times New Roman"/>
          <w:color w:val="auto"/>
          <w:sz w:val="20"/>
          <w:szCs w:val="24"/>
        </w:rPr>
        <w:t>During the preparation of this manuscript, the authors used</w:t>
      </w:r>
      <w:r>
        <w:rPr>
          <w:rFonts w:hint="eastAsia" w:ascii="Times New Roman" w:hAnsi="Times New Roman" w:eastAsia="宋体" w:cs="Times New Roman"/>
          <w:color w:val="auto"/>
          <w:sz w:val="20"/>
          <w:szCs w:val="24"/>
          <w:lang w:val="en-US" w:eastAsia="zh-CN"/>
        </w:rPr>
        <w:t xml:space="preserve"> DeepL</w:t>
      </w:r>
      <w:r>
        <w:rPr>
          <w:rFonts w:ascii="Times New Roman" w:hAnsi="Times New Roman" w:cs="Times New Roman"/>
          <w:color w:val="auto"/>
          <w:sz w:val="20"/>
          <w:szCs w:val="24"/>
        </w:rPr>
        <w:t xml:space="preserve"> for language editing and formatting assistance. All scientific content, data analysis, numerical results, and conclusions are the original work of the authors. The authors take full responsibility for the integrity and accuracy of the manuscript.</w:t>
      </w:r>
    </w:p>
    <w:p w14:paraId="09279937">
      <w:pPr>
        <w:pStyle w:val="2"/>
        <w:spacing w:before="120" w:after="60" w:line="360" w:lineRule="auto"/>
        <w:ind w:firstLine="0"/>
        <w:jc w:val="left"/>
        <w:rPr>
          <w:rFonts w:ascii="Times New Roman" w:hAnsi="Times New Roman" w:cs="Times New Roman"/>
          <w:color w:val="auto"/>
          <w:sz w:val="28"/>
          <w:szCs w:val="28"/>
        </w:rPr>
      </w:pPr>
      <w:bookmarkStart w:id="30" w:name="acknowledgments"/>
      <w:r>
        <w:rPr>
          <w:rFonts w:ascii="Times New Roman" w:hAnsi="Times New Roman" w:cs="Times New Roman"/>
          <w:b/>
          <w:bCs/>
          <w:color w:val="auto"/>
          <w:sz w:val="28"/>
          <w:szCs w:val="28"/>
        </w:rPr>
        <w:t>Acknowledgments</w:t>
      </w:r>
      <w:bookmarkEnd w:id="30"/>
    </w:p>
    <w:p w14:paraId="062A5599">
      <w:pPr>
        <w:pStyle w:val="3"/>
        <w:spacing w:line="360" w:lineRule="auto"/>
        <w:ind w:firstLine="480"/>
        <w:jc w:val="both"/>
        <w:rPr>
          <w:rFonts w:ascii="Times New Roman" w:hAnsi="Times New Roman" w:cs="Times New Roman"/>
          <w:color w:val="auto"/>
          <w:sz w:val="24"/>
          <w:szCs w:val="24"/>
        </w:rPr>
      </w:pPr>
      <w:r>
        <w:rPr>
          <w:rFonts w:hint="eastAsia" w:ascii="Times New Roman" w:hAnsi="Times New Roman" w:eastAsia="Times New Roman" w:cs="Times New Roman"/>
          <w:color w:val="auto"/>
          <w:sz w:val="20"/>
          <w:szCs w:val="24"/>
        </w:rPr>
        <w:t>This work was supported in part by University Natural Sciences Research Project of Anhui Province (Project Number: 2022AH051797), Natural Science Foundation of Anhui Province (No: 2022AH052810) and Natural Science Foundation of Anhui Province (Project No: 2023AH052821).</w:t>
      </w:r>
    </w:p>
    <w:p w14:paraId="7EC5C96D">
      <w:r>
        <w:rPr>
          <w:rFonts w:ascii="Times New Roman"/>
          <w:b/>
          <w:sz w:val="28"/>
        </w:rPr>
        <w:t>References</w:t>
      </w:r>
    </w:p>
    <w:p w14:paraId="0081253F">
      <w:pPr>
        <w:pStyle w:val="3"/>
        <w:ind w:left="567" w:hanging="567"/>
      </w:pPr>
      <w:r>
        <w:rPr>
          <w:rFonts w:ascii="Times New Roman" w:hAnsi="Times New Roman"/>
          <w:sz w:val="24"/>
        </w:rPr>
        <w:t>Aavatsmark, I., Barkve, T., Bøe, Ø., Mannseth, T., 1998a. Discretization on unstructured grids for inhomogeneous, anisotropic media. Part I: Derivation of the methods. SIAM Journal on Scientific Computing 19 (5), 1700–1716. https://doi.org/10.1137/S1064827595293582</w:t>
      </w:r>
    </w:p>
    <w:p w14:paraId="130654DC">
      <w:pPr>
        <w:pStyle w:val="3"/>
        <w:ind w:left="567" w:hanging="567"/>
      </w:pPr>
      <w:r>
        <w:rPr>
          <w:rFonts w:ascii="Times New Roman" w:hAnsi="Times New Roman"/>
          <w:sz w:val="24"/>
        </w:rPr>
        <w:t>Aavatsmark, I., Barkve, T., Bøe, Ø., Mannseth, T., 1998b. Discretization on unstructured grids for inhomogeneous, anisotropic media. Part II: Discussion and numerical results. SIAM Journal on Scientific Computing 19 (5), 1717–1736. https://doi.org/10.1137/S1064827595293594</w:t>
      </w:r>
    </w:p>
    <w:p w14:paraId="00BB8B80">
      <w:pPr>
        <w:pStyle w:val="3"/>
        <w:ind w:left="567" w:hanging="567"/>
      </w:pPr>
      <w:r>
        <w:rPr>
          <w:rFonts w:ascii="Times New Roman" w:hAnsi="Times New Roman"/>
          <w:sz w:val="24"/>
        </w:rPr>
        <w:t>Amdahl, G.M., 1967. Validity of the single processor approach to achieving large scale computing capabilities. In: AFIPS Spring Joint Computer Conference, Atlantic City, pp. 483–485. https://doi.org/10.1145/1465482.1465560</w:t>
      </w:r>
    </w:p>
    <w:p w14:paraId="235DD519">
      <w:pPr>
        <w:pStyle w:val="3"/>
        <w:ind w:left="567" w:hanging="567"/>
      </w:pPr>
      <w:r>
        <w:rPr>
          <w:rFonts w:ascii="Times New Roman" w:hAnsi="Times New Roman"/>
          <w:sz w:val="24"/>
        </w:rPr>
        <w:t>An, C., Wang, Y., Killough, J., 2024. Coupled flow-geomechanics modeling of fractured shale reservoirs using EDFM. SPE Journal 29 (3), 1423–1442. https://doi.org/10.2118/209472-PA</w:t>
      </w:r>
    </w:p>
    <w:p w14:paraId="1D1115AA">
      <w:pPr>
        <w:pStyle w:val="3"/>
        <w:ind w:left="567" w:hanging="567"/>
      </w:pPr>
      <w:r>
        <w:rPr>
          <w:rFonts w:ascii="Times New Roman" w:hAnsi="Times New Roman"/>
          <w:sz w:val="24"/>
        </w:rPr>
        <w:t>Anzt, H., Cojean, T., Flegar, G., Göbel, F., Grützmacher, T., Nayak, P., Ribizel, T., Tsai, Y.M., Quintana-Ortí, E.S., 2022. Ginkgo: A modern linear operator algebra framework for high performance computing. ACM Transactions on Mathematical Software 48 (1), 1–33. https://doi.org/10.1145/3480935</w:t>
      </w:r>
    </w:p>
    <w:p w14:paraId="7A0CDE80">
      <w:pPr>
        <w:pStyle w:val="3"/>
        <w:ind w:left="567" w:hanging="567"/>
      </w:pPr>
      <w:r>
        <w:rPr>
          <w:rFonts w:ascii="Times New Roman" w:hAnsi="Times New Roman"/>
          <w:sz w:val="24"/>
        </w:rPr>
        <w:t>Behie, G.A., Forsyth Jr., P.A., 1984. Incomplete factorization methods for fully implicit simulation of enhanced oil recovery. SIAM Journal on Scientific and Statistical Computing 5 (3), 543–561. https://doi.org/10.1137/0905040</w:t>
      </w:r>
    </w:p>
    <w:p w14:paraId="2B2C9F42">
      <w:pPr>
        <w:pStyle w:val="3"/>
        <w:ind w:left="567" w:hanging="567"/>
      </w:pPr>
      <w:r>
        <w:rPr>
          <w:rFonts w:ascii="Times New Roman" w:hAnsi="Times New Roman"/>
          <w:sz w:val="24"/>
        </w:rPr>
        <w:t>Bourdet, D., Ayoub, J.A., Pirard, Y.M., 1989. Use of pressure derivative in well-test interpretation. SPE Formation Evaluation 4 (2), 293–302. https://doi.org/10.2118/12777-PA</w:t>
      </w:r>
    </w:p>
    <w:p w14:paraId="2576ECB6">
      <w:pPr>
        <w:pStyle w:val="3"/>
        <w:ind w:left="567" w:hanging="567"/>
      </w:pPr>
      <w:r>
        <w:rPr>
          <w:rFonts w:ascii="Times New Roman" w:hAnsi="Times New Roman"/>
          <w:sz w:val="24"/>
        </w:rPr>
        <w:t>Cao, H., Tchelepi, H.A., Wallis, J.R., Yardumian, H.E., 2005. Parallel scalable unstructured CPR-type linear solver for reservoir simulation. In: Proceedings of the SPE Reservoir Simulation Symposium, Houston, SPE-93253-MS. https://doi.org/10.2118/93253-MS</w:t>
      </w:r>
    </w:p>
    <w:p w14:paraId="054CDFC3">
      <w:pPr>
        <w:pStyle w:val="3"/>
        <w:ind w:left="567" w:hanging="567"/>
      </w:pPr>
      <w:r>
        <w:rPr>
          <w:rFonts w:ascii="Times New Roman" w:hAnsi="Times New Roman"/>
          <w:sz w:val="24"/>
        </w:rPr>
        <w:t>Cavalcante, T.S., Hajibeygi, H., Voskov, D., 2024. Simulation of two-phase flow in 3D fractured reservoirs using a projection-based Embedded Discrete Fracture Model on Unstructured tetrahedral grids (pEDFM-U). Advances in Water Resources 185, 104682. https://doi.org/10.1016/j.advwatres.2024.104682</w:t>
      </w:r>
    </w:p>
    <w:p w14:paraId="682FA6E5">
      <w:pPr>
        <w:pStyle w:val="3"/>
        <w:ind w:left="567" w:hanging="567"/>
      </w:pPr>
      <w:r>
        <w:rPr>
          <w:rFonts w:ascii="Times New Roman" w:hAnsi="Times New Roman"/>
          <w:sz w:val="24"/>
        </w:rPr>
        <w:t>Cheng, T., Yang, H., Huang, Z., Zhang, M., 2023. Parallel-in-time fully implicit reservoir simulation using Parareal with adaptive coarse-grid. Journal of Computational Physics 491, 112354. https://doi.org/10.1016/j.jcp.2023.112354</w:t>
      </w:r>
    </w:p>
    <w:p w14:paraId="06044110">
      <w:pPr>
        <w:pStyle w:val="3"/>
        <w:ind w:left="567" w:hanging="567"/>
      </w:pPr>
      <w:r>
        <w:rPr>
          <w:rFonts w:ascii="Times New Roman" w:hAnsi="Times New Roman"/>
          <w:sz w:val="24"/>
        </w:rPr>
        <w:t>Christie, M.A., Blunt, M.J., 2001. Tenth SPE comparative solution project: a comparison of upscaling techniques. SPE Reservoir Evaluation &amp; Engineering 4 (4), 308–317. https://doi.org/10.2118/72469-PA</w:t>
      </w:r>
    </w:p>
    <w:p w14:paraId="143620D3">
      <w:pPr>
        <w:pStyle w:val="3"/>
        <w:ind w:left="567" w:hanging="567"/>
      </w:pPr>
      <w:r>
        <w:rPr>
          <w:rFonts w:ascii="Times New Roman" w:hAnsi="Times New Roman"/>
          <w:sz w:val="24"/>
        </w:rPr>
        <w:t>Cremon, M.A., Franc, J., Hamon, F.P., 2024. Constrained pressure-temperature residual (CPTR) preconditioner performance for large-scale thermal CO₂ injection simulation. Computational Geosciences 28, 1291–1309. https://doi.org/10.1007/s10596-024-10292-z</w:t>
      </w:r>
    </w:p>
    <w:p w14:paraId="3F5748BF">
      <w:pPr>
        <w:pStyle w:val="3"/>
        <w:ind w:firstLine="482"/>
      </w:pPr>
      <w:r>
        <w:rPr>
          <w:rFonts w:ascii="Times New Roman" w:hAnsi="Times New Roman"/>
          <w:sz w:val="24"/>
        </w:rPr>
        <w:t>da Silva, L.F., Contreras, F.R.L., Albuquerque, P.V.P., Lyra, P.R.M., Carvalho, D.K.E., 2024. A modified flux corrected transport method coupled with the MPFA-H formulation for the numerical simulation of two-phase flows in petroleum reservoirs using 2D unstructured meshes. Computational Geosciences 28, 1333–1352. https://doi.org/10.1007/s10596-024-10306-w</w:t>
      </w:r>
    </w:p>
    <w:p w14:paraId="74EA9AA0">
      <w:pPr>
        <w:pStyle w:val="3"/>
        <w:ind w:left="567" w:hanging="567"/>
      </w:pPr>
      <w:r>
        <w:rPr>
          <w:rFonts w:ascii="Times New Roman" w:hAnsi="Times New Roman"/>
          <w:sz w:val="24"/>
        </w:rPr>
        <w:t>Diab, M., Al Kobaisi, M., 2025. Graph neural network-based surrogate model for fractured reservoir simulation. SPE Journal 30 (1), 185–203. https://doi.org/10.2118/218398-PA</w:t>
      </w:r>
    </w:p>
    <w:p w14:paraId="09437AC1">
      <w:pPr>
        <w:pStyle w:val="3"/>
        <w:ind w:left="567" w:hanging="567"/>
      </w:pPr>
      <w:r>
        <w:rPr>
          <w:rFonts w:ascii="Times New Roman" w:hAnsi="Times New Roman"/>
          <w:sz w:val="24"/>
        </w:rPr>
        <w:t>Dong, R., Alpak, F.O., Wheeler, M.F., 2023. Accurate two-phase flow simulation in faulted reservoirs by combining two-point flux approximation and mimetic finite difference methods. SPE Journal 28 (1), 111–129. https://doi.org/10.2118/206298-PA</w:t>
      </w:r>
    </w:p>
    <w:p w14:paraId="2A0E0464">
      <w:pPr>
        <w:pStyle w:val="3"/>
        <w:ind w:left="567" w:hanging="567"/>
      </w:pPr>
      <w:r>
        <w:rPr>
          <w:rFonts w:ascii="Times New Roman" w:hAnsi="Times New Roman"/>
          <w:sz w:val="24"/>
        </w:rPr>
        <w:t>Economides, M.J., Nolte, K.G., 2000. Reservoir Stimulation, 3rd ed. John Wiley &amp; Sons, Chichester.</w:t>
      </w:r>
    </w:p>
    <w:p w14:paraId="22D64091">
      <w:pPr>
        <w:pStyle w:val="3"/>
        <w:ind w:left="567" w:hanging="567"/>
      </w:pPr>
      <w:r>
        <w:rPr>
          <w:rFonts w:ascii="Times New Roman" w:hAnsi="Times New Roman"/>
          <w:sz w:val="24"/>
        </w:rPr>
        <w:t>Falgout, R.D., Jones, J.E., Yang, U.M., 2006. The design and implementation of hypre, a library of parallel high performance preconditioners. In: Numerical Solution of Partial Differential Equations on Parallel Computers, Lecture Notes in Computational Science and Engineering, vol. 51, pp. 267-294. Springer, Berlin. https://doi.org/10.1007/3-540-31619-1_8</w:t>
      </w:r>
    </w:p>
    <w:p w14:paraId="6162EC71">
      <w:pPr>
        <w:pStyle w:val="3"/>
        <w:ind w:left="567" w:hanging="567"/>
      </w:pPr>
      <w:r>
        <w:rPr>
          <w:rFonts w:ascii="Times New Roman" w:hAnsi="Times New Roman"/>
          <w:sz w:val="24"/>
        </w:rPr>
        <w:t>Gustafson, J.L., 1988. Reevaluating Amdahl’s Law. Communications of the ACM 31 (5), 532–533. https://doi.org/10.1145/42411.42415</w:t>
      </w:r>
    </w:p>
    <w:p w14:paraId="0EB8E298">
      <w:pPr>
        <w:pStyle w:val="3"/>
        <w:ind w:left="567" w:hanging="567"/>
      </w:pPr>
      <w:r>
        <w:rPr>
          <w:rFonts w:ascii="Times New Roman" w:hAnsi="Times New Roman"/>
          <w:sz w:val="24"/>
        </w:rPr>
        <w:t>Heinemann, Z.E., Brand, C.W., Munka, M., Chen, Y.M., 1991. Modeling reservoir geometry with irregular grids. SPE Reservoir Engineering 6 (2), 225-232. https://doi.org/10.2118/18412-PA</w:t>
      </w:r>
    </w:p>
    <w:p w14:paraId="56F7780F">
      <w:pPr>
        <w:pStyle w:val="3"/>
        <w:ind w:left="567" w:hanging="567"/>
      </w:pPr>
      <w:r>
        <w:rPr>
          <w:rFonts w:ascii="Times New Roman" w:hAnsi="Times New Roman"/>
          <w:sz w:val="24"/>
        </w:rPr>
        <w:t>Henson, V.E., Yang, U.M., 2002. BoomerAMG: A parallel algebraic multigrid solver and preconditioner. Applied Numerical Mathematics 41 (1), 155–177. https://doi.org/10.1016/S0168-9274(01)00115-5</w:t>
      </w:r>
    </w:p>
    <w:p w14:paraId="2A11AB8C">
      <w:pPr>
        <w:pStyle w:val="3"/>
        <w:ind w:left="567" w:hanging="567"/>
      </w:pPr>
      <w:r>
        <w:rPr>
          <w:rFonts w:ascii="Times New Roman" w:hAnsi="Times New Roman"/>
          <w:sz w:val="24"/>
        </w:rPr>
        <w:t>Hoemmen, M., 2010. Communication-avoiding Krylov subspace methods. Ph.D. thesis, University of California, Berkeley.</w:t>
      </w:r>
    </w:p>
    <w:p w14:paraId="59C6AF14">
      <w:pPr>
        <w:pStyle w:val="3"/>
        <w:ind w:left="567" w:hanging="567"/>
      </w:pPr>
      <w:r>
        <w:rPr>
          <w:rFonts w:ascii="Times New Roman" w:hAnsi="Times New Roman"/>
          <w:sz w:val="24"/>
        </w:rPr>
        <w:t>Jiang, H., 2024. Graph neural network surrogates for EDFM-based fractured reservoir simulation. Computational Geosciences 28, 1543–1562. https://doi.org/10.1007/s10596-024-10311-6</w:t>
      </w:r>
    </w:p>
    <w:p w14:paraId="6B4FF686">
      <w:pPr>
        <w:pStyle w:val="3"/>
        <w:ind w:left="567" w:hanging="567"/>
      </w:pPr>
      <w:r>
        <w:rPr>
          <w:rFonts w:ascii="Times New Roman" w:hAnsi="Times New Roman"/>
          <w:sz w:val="24"/>
        </w:rPr>
        <w:t>Jiao, K., Han, D., Chen, J., Yu, B., 2024. The enriched-embedded discrete fracture model (nEDFM) for fluid flow in fractured porous media. Advances in Water Resources 184, 104618. https://doi.org/10.1016/j.advwatres.2024.104618</w:t>
      </w:r>
    </w:p>
    <w:p w14:paraId="61995018">
      <w:pPr>
        <w:pStyle w:val="3"/>
        <w:ind w:left="567" w:hanging="567"/>
      </w:pPr>
      <w:r>
        <w:rPr>
          <w:rFonts w:ascii="Times New Roman" w:hAnsi="Times New Roman"/>
          <w:sz w:val="24"/>
        </w:rPr>
        <w:t>Karimi-Fard, M., Durlofsky, L.J., Aziz, K., 2004. An efficient discrete-fracture model applicable for general-purpose reservoir simulators. SPE Journal 9 (2), 227–236. https://doi.org/10.2118/88812-PA</w:t>
      </w:r>
    </w:p>
    <w:p w14:paraId="3C10704F">
      <w:pPr>
        <w:pStyle w:val="3"/>
        <w:ind w:left="567" w:hanging="567"/>
      </w:pPr>
      <w:r>
        <w:rPr>
          <w:rFonts w:ascii="Times New Roman" w:hAnsi="Times New Roman"/>
          <w:sz w:val="24"/>
        </w:rPr>
        <w:t>Karypis, G., Kumar, V., 1998. A fast and high quality multilevel scheme for partitioning irregular graphs. SIAM Journal on Scientific Computing 20 (1), 359–392. https://doi.org/10.1137/S1064827595287997</w:t>
      </w:r>
    </w:p>
    <w:p w14:paraId="3438AA9B">
      <w:pPr>
        <w:pStyle w:val="3"/>
        <w:ind w:left="567" w:hanging="567"/>
      </w:pPr>
      <w:r>
        <w:rPr>
          <w:rFonts w:ascii="Times New Roman" w:hAnsi="Times New Roman"/>
          <w:sz w:val="24"/>
        </w:rPr>
        <w:t>Kazemi, H., Merrill Jr., L.S., Porterfield, K.L., Zeman, P.R., 1976. Numerical simulation of water-oil flow in naturally fractured reservoirs. SPE Journal 16 (6), 317–326. https://doi.org/10.2118/5719-PA</w:t>
      </w:r>
    </w:p>
    <w:p w14:paraId="5975234A">
      <w:pPr>
        <w:pStyle w:val="3"/>
        <w:ind w:left="567" w:hanging="567"/>
      </w:pPr>
      <w:r>
        <w:rPr>
          <w:rFonts w:ascii="Times New Roman" w:hAnsi="Times New Roman"/>
          <w:sz w:val="24"/>
        </w:rPr>
        <w:t>Li, X., Zhang, F., Huang, R., Wang, J., 2024. Coupled flow-geomechanics simulation of fractured shale gas wells with stress-dependent conductivity. Journal of Natural Gas Science and Engineering 122, 105203. https://doi.org/10.1016/j.jngse.2024.105203</w:t>
      </w:r>
    </w:p>
    <w:p w14:paraId="6D663CB6">
      <w:pPr>
        <w:pStyle w:val="3"/>
        <w:ind w:left="567" w:hanging="567"/>
      </w:pPr>
      <w:r>
        <w:rPr>
          <w:rFonts w:ascii="Times New Roman" w:hAnsi="Times New Roman"/>
          <w:sz w:val="24"/>
        </w:rPr>
        <w:t>Marin, L., Mishev, I.D., Wheeler, M.F., 2024. Anisotropic centroidal Voronoi tessellation for 3D polyhedral mesh generation in subsurface flow simulation. Computer Methods in Applied Mechanics and Engineering 419, 116643. https://doi.org/10.1016/j.cma.2023.116643</w:t>
      </w:r>
    </w:p>
    <w:p w14:paraId="1F8E6058">
      <w:pPr>
        <w:pStyle w:val="3"/>
        <w:ind w:left="567" w:hanging="567"/>
      </w:pPr>
      <w:r>
        <w:rPr>
          <w:rFonts w:ascii="Times New Roman" w:hAnsi="Times New Roman"/>
          <w:sz w:val="24"/>
        </w:rPr>
        <w:t>Mills, R.T., Adams, M.F., Balay, S., Brown, J., Faibussowitsch, J., Isaac, T., Knepley, M.G., Munson, T., Suh, H., Zampini, S., Zhang, H., Zhang, J., 2025. PETSc/TAO developments for GPU-based early exascale systems. International Journal of High Performance Computing Applications 39 (2), 306–325. https://doi.org/10.1177/10943420241303710</w:t>
      </w:r>
    </w:p>
    <w:p w14:paraId="4D36258C">
      <w:pPr>
        <w:pStyle w:val="3"/>
        <w:ind w:left="567" w:hanging="567"/>
      </w:pPr>
      <w:r>
        <w:rPr>
          <w:rFonts w:ascii="Times New Roman" w:hAnsi="Times New Roman"/>
          <w:sz w:val="24"/>
        </w:rPr>
        <w:t>Moinfar, A., Varavei, A., Sepehrnoori, K., Johns, R.T., 2014. Development of an efficient embedded discrete fracture model for 3D compositional reservoir simulation in fractured reservoirs. SPE Journal 19 (2), 289–303. https://doi.org/10.2118/154246-PA</w:t>
      </w:r>
    </w:p>
    <w:p w14:paraId="2D0B3D27">
      <w:pPr>
        <w:pStyle w:val="3"/>
        <w:ind w:left="567" w:hanging="567"/>
      </w:pPr>
      <w:r>
        <w:rPr>
          <w:rFonts w:ascii="Times New Roman" w:hAnsi="Times New Roman"/>
          <w:sz w:val="24"/>
        </w:rPr>
        <w:t>Nilsen, H.M., Ahmed, E., Rasmussen, A.F., Bao, K., Skille, T., 2023. Constrained pressure residual preconditioner including wells for reservoir simulation. In: Proceedings of the SPE Reservoir Simulation Conference, Galveston, Texas, SPE-212172-MS. https://doi.org/10.2118/212172-MS</w:t>
      </w:r>
    </w:p>
    <w:p w14:paraId="4CEA4431">
      <w:pPr>
        <w:pStyle w:val="3"/>
        <w:ind w:left="567" w:hanging="567"/>
      </w:pPr>
      <w:r>
        <w:rPr>
          <w:rFonts w:ascii="Times New Roman" w:hAnsi="Times New Roman"/>
          <w:sz w:val="24"/>
        </w:rPr>
        <w:t>Palagi, C.L., Aziz, K., 1994a. Use of Voronoi grid in reservoir simulation. SPE Reservoir Engineering 9 (2), 69–77. https://doi.org/10.2118/22889-PA</w:t>
      </w:r>
    </w:p>
    <w:p w14:paraId="73B2A0A7">
      <w:pPr>
        <w:pStyle w:val="3"/>
        <w:ind w:left="567" w:hanging="567"/>
      </w:pPr>
      <w:r>
        <w:rPr>
          <w:rFonts w:ascii="Times New Roman" w:hAnsi="Times New Roman"/>
          <w:sz w:val="24"/>
        </w:rPr>
        <w:t>Peaceman, D.W., 1983. Interpretation of well-block pressures in numerical reservoir simulation with nonsquare grid blocks and anisotropic permeability. SPE Journal 23 (3), 531–543. https://doi.org/10.2118/10528-PA</w:t>
      </w:r>
    </w:p>
    <w:p w14:paraId="03892E4C">
      <w:pPr>
        <w:pStyle w:val="3"/>
        <w:ind w:left="567" w:hanging="567"/>
      </w:pPr>
      <w:r>
        <w:rPr>
          <w:rFonts w:ascii="Times New Roman" w:hAnsi="Times New Roman"/>
          <w:sz w:val="24"/>
        </w:rPr>
        <w:t>Poli, R., Machado, A., Sepehrnoori, K., 2024. Advancements and perspectives in embedded discrete fracture models (EDFM). Energies 17 (14), 3511. https://doi.org/10.3390/en17143511</w:t>
      </w:r>
    </w:p>
    <w:p w14:paraId="676A492C">
      <w:pPr>
        <w:pStyle w:val="3"/>
        <w:ind w:left="567" w:hanging="567"/>
      </w:pPr>
      <w:r>
        <w:rPr>
          <w:rFonts w:ascii="Times New Roman" w:hAnsi="Times New Roman"/>
          <w:sz w:val="24"/>
        </w:rPr>
        <w:t>Rao, X., Guo, X., He, Y., Kwak, H., 2025. A first streamline-based simulation method within the projection-based embedded discrete fracture model (pEDFM). Computers and Geotechnics 185, 106074. https://doi.org/10.1016/j.compgeo.2025.106074</w:t>
      </w:r>
    </w:p>
    <w:p w14:paraId="1264A571">
      <w:pPr>
        <w:pStyle w:val="3"/>
        <w:ind w:left="567" w:hanging="567"/>
      </w:pPr>
      <w:r>
        <w:rPr>
          <w:rFonts w:ascii="Times New Roman" w:hAnsi="Times New Roman"/>
          <w:sz w:val="24"/>
        </w:rPr>
        <w:t>Rashid, H.U., Olorode, O., 2024. A continuous projection-based EDFM model for flow in fractured reservoirs. SPE Journal 29 (1), 476–492. https://doi.org/10.2118/214653-PA</w:t>
      </w:r>
    </w:p>
    <w:p w14:paraId="33EB6277">
      <w:pPr>
        <w:pStyle w:val="3"/>
        <w:ind w:left="567" w:hanging="567"/>
      </w:pPr>
      <w:r>
        <w:rPr>
          <w:rFonts w:ascii="Times New Roman" w:hAnsi="Times New Roman"/>
          <w:sz w:val="24"/>
        </w:rPr>
        <w:t>Ruppert, J., 1995. A Delaunay refinement algorithm for quality 2-dimensional mesh generation. Journal of Algorithms 18 (3), 548–585. https://doi.org/10.1006/jagm.1995.1021</w:t>
      </w:r>
    </w:p>
    <w:p w14:paraId="32F703E3">
      <w:pPr>
        <w:pStyle w:val="3"/>
        <w:ind w:left="567" w:hanging="567"/>
      </w:pPr>
      <w:r>
        <w:rPr>
          <w:rFonts w:ascii="Times New Roman" w:hAnsi="Times New Roman"/>
          <w:sz w:val="24"/>
        </w:rPr>
        <w:t>Saad, Y., 2003. Iterative Methods for Sparse Linear Systems, 2nd ed. Society for Industrial and Applied Mathematics, Philadelphia. https://doi.org/10.1137/1.9780898718003</w:t>
      </w:r>
    </w:p>
    <w:p w14:paraId="4345D1F0">
      <w:pPr>
        <w:pStyle w:val="3"/>
        <w:ind w:firstLine="482"/>
      </w:pPr>
      <w:r>
        <w:rPr>
          <w:rFonts w:ascii="Times New Roman" w:hAnsi="Times New Roman"/>
          <w:sz w:val="24"/>
        </w:rPr>
        <w:t>Schlumberger, 2023. ECLIPSE Technical Description 2023.1. Schlumberger, Houston.</w:t>
      </w:r>
    </w:p>
    <w:p w14:paraId="479BEA32">
      <w:pPr>
        <w:pStyle w:val="3"/>
        <w:ind w:left="567" w:hanging="567"/>
      </w:pPr>
      <w:r>
        <w:rPr>
          <w:rFonts w:ascii="Times New Roman" w:hAnsi="Times New Roman"/>
          <w:sz w:val="24"/>
        </w:rPr>
        <w:t>Shi, L., Yang, H., Ji, Z., Jiang, L., Yang, C., 2024. Field-split preconditioned active-set reduced-space algorithm for complex black oil reservoir simulation at large-scale. Journal of Computational Physics 517, 113319. https://doi.org/10.1016/j.jcp.2024.113319</w:t>
      </w:r>
    </w:p>
    <w:p w14:paraId="04527942">
      <w:pPr>
        <w:pStyle w:val="3"/>
        <w:ind w:left="567" w:hanging="567"/>
      </w:pPr>
      <w:r>
        <w:rPr>
          <w:rFonts w:ascii="Times New Roman" w:hAnsi="Times New Roman"/>
          <w:sz w:val="24"/>
        </w:rPr>
        <w:t>Stüben, K., 2001. A review of algebraic multigrid. Journal of Computational and Applied Mathematics 128 (1–2), 281–309. https://doi.org/10.1016/S0377-0427(00)00516-1</w:t>
      </w:r>
    </w:p>
    <w:p w14:paraId="2CA5135B">
      <w:pPr>
        <w:pStyle w:val="3"/>
        <w:ind w:left="567" w:hanging="567"/>
      </w:pPr>
      <w:r>
        <w:rPr>
          <w:rFonts w:ascii="Times New Roman" w:hAnsi="Times New Roman"/>
          <w:sz w:val="24"/>
        </w:rPr>
        <w:t>Tu, J., Yang, H., Sun, S., 2024. Fully implicit discontinuous Galerkin formulation on 3D unstructured grids with bound-preserving limiters for multiphase flow. Journal of Computational Physics 498, 112687. https://doi.org/10.1016/j.jcp.2024.112687</w:t>
      </w:r>
    </w:p>
    <w:p w14:paraId="2ADF3E7C">
      <w:pPr>
        <w:pStyle w:val="3"/>
        <w:ind w:left="567" w:hanging="567"/>
      </w:pPr>
      <w:r>
        <w:rPr>
          <w:rFonts w:ascii="Times New Roman" w:hAnsi="Times New Roman"/>
          <w:sz w:val="24"/>
        </w:rPr>
        <w:t>Vaněk, P., Mandel, J., Brezina, M., 1996. Algebraic multigrid by smoothed aggregation for second and fourth order elliptic problems. Computing 56 (3), 179–196. https://doi.org/10.1007/BF02238511</w:t>
      </w:r>
    </w:p>
    <w:p w14:paraId="318A1F2B">
      <w:pPr>
        <w:pStyle w:val="3"/>
        <w:ind w:left="567" w:hanging="567"/>
      </w:pPr>
      <w:r>
        <w:rPr>
          <w:rFonts w:ascii="Times New Roman" w:hAnsi="Times New Roman"/>
          <w:sz w:val="24"/>
        </w:rPr>
        <w:t>Verma, S., Aziz, K., 1997. A control volume scheme for flexible grids in reservoir simulation. In: Proceedings of the SPE Reservoir Simulation Symposium, Dallas, Texas, SPE-37999-MS. https://doi.org/10.2118/37999-MS</w:t>
      </w:r>
    </w:p>
    <w:p w14:paraId="1DB45917">
      <w:pPr>
        <w:ind w:left="567" w:hanging="567"/>
      </w:pPr>
      <w:r>
        <w:rPr>
          <w:rFonts w:ascii="Times New Roman" w:hAnsi="Times New Roman"/>
          <w:sz w:val="24"/>
        </w:rPr>
        <w:t>Wallis, J.R., Kendall, R.P., Little, T.E., 1985. Constrained residual acceleration of conjugate residual methods. In: Proceedings of the SPE Reservoir Simulation Symposium, Dallas, Texas, SPE 13536. https://doi.org/10.2118/13536-MS</w:t>
      </w:r>
    </w:p>
    <w:p w14:paraId="5A7B9516">
      <w:pPr>
        <w:ind w:left="567" w:hanging="567"/>
      </w:pPr>
      <w:r>
        <w:rPr>
          <w:rFonts w:ascii="Times New Roman" w:hAnsi="Times New Roman"/>
          <w:sz w:val="24"/>
        </w:rPr>
        <w:t>Warren, J.E., Root, P.J., 1963. The behavior of naturally fractured reservoirs. SPE Journal 3 (3), 245-255. https://doi.org/10.2118/426-PA</w:t>
      </w:r>
    </w:p>
    <w:p w14:paraId="332F06A1">
      <w:pPr>
        <w:ind w:left="567" w:hanging="567"/>
      </w:pPr>
      <w:r>
        <w:rPr>
          <w:rFonts w:ascii="Times New Roman" w:hAnsi="Times New Roman"/>
          <w:sz w:val="24"/>
        </w:rPr>
        <w:t>Zhang, M., Yang, H., Liu, Y., Li, R., 2024. Multilevel Schur-complement algorithms for scalable parallel reservoir simulation with temperature variation. Computer Physics Communications 304, 109296. https://doi.org/10.1016/j.cpc.2024.109296</w:t>
      </w:r>
    </w:p>
    <w:p w14:paraId="78415B9E">
      <w:pPr>
        <w:ind w:left="567" w:hanging="567"/>
      </w:pPr>
      <w:r>
        <w:rPr>
          <w:rFonts w:ascii="Times New Roman" w:hAnsi="Times New Roman"/>
          <w:sz w:val="24"/>
        </w:rPr>
        <w:t>Zhang, Z., Guo, X., Zeng, F., Wang, H., Chen, Z., 2024. A transient source-function-based embedded discrete fracture model for simulation of multiscale-fractured reservoir: Application in coalbed methane extraction. Advances in Geoenergy Research 12, 221–234. https://doi.org/10.46690/ager.2024.06.04</w:t>
      </w:r>
    </w:p>
    <w:p w14:paraId="00B86892">
      <w:pPr>
        <w:ind w:left="567" w:hanging="567"/>
      </w:pPr>
      <w:r>
        <w:rPr>
          <w:rFonts w:ascii="Times New Roman" w:hAnsi="Times New Roman"/>
          <w:sz w:val="24"/>
        </w:rPr>
        <w:t>Zheng, T., Guo, B., Song, H., Yu, W., 2025. A multi-porosity multi-permeability framework for fractured unconventional reservoirs bridging continuum and discrete models. SPE Reservoir Evaluation &amp; Engineering 28 (1), 67–84. https://doi.org/10.2118/217592-PA</w:t>
      </w:r>
    </w:p>
    <w:p w14:paraId="6A7189DF"/>
    <w:p w14:paraId="430CA443">
      <w:pPr>
        <w:pStyle w:val="2"/>
        <w:pageBreakBefore/>
        <w:spacing w:before="120" w:after="60" w:line="360" w:lineRule="auto"/>
        <w:jc w:val="both"/>
        <w:rPr>
          <w:rFonts w:ascii="Times New Roman" w:hAnsi="Times New Roman" w:cs="Times New Roman"/>
          <w:color w:val="auto"/>
          <w:sz w:val="28"/>
          <w:szCs w:val="28"/>
        </w:rPr>
      </w:pPr>
      <w:bookmarkStart w:id="31" w:name="appendix-nomenclature"/>
      <w:r>
        <w:rPr>
          <w:rFonts w:ascii="Times New Roman" w:hAnsi="Times New Roman" w:cs="Times New Roman"/>
          <w:b/>
          <w:color w:val="auto"/>
          <w:sz w:val="28"/>
          <w:szCs w:val="20"/>
        </w:rPr>
        <w:t>Appendix: Nomenclature</w:t>
      </w:r>
      <w:bookmarkEnd w:id="31"/>
    </w:p>
    <w:p w14:paraId="75CEA5F0">
      <w:pPr>
        <w:pStyle w:val="3"/>
        <w:spacing w:before="360" w:after="120" w:line="300" w:lineRule="auto"/>
        <w:jc w:val="both"/>
        <w:rPr>
          <w:rFonts w:ascii="Times New Roman" w:hAnsi="Times New Roman" w:cs="Times New Roman"/>
          <w:color w:val="auto"/>
          <w:sz w:val="24"/>
          <w:szCs w:val="24"/>
        </w:rPr>
      </w:pPr>
    </w:p>
    <w:tbl>
      <w:tblPr>
        <w:tblStyle w:val="28"/>
        <w:tblW w:w="8851" w:type="dxa"/>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41"/>
        <w:gridCol w:w="157"/>
        <w:gridCol w:w="493"/>
        <w:gridCol w:w="4891"/>
        <w:gridCol w:w="662"/>
        <w:gridCol w:w="1307"/>
      </w:tblGrid>
      <w:tr w14:paraId="052425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377" w:type="dxa"/>
            <w:gridSpan w:val="2"/>
            <w:tcBorders>
              <w:bottom w:val="single" w:color="auto" w:sz="0" w:space="0"/>
            </w:tcBorders>
            <w:vAlign w:val="center"/>
          </w:tcPr>
          <w:p w14:paraId="1DD7C79B">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5538" w:type="dxa"/>
            <w:gridSpan w:val="2"/>
            <w:tcBorders>
              <w:bottom w:val="single" w:color="auto" w:sz="0" w:space="0"/>
            </w:tcBorders>
            <w:vAlign w:val="center"/>
          </w:tcPr>
          <w:p w14:paraId="32FF76D2">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1936" w:type="dxa"/>
            <w:gridSpan w:val="2"/>
            <w:tcBorders>
              <w:bottom w:val="single" w:color="auto" w:sz="0" w:space="0"/>
            </w:tcBorders>
            <w:vAlign w:val="center"/>
          </w:tcPr>
          <w:p w14:paraId="0575B1B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4D3B74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034CB329">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A</m:t>
                    </m:r>
                    <m:ctrlPr>
                      <w:rPr>
                        <w:color w:val="auto"/>
                      </w:rPr>
                    </m:ctrlPr>
                  </m:e>
                  <m:sub>
                    <m:r>
                      <m:rPr/>
                      <w:rPr>
                        <w:color w:val="auto"/>
                      </w:rPr>
                      <m:t>ij</m:t>
                    </m:r>
                    <m:ctrlPr>
                      <w:rPr>
                        <w:color w:val="auto"/>
                      </w:rPr>
                    </m:ctrlPr>
                  </m:sub>
                </m:sSub>
              </m:oMath>
            </m:oMathPara>
          </w:p>
        </w:tc>
        <w:tc>
          <w:tcPr>
            <w:tcW w:w="5538" w:type="dxa"/>
            <w:gridSpan w:val="2"/>
            <w:vAlign w:val="center"/>
          </w:tcPr>
          <w:p w14:paraId="0B3498D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Area of face between cells </w:t>
            </w:r>
            <m:oMath>
              <m:r>
                <m:rPr/>
                <w:rPr>
                  <w:color w:val="auto"/>
                </w:rPr>
                <m:t>i</m:t>
              </m:r>
            </m:oMath>
            <w:r>
              <w:rPr>
                <w:rFonts w:ascii="Times New Roman" w:hAnsi="Times New Roman" w:cs="Times New Roman"/>
                <w:color w:val="auto"/>
                <w:sz w:val="20"/>
                <w:szCs w:val="20"/>
              </w:rPr>
              <w:t xml:space="preserve"> and </w:t>
            </w:r>
            <m:oMath>
              <m:r>
                <m:rPr/>
                <w:rPr>
                  <w:color w:val="auto"/>
                </w:rPr>
                <m:t>j</m:t>
              </m:r>
            </m:oMath>
          </w:p>
        </w:tc>
        <w:tc>
          <w:tcPr>
            <w:tcW w:w="1936" w:type="dxa"/>
            <w:gridSpan w:val="2"/>
            <w:vAlign w:val="center"/>
          </w:tcPr>
          <w:p w14:paraId="7131FB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m²</w:t>
            </w:r>
          </w:p>
        </w:tc>
      </w:tr>
      <w:tr w14:paraId="14C6C7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5193E093">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B</m:t>
                    </m:r>
                    <m:ctrlPr>
                      <w:rPr>
                        <w:color w:val="auto"/>
                      </w:rPr>
                    </m:ctrlPr>
                  </m:e>
                  <m:sub>
                    <m:r>
                      <m:rPr/>
                      <w:rPr>
                        <w:color w:val="auto"/>
                      </w:rPr>
                      <m:t>o</m:t>
                    </m:r>
                    <m:ctrlPr>
                      <w:rPr>
                        <w:color w:val="auto"/>
                      </w:rPr>
                    </m:ctrlPr>
                  </m:sub>
                </m:sSub>
                <m:r>
                  <m:rPr/>
                  <w:rPr>
                    <w:color w:val="auto"/>
                  </w:rPr>
                  <m:t>,</m:t>
                </m:r>
                <m:sSub>
                  <m:sSubPr>
                    <m:ctrlPr>
                      <w:rPr>
                        <w:color w:val="auto"/>
                      </w:rPr>
                    </m:ctrlPr>
                  </m:sSubPr>
                  <m:e>
                    <m:r>
                      <m:rPr/>
                      <w:rPr>
                        <w:color w:val="auto"/>
                      </w:rPr>
                      <m:t>B</m:t>
                    </m:r>
                    <m:ctrlPr>
                      <w:rPr>
                        <w:color w:val="auto"/>
                      </w:rPr>
                    </m:ctrlPr>
                  </m:e>
                  <m:sub>
                    <m:r>
                      <m:rPr/>
                      <w:rPr>
                        <w:color w:val="auto"/>
                      </w:rPr>
                      <m:t>g</m:t>
                    </m:r>
                    <m:ctrlPr>
                      <w:rPr>
                        <w:color w:val="auto"/>
                      </w:rPr>
                    </m:ctrlPr>
                  </m:sub>
                </m:sSub>
                <m:r>
                  <m:rPr/>
                  <w:rPr>
                    <w:color w:val="auto"/>
                  </w:rPr>
                  <m:t>,</m:t>
                </m:r>
                <m:sSub>
                  <m:sSubPr>
                    <m:ctrlPr>
                      <w:rPr>
                        <w:color w:val="auto"/>
                      </w:rPr>
                    </m:ctrlPr>
                  </m:sSubPr>
                  <m:e>
                    <m:r>
                      <m:rPr/>
                      <w:rPr>
                        <w:color w:val="auto"/>
                      </w:rPr>
                      <m:t>B</m:t>
                    </m:r>
                    <m:ctrlPr>
                      <w:rPr>
                        <w:color w:val="auto"/>
                      </w:rPr>
                    </m:ctrlPr>
                  </m:e>
                  <m:sub>
                    <m:r>
                      <m:rPr/>
                      <w:rPr>
                        <w:color w:val="auto"/>
                      </w:rPr>
                      <m:t>w</m:t>
                    </m:r>
                    <m:ctrlPr>
                      <w:rPr>
                        <w:color w:val="auto"/>
                      </w:rPr>
                    </m:ctrlPr>
                  </m:sub>
                </m:sSub>
              </m:oMath>
            </m:oMathPara>
          </w:p>
        </w:tc>
        <w:tc>
          <w:tcPr>
            <w:tcW w:w="5538" w:type="dxa"/>
            <w:gridSpan w:val="2"/>
            <w:vAlign w:val="center"/>
          </w:tcPr>
          <w:p w14:paraId="0A7793D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Oil, gas, water formation volume factors</w:t>
            </w:r>
          </w:p>
        </w:tc>
        <w:tc>
          <w:tcPr>
            <w:tcW w:w="1936" w:type="dxa"/>
            <w:gridSpan w:val="2"/>
            <w:vAlign w:val="center"/>
          </w:tcPr>
          <w:p w14:paraId="1F6916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m³/sm³</w:t>
            </w:r>
          </w:p>
        </w:tc>
      </w:tr>
      <w:tr w14:paraId="4AA3A6C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5338A9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c</m:t>
                    </m:r>
                    <m:ctrlPr>
                      <w:rPr>
                        <w:color w:val="auto"/>
                      </w:rPr>
                    </m:ctrlPr>
                  </m:e>
                  <m:sub>
                    <m:r>
                      <m:rPr/>
                      <w:rPr>
                        <w:color w:val="auto"/>
                      </w:rPr>
                      <m:t>r</m:t>
                    </m:r>
                    <m:ctrlPr>
                      <w:rPr>
                        <w:color w:val="auto"/>
                      </w:rPr>
                    </m:ctrlPr>
                  </m:sub>
                </m:sSub>
              </m:oMath>
            </m:oMathPara>
          </w:p>
        </w:tc>
        <w:tc>
          <w:tcPr>
            <w:tcW w:w="5538" w:type="dxa"/>
            <w:gridSpan w:val="2"/>
            <w:vAlign w:val="center"/>
          </w:tcPr>
          <w:p w14:paraId="7A6D965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Rock compressibility</w:t>
            </w:r>
          </w:p>
        </w:tc>
        <w:tc>
          <w:tcPr>
            <w:tcW w:w="1936" w:type="dxa"/>
            <w:gridSpan w:val="2"/>
            <w:vAlign w:val="center"/>
          </w:tcPr>
          <w:p w14:paraId="314D081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psi⁻¹</w:t>
            </w:r>
          </w:p>
        </w:tc>
      </w:tr>
      <w:tr w14:paraId="0B39A19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8FD4988">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d</m:t>
                    </m:r>
                    <m:ctrlPr>
                      <w:rPr>
                        <w:color w:val="auto"/>
                      </w:rPr>
                    </m:ctrlPr>
                  </m:e>
                  <m:sub>
                    <m:r>
                      <m:rPr/>
                      <w:rPr>
                        <w:color w:val="auto"/>
                      </w:rPr>
                      <m:t>i</m:t>
                    </m:r>
                    <m:ctrlPr>
                      <w:rPr>
                        <w:color w:val="auto"/>
                      </w:rPr>
                    </m:ctrlPr>
                  </m:sub>
                </m:sSub>
              </m:oMath>
            </m:oMathPara>
          </w:p>
        </w:tc>
        <w:tc>
          <w:tcPr>
            <w:tcW w:w="5538" w:type="dxa"/>
            <w:gridSpan w:val="2"/>
            <w:vAlign w:val="center"/>
          </w:tcPr>
          <w:p w14:paraId="7B8F0DB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Distance from generator point </w:t>
            </w:r>
            <m:oMath>
              <m:r>
                <m:rPr/>
                <w:rPr>
                  <w:color w:val="auto"/>
                </w:rPr>
                <m:t>i</m:t>
              </m:r>
            </m:oMath>
            <w:r>
              <w:rPr>
                <w:rFonts w:ascii="Times New Roman" w:hAnsi="Times New Roman" w:cs="Times New Roman"/>
                <w:color w:val="auto"/>
                <w:sz w:val="20"/>
                <w:szCs w:val="20"/>
              </w:rPr>
              <w:t xml:space="preserve"> to face</w:t>
            </w:r>
          </w:p>
        </w:tc>
        <w:tc>
          <w:tcPr>
            <w:tcW w:w="1936" w:type="dxa"/>
            <w:gridSpan w:val="2"/>
            <w:vAlign w:val="center"/>
          </w:tcPr>
          <w:p w14:paraId="4A1A9C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49191D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16677A30">
            <w:pPr>
              <w:pStyle w:val="24"/>
              <w:snapToGrid w:val="0"/>
              <w:spacing w:before="0" w:after="0"/>
              <w:ind w:left="0" w:leftChars="0" w:right="0" w:rightChars="0" w:firstLineChars="0"/>
              <w:jc w:val="left"/>
              <w:rPr>
                <w:color w:val="auto"/>
              </w:rPr>
            </w:pPr>
            <m:oMathPara>
              <m:oMath>
                <m:r>
                  <m:rPr/>
                  <w:rPr>
                    <w:color w:val="auto"/>
                  </w:rPr>
                  <m:t>h(x)</m:t>
                </m:r>
              </m:oMath>
            </m:oMathPara>
          </w:p>
        </w:tc>
        <w:tc>
          <w:tcPr>
            <w:tcW w:w="5538" w:type="dxa"/>
            <w:gridSpan w:val="2"/>
            <w:vAlign w:val="center"/>
          </w:tcPr>
          <w:p w14:paraId="09AF4EF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Target element spacing at point </w:t>
            </w:r>
            <m:oMath>
              <m:r>
                <m:rPr/>
                <w:rPr>
                  <w:color w:val="auto"/>
                </w:rPr>
                <m:t>x</m:t>
              </m:r>
            </m:oMath>
          </w:p>
        </w:tc>
        <w:tc>
          <w:tcPr>
            <w:tcW w:w="1936" w:type="dxa"/>
            <w:gridSpan w:val="2"/>
            <w:vAlign w:val="center"/>
          </w:tcPr>
          <w:p w14:paraId="0DD74F6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56BC044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0130FDFC">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h</m:t>
                    </m:r>
                    <m:ctrlPr>
                      <w:rPr>
                        <w:color w:val="auto"/>
                      </w:rPr>
                    </m:ctrlPr>
                  </m:e>
                  <m:sub>
                    <m:r>
                      <m:rPr/>
                      <w:rPr>
                        <w:color w:val="auto"/>
                      </w:rPr>
                      <m:t>n</m:t>
                    </m:r>
                    <m:ctrlPr>
                      <w:rPr>
                        <w:color w:val="auto"/>
                      </w:rPr>
                    </m:ctrlPr>
                  </m:sub>
                </m:sSub>
                <m:r>
                  <m:rPr/>
                  <w:rPr>
                    <w:color w:val="auto"/>
                  </w:rPr>
                  <m:t>,</m:t>
                </m:r>
                <m:sSub>
                  <m:sSubPr>
                    <m:ctrlPr>
                      <w:rPr>
                        <w:color w:val="auto"/>
                      </w:rPr>
                    </m:ctrlPr>
                  </m:sSubPr>
                  <m:e>
                    <m:r>
                      <m:rPr/>
                      <w:rPr>
                        <w:color w:val="auto"/>
                      </w:rPr>
                      <m:t>h</m:t>
                    </m:r>
                    <m:ctrlPr>
                      <w:rPr>
                        <w:color w:val="auto"/>
                      </w:rPr>
                    </m:ctrlPr>
                  </m:e>
                  <m:sub>
                    <m:r>
                      <m:rPr/>
                      <w:rPr>
                        <w:color w:val="auto"/>
                      </w:rPr>
                      <m:t>f</m:t>
                    </m:r>
                    <m:ctrlPr>
                      <w:rPr>
                        <w:color w:val="auto"/>
                      </w:rPr>
                    </m:ctrlPr>
                  </m:sub>
                </m:sSub>
              </m:oMath>
            </m:oMathPara>
          </w:p>
        </w:tc>
        <w:tc>
          <w:tcPr>
            <w:tcW w:w="5538" w:type="dxa"/>
            <w:gridSpan w:val="2"/>
            <w:vAlign w:val="center"/>
          </w:tcPr>
          <w:p w14:paraId="5203CE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Near-fracture and far-field target spacing</w:t>
            </w:r>
          </w:p>
        </w:tc>
        <w:tc>
          <w:tcPr>
            <w:tcW w:w="1936" w:type="dxa"/>
            <w:gridSpan w:val="2"/>
            <w:vAlign w:val="center"/>
          </w:tcPr>
          <w:p w14:paraId="100A733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7580C4A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580E20A7">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h</m:t>
                    </m:r>
                    <m:ctrlPr>
                      <w:rPr>
                        <w:color w:val="auto"/>
                      </w:rPr>
                    </m:ctrlPr>
                  </m:e>
                  <m:sub>
                    <m:r>
                      <m:rPr>
                        <m:nor/>
                        <m:sty m:val="p"/>
                      </m:rPr>
                      <w:rPr>
                        <w:b w:val="0"/>
                        <w:i w:val="0"/>
                        <w:color w:val="auto"/>
                      </w:rPr>
                      <m:t>min</m:t>
                    </m:r>
                    <m:ctrlPr>
                      <w:rPr>
                        <w:color w:val="auto"/>
                      </w:rPr>
                    </m:ctrlPr>
                  </m:sub>
                </m:sSub>
              </m:oMath>
            </m:oMathPara>
          </w:p>
        </w:tc>
        <w:tc>
          <w:tcPr>
            <w:tcW w:w="5538" w:type="dxa"/>
            <w:gridSpan w:val="2"/>
            <w:vAlign w:val="center"/>
          </w:tcPr>
          <w:p w14:paraId="6C3AF44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Minimum distance to fracture network</w:t>
            </w:r>
          </w:p>
        </w:tc>
        <w:tc>
          <w:tcPr>
            <w:tcW w:w="1936" w:type="dxa"/>
            <w:gridSpan w:val="2"/>
            <w:vAlign w:val="center"/>
          </w:tcPr>
          <w:p w14:paraId="7325036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w:t>
            </w:r>
          </w:p>
        </w:tc>
      </w:tr>
      <w:tr w14:paraId="7376CB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274B7082">
            <w:pPr>
              <w:pStyle w:val="24"/>
              <w:snapToGrid w:val="0"/>
              <w:spacing w:before="0" w:after="0"/>
              <w:ind w:left="0" w:leftChars="0" w:right="0" w:rightChars="0" w:firstLineChars="0"/>
              <w:jc w:val="left"/>
              <w:rPr>
                <w:color w:val="auto"/>
              </w:rPr>
            </w:pPr>
            <m:oMathPara>
              <m:oMath>
                <m:r>
                  <m:rPr>
                    <m:sty m:val="b"/>
                  </m:rPr>
                  <w:rPr>
                    <w:color w:val="auto"/>
                  </w:rPr>
                  <m:t>K</m:t>
                </m:r>
              </m:oMath>
            </m:oMathPara>
          </w:p>
        </w:tc>
        <w:tc>
          <w:tcPr>
            <w:tcW w:w="5538" w:type="dxa"/>
            <w:gridSpan w:val="2"/>
            <w:vAlign w:val="center"/>
          </w:tcPr>
          <w:p w14:paraId="525CCED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Absolute permeability tensor</w:t>
            </w:r>
          </w:p>
        </w:tc>
        <w:tc>
          <w:tcPr>
            <w:tcW w:w="1936" w:type="dxa"/>
            <w:gridSpan w:val="2"/>
            <w:vAlign w:val="center"/>
          </w:tcPr>
          <w:p w14:paraId="3C0B8D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mD</w:t>
            </w:r>
          </w:p>
        </w:tc>
      </w:tr>
      <w:tr w14:paraId="54E2C38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0B020A7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N</m:t>
                    </m:r>
                    <m:ctrlPr>
                      <w:rPr>
                        <w:color w:val="auto"/>
                      </w:rPr>
                    </m:ctrlPr>
                  </m:e>
                  <m:sub>
                    <m:r>
                      <m:rPr/>
                      <w:rPr>
                        <w:color w:val="auto"/>
                      </w:rPr>
                      <m:t>c</m:t>
                    </m:r>
                    <m:ctrlPr>
                      <w:rPr>
                        <w:color w:val="auto"/>
                      </w:rPr>
                    </m:ctrlPr>
                  </m:sub>
                </m:sSub>
              </m:oMath>
            </m:oMathPara>
          </w:p>
        </w:tc>
        <w:tc>
          <w:tcPr>
            <w:tcW w:w="5538" w:type="dxa"/>
            <w:gridSpan w:val="2"/>
            <w:vAlign w:val="center"/>
          </w:tcPr>
          <w:p w14:paraId="137E15F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Number of computational cells</w:t>
            </w:r>
          </w:p>
        </w:tc>
        <w:tc>
          <w:tcPr>
            <w:tcW w:w="1936" w:type="dxa"/>
            <w:gridSpan w:val="2"/>
            <w:vAlign w:val="center"/>
          </w:tcPr>
          <w:p w14:paraId="078C1C8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443526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7C2D5D75">
            <w:pPr>
              <w:pStyle w:val="24"/>
              <w:snapToGrid w:val="0"/>
              <w:spacing w:before="0" w:after="0"/>
              <w:ind w:left="0" w:leftChars="0" w:right="0" w:rightChars="0" w:firstLineChars="0"/>
              <w:jc w:val="left"/>
              <w:rPr>
                <w:color w:val="auto"/>
              </w:rPr>
            </w:pPr>
            <m:oMathPara>
              <m:oMath>
                <m:sSub>
                  <m:sSubPr>
                    <m:ctrlPr>
                      <w:rPr>
                        <w:color w:val="auto"/>
                      </w:rPr>
                    </m:ctrlPr>
                  </m:sSubPr>
                  <m:e>
                    <m:r>
                      <m:rPr>
                        <m:sty m:val="b"/>
                      </m:rPr>
                      <w:rPr>
                        <w:color w:val="auto"/>
                      </w:rPr>
                      <m:t>n</m:t>
                    </m:r>
                    <m:ctrlPr>
                      <w:rPr>
                        <w:color w:val="auto"/>
                      </w:rPr>
                    </m:ctrlPr>
                  </m:e>
                  <m:sub>
                    <m:r>
                      <m:rPr/>
                      <w:rPr>
                        <w:color w:val="auto"/>
                      </w:rPr>
                      <m:t>ij</m:t>
                    </m:r>
                    <m:ctrlPr>
                      <w:rPr>
                        <w:color w:val="auto"/>
                      </w:rPr>
                    </m:ctrlPr>
                  </m:sub>
                </m:sSub>
              </m:oMath>
            </m:oMathPara>
          </w:p>
        </w:tc>
        <w:tc>
          <w:tcPr>
            <w:tcW w:w="5538" w:type="dxa"/>
            <w:gridSpan w:val="2"/>
            <w:vAlign w:val="center"/>
          </w:tcPr>
          <w:p w14:paraId="642709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Outward unit normal on face </w:t>
            </w:r>
            <m:oMath>
              <m:r>
                <m:rPr/>
                <w:rPr>
                  <w:color w:val="auto"/>
                </w:rPr>
                <m:t>ij</m:t>
              </m:r>
            </m:oMath>
          </w:p>
        </w:tc>
        <w:tc>
          <w:tcPr>
            <w:tcW w:w="1936" w:type="dxa"/>
            <w:gridSpan w:val="2"/>
            <w:vAlign w:val="center"/>
          </w:tcPr>
          <w:p w14:paraId="340EA87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BAC8A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26187060">
            <w:pPr>
              <w:pStyle w:val="24"/>
              <w:snapToGrid w:val="0"/>
              <w:spacing w:before="0" w:after="0"/>
              <w:ind w:left="0" w:leftChars="0" w:right="0" w:rightChars="0" w:firstLineChars="0"/>
              <w:jc w:val="left"/>
              <w:rPr>
                <w:color w:val="auto"/>
              </w:rPr>
            </w:pPr>
            <m:oMathPara>
              <m:oMath>
                <m:r>
                  <m:rPr/>
                  <w:rPr>
                    <w:color w:val="auto"/>
                  </w:rPr>
                  <m:t>p</m:t>
                </m:r>
              </m:oMath>
            </m:oMathPara>
          </w:p>
        </w:tc>
        <w:tc>
          <w:tcPr>
            <w:tcW w:w="5538" w:type="dxa"/>
            <w:gridSpan w:val="2"/>
            <w:vAlign w:val="center"/>
          </w:tcPr>
          <w:p w14:paraId="5EF4432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Pressure</w:t>
            </w:r>
          </w:p>
        </w:tc>
        <w:tc>
          <w:tcPr>
            <w:tcW w:w="1936" w:type="dxa"/>
            <w:gridSpan w:val="2"/>
            <w:vAlign w:val="center"/>
          </w:tcPr>
          <w:p w14:paraId="2DC04E6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Pa or MPa</w:t>
            </w:r>
          </w:p>
        </w:tc>
      </w:tr>
      <w:tr w14:paraId="1F5F84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6BDF0B5">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p</m:t>
                    </m:r>
                    <m:ctrlPr>
                      <w:rPr>
                        <w:color w:val="auto"/>
                      </w:rPr>
                    </m:ctrlPr>
                  </m:e>
                  <m:sub>
                    <m:r>
                      <m:rPr/>
                      <w:rPr>
                        <w:color w:val="auto"/>
                      </w:rPr>
                      <m:t>b</m:t>
                    </m:r>
                    <m:ctrlPr>
                      <w:rPr>
                        <w:color w:val="auto"/>
                      </w:rPr>
                    </m:ctrlPr>
                  </m:sub>
                </m:sSub>
              </m:oMath>
            </m:oMathPara>
          </w:p>
        </w:tc>
        <w:tc>
          <w:tcPr>
            <w:tcW w:w="5538" w:type="dxa"/>
            <w:gridSpan w:val="2"/>
            <w:vAlign w:val="center"/>
          </w:tcPr>
          <w:p w14:paraId="4F7770D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Bubble-point pressure</w:t>
            </w:r>
          </w:p>
        </w:tc>
        <w:tc>
          <w:tcPr>
            <w:tcW w:w="1936" w:type="dxa"/>
            <w:gridSpan w:val="2"/>
            <w:vAlign w:val="center"/>
          </w:tcPr>
          <w:p w14:paraId="62D8D5F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MPa</w:t>
            </w:r>
          </w:p>
        </w:tc>
      </w:tr>
      <w:tr w14:paraId="7F6401B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B6665B8">
            <w:pPr>
              <w:pStyle w:val="24"/>
              <w:snapToGrid w:val="0"/>
              <w:spacing w:before="0" w:after="0"/>
              <w:ind w:left="0" w:leftChars="0" w:right="0" w:rightChars="0" w:firstLineChars="0"/>
              <w:jc w:val="left"/>
              <w:rPr>
                <w:color w:val="auto"/>
              </w:rPr>
            </w:pPr>
            <m:oMathPara>
              <m:oMath>
                <m:r>
                  <m:rPr/>
                  <w:rPr>
                    <w:color w:val="auto"/>
                  </w:rPr>
                  <m:t>q</m:t>
                </m:r>
              </m:oMath>
            </m:oMathPara>
          </w:p>
        </w:tc>
        <w:tc>
          <w:tcPr>
            <w:tcW w:w="5538" w:type="dxa"/>
            <w:gridSpan w:val="2"/>
            <w:vAlign w:val="center"/>
          </w:tcPr>
          <w:p w14:paraId="07AB666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Source/sink term</w:t>
            </w:r>
          </w:p>
        </w:tc>
        <w:tc>
          <w:tcPr>
            <w:tcW w:w="1936" w:type="dxa"/>
            <w:gridSpan w:val="2"/>
            <w:vAlign w:val="center"/>
          </w:tcPr>
          <w:p w14:paraId="2AB1CEF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m³/s</w:t>
            </w:r>
          </w:p>
        </w:tc>
      </w:tr>
      <w:tr w14:paraId="78101B0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A642C76">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R</m:t>
                    </m:r>
                    <m:ctrlPr>
                      <w:rPr>
                        <w:color w:val="auto"/>
                      </w:rPr>
                    </m:ctrlPr>
                  </m:e>
                  <m:sub>
                    <m:r>
                      <m:rPr/>
                      <w:rPr>
                        <w:color w:val="auto"/>
                      </w:rPr>
                      <m:t>s</m:t>
                    </m:r>
                    <m:ctrlPr>
                      <w:rPr>
                        <w:color w:val="auto"/>
                      </w:rPr>
                    </m:ctrlPr>
                  </m:sub>
                </m:sSub>
              </m:oMath>
            </m:oMathPara>
          </w:p>
        </w:tc>
        <w:tc>
          <w:tcPr>
            <w:tcW w:w="5538" w:type="dxa"/>
            <w:gridSpan w:val="2"/>
            <w:vAlign w:val="center"/>
          </w:tcPr>
          <w:p w14:paraId="13F6977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Solution gas–oil ratio</w:t>
            </w:r>
          </w:p>
        </w:tc>
        <w:tc>
          <w:tcPr>
            <w:tcW w:w="1936" w:type="dxa"/>
            <w:gridSpan w:val="2"/>
            <w:vAlign w:val="center"/>
          </w:tcPr>
          <w:p w14:paraId="41415B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sm³/sm³</w:t>
            </w:r>
          </w:p>
        </w:tc>
      </w:tr>
      <w:tr w14:paraId="449693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2A880718">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o</m:t>
                    </m:r>
                    <m:ctrlPr>
                      <w:rPr>
                        <w:rFonts w:ascii="Times New Roman" w:hAnsi="Times New Roman"/>
                        <w:b/>
                        <w:color w:val="auto"/>
                      </w:rPr>
                    </m:ctrlPr>
                  </m:sub>
                </m:sSub>
                <m:r>
                  <m:rPr>
                    <m:sty m:val="bi"/>
                  </m:rPr>
                  <w:rPr>
                    <w:rFonts w:ascii="Times New Roman" w:hAnsi="Times New Roman"/>
                    <w:color w:val="auto"/>
                  </w:rPr>
                  <m:t>,</m:t>
                </m:r>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g</m:t>
                    </m:r>
                    <m:ctrlPr>
                      <w:rPr>
                        <w:rFonts w:ascii="Times New Roman" w:hAnsi="Times New Roman"/>
                        <w:b/>
                        <w:color w:val="auto"/>
                      </w:rPr>
                    </m:ctrlPr>
                  </m:sub>
                </m:sSub>
                <m:r>
                  <m:rPr>
                    <m:sty m:val="bi"/>
                  </m:rPr>
                  <w:rPr>
                    <w:rFonts w:ascii="Times New Roman" w:hAnsi="Times New Roman"/>
                    <w:color w:val="auto"/>
                  </w:rPr>
                  <m:t>,</m:t>
                </m:r>
                <m:sSub>
                  <m:sSubPr>
                    <m:ctrlPr>
                      <w:rPr>
                        <w:rFonts w:ascii="Times New Roman" w:hAnsi="Times New Roman"/>
                        <w:b/>
                        <w:color w:val="auto"/>
                      </w:rPr>
                    </m:ctrlPr>
                  </m:sSubPr>
                  <m:e>
                    <m:r>
                      <m:rPr>
                        <m:sty m:val="bi"/>
                      </m:rPr>
                      <w:rPr>
                        <w:rFonts w:hint="default" w:ascii="Times New Roman" w:hAnsi="Times New Roman"/>
                        <w:color w:val="auto"/>
                      </w:rPr>
                      <m:t>S</m:t>
                    </m:r>
                    <m:ctrlPr>
                      <w:rPr>
                        <w:rFonts w:ascii="Times New Roman" w:hAnsi="Times New Roman"/>
                        <w:b/>
                        <w:color w:val="auto"/>
                      </w:rPr>
                    </m:ctrlPr>
                  </m:e>
                  <m:sub>
                    <m:r>
                      <m:rPr>
                        <m:sty m:val="bi"/>
                      </m:rPr>
                      <w:rPr>
                        <w:rFonts w:hint="default" w:ascii="Times New Roman" w:hAnsi="Times New Roman"/>
                        <w:color w:val="auto"/>
                      </w:rPr>
                      <m:t>w</m:t>
                    </m:r>
                    <m:ctrlPr>
                      <w:rPr>
                        <w:rFonts w:ascii="Times New Roman" w:hAnsi="Times New Roman"/>
                        <w:b/>
                        <w:color w:val="auto"/>
                      </w:rPr>
                    </m:ctrlPr>
                  </m:sub>
                </m:sSub>
              </m:oMath>
            </m:oMathPara>
          </w:p>
        </w:tc>
        <w:tc>
          <w:tcPr>
            <w:tcW w:w="5538" w:type="dxa"/>
            <w:gridSpan w:val="2"/>
            <w:vAlign w:val="center"/>
          </w:tcPr>
          <w:p w14:paraId="721E0676">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Oil, gas, water saturations</w:t>
            </w:r>
          </w:p>
        </w:tc>
        <w:tc>
          <w:tcPr>
            <w:tcW w:w="1936" w:type="dxa"/>
            <w:gridSpan w:val="2"/>
            <w:vAlign w:val="center"/>
          </w:tcPr>
          <w:p w14:paraId="183B565E">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w:t>
            </w:r>
          </w:p>
        </w:tc>
      </w:tr>
      <w:tr w14:paraId="73A2D0F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15A3D1B5">
            <w:pPr>
              <w:pStyle w:val="24"/>
              <w:snapToGrid w:val="0"/>
              <w:spacing w:before="0" w:after="0"/>
              <w:ind w:left="0" w:leftChars="0" w:right="0" w:rightChars="0" w:firstLineChars="0"/>
              <w:jc w:val="left"/>
              <w:rPr>
                <w:b/>
                <w:color w:val="auto"/>
              </w:rPr>
            </w:pPr>
            <m:oMathPara>
              <m:oMath>
                <m:sSub>
                  <m:sSubPr>
                    <m:ctrlPr>
                      <w:rPr>
                        <w:rFonts w:ascii="Times New Roman" w:hAnsi="Times New Roman"/>
                        <w:b/>
                        <w:color w:val="auto"/>
                      </w:rPr>
                    </m:ctrlPr>
                  </m:sSubPr>
                  <m:e>
                    <m:r>
                      <m:rPr>
                        <m:sty m:val="bi"/>
                      </m:rPr>
                      <w:rPr>
                        <w:rFonts w:hint="default" w:ascii="Times New Roman" w:hAnsi="Times New Roman"/>
                        <w:color w:val="auto"/>
                      </w:rPr>
                      <m:t>T</m:t>
                    </m:r>
                    <m:ctrlPr>
                      <w:rPr>
                        <w:rFonts w:ascii="Times New Roman" w:hAnsi="Times New Roman"/>
                        <w:b/>
                        <w:color w:val="auto"/>
                      </w:rPr>
                    </m:ctrlPr>
                  </m:e>
                  <m:sub>
                    <m:r>
                      <m:rPr>
                        <m:sty m:val="bi"/>
                      </m:rPr>
                      <w:rPr>
                        <w:rFonts w:hint="default" w:ascii="Times New Roman" w:hAnsi="Times New Roman"/>
                        <w:color w:val="auto"/>
                      </w:rPr>
                      <m:t>p,ij</m:t>
                    </m:r>
                    <m:ctrlPr>
                      <w:rPr>
                        <w:rFonts w:ascii="Times New Roman" w:hAnsi="Times New Roman"/>
                        <w:b/>
                        <w:color w:val="auto"/>
                      </w:rPr>
                    </m:ctrlPr>
                  </m:sub>
                </m:sSub>
              </m:oMath>
            </m:oMathPara>
          </w:p>
        </w:tc>
        <w:tc>
          <w:tcPr>
            <w:tcW w:w="5538" w:type="dxa"/>
            <w:gridSpan w:val="2"/>
            <w:vAlign w:val="center"/>
          </w:tcPr>
          <w:p w14:paraId="359D8C92">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 xml:space="preserve">Phase transmissibility across face </w:t>
            </w:r>
            <m:oMath>
              <m:r>
                <m:rPr>
                  <m:sty m:val="bi"/>
                </m:rPr>
                <w:rPr>
                  <w:rFonts w:hint="default" w:ascii="Times New Roman" w:hAnsi="Times New Roman"/>
                  <w:color w:val="auto"/>
                </w:rPr>
                <m:t>ij</m:t>
              </m:r>
            </m:oMath>
          </w:p>
        </w:tc>
        <w:tc>
          <w:tcPr>
            <w:tcW w:w="1936" w:type="dxa"/>
            <w:gridSpan w:val="2"/>
            <w:vAlign w:val="center"/>
          </w:tcPr>
          <w:p w14:paraId="361885B8">
            <w:pPr>
              <w:pStyle w:val="24"/>
              <w:snapToGrid w:val="0"/>
              <w:spacing w:before="0" w:after="0"/>
              <w:ind w:left="0" w:leftChars="0" w:right="0" w:rightChars="0" w:firstLineChars="0"/>
              <w:jc w:val="left"/>
              <w:rPr>
                <w:b/>
                <w:color w:val="auto"/>
              </w:rPr>
            </w:pPr>
            <w:r>
              <w:rPr>
                <w:rFonts w:ascii="Times New Roman" w:hAnsi="Times New Roman" w:cs="Times New Roman"/>
                <w:color w:val="auto"/>
                <w:sz w:val="20"/>
                <w:szCs w:val="20"/>
              </w:rPr>
              <w:t>m³·cP/(Pa·s)</w:t>
            </w:r>
          </w:p>
        </w:tc>
      </w:tr>
      <w:tr w14:paraId="78C1E7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17D7579">
            <w:pPr>
              <w:pStyle w:val="24"/>
              <w:snapToGrid w:val="0"/>
              <w:spacing w:before="0" w:after="0"/>
              <w:ind w:left="0" w:leftChars="0" w:right="0" w:rightChars="0" w:firstLineChars="0"/>
              <w:jc w:val="left"/>
              <w:rPr>
                <w:color w:val="auto"/>
              </w:rPr>
            </w:pPr>
            <m:oMathPara>
              <m:oMath>
                <m:r>
                  <m:rPr/>
                  <w:rPr>
                    <w:color w:val="auto"/>
                  </w:rPr>
                  <m:t>t</m:t>
                </m:r>
              </m:oMath>
            </m:oMathPara>
          </w:p>
        </w:tc>
        <w:tc>
          <w:tcPr>
            <w:tcW w:w="5538" w:type="dxa"/>
            <w:gridSpan w:val="2"/>
            <w:vAlign w:val="center"/>
          </w:tcPr>
          <w:p w14:paraId="20CBE35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Time</w:t>
            </w:r>
          </w:p>
        </w:tc>
        <w:tc>
          <w:tcPr>
            <w:tcW w:w="1936" w:type="dxa"/>
            <w:gridSpan w:val="2"/>
            <w:vAlign w:val="center"/>
          </w:tcPr>
          <w:p w14:paraId="5BF83B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4395A7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3C21DDA4">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comp</m:t>
                    </m:r>
                    <m:ctrlPr>
                      <w:rPr>
                        <w:color w:val="auto"/>
                      </w:rPr>
                    </m:ctrlPr>
                  </m:sub>
                </m:sSub>
              </m:oMath>
            </m:oMathPara>
          </w:p>
        </w:tc>
        <w:tc>
          <w:tcPr>
            <w:tcW w:w="5538" w:type="dxa"/>
            <w:gridSpan w:val="2"/>
            <w:vAlign w:val="center"/>
          </w:tcPr>
          <w:p w14:paraId="249E00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Computation time (interior cells)</w:t>
            </w:r>
          </w:p>
        </w:tc>
        <w:tc>
          <w:tcPr>
            <w:tcW w:w="1936" w:type="dxa"/>
            <w:gridSpan w:val="2"/>
            <w:vAlign w:val="center"/>
          </w:tcPr>
          <w:p w14:paraId="284BD09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2C030B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DBC0F76">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comm</m:t>
                    </m:r>
                    <m:ctrlPr>
                      <w:rPr>
                        <w:color w:val="auto"/>
                      </w:rPr>
                    </m:ctrlPr>
                  </m:sub>
                </m:sSub>
              </m:oMath>
            </m:oMathPara>
          </w:p>
        </w:tc>
        <w:tc>
          <w:tcPr>
            <w:tcW w:w="5538" w:type="dxa"/>
            <w:gridSpan w:val="2"/>
            <w:vAlign w:val="center"/>
          </w:tcPr>
          <w:p w14:paraId="471E9B0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Total communication time</w:t>
            </w:r>
          </w:p>
        </w:tc>
        <w:tc>
          <w:tcPr>
            <w:tcW w:w="1936" w:type="dxa"/>
            <w:gridSpan w:val="2"/>
            <w:vAlign w:val="center"/>
          </w:tcPr>
          <w:p w14:paraId="58379A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4B2BE8D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4B95121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t</m:t>
                    </m:r>
                    <m:ctrlPr>
                      <w:rPr>
                        <w:color w:val="auto"/>
                      </w:rPr>
                    </m:ctrlPr>
                  </m:e>
                  <m:sub>
                    <m:r>
                      <m:rPr>
                        <m:nor/>
                        <m:sty m:val="p"/>
                      </m:rPr>
                      <w:rPr>
                        <w:b w:val="0"/>
                        <w:i w:val="0"/>
                        <w:color w:val="auto"/>
                      </w:rPr>
                      <m:t>wait</m:t>
                    </m:r>
                    <m:ctrlPr>
                      <w:rPr>
                        <w:color w:val="auto"/>
                      </w:rPr>
                    </m:ctrlPr>
                  </m:sub>
                </m:sSub>
              </m:oMath>
            </m:oMathPara>
          </w:p>
        </w:tc>
        <w:tc>
          <w:tcPr>
            <w:tcW w:w="5538" w:type="dxa"/>
            <w:gridSpan w:val="2"/>
            <w:vAlign w:val="center"/>
          </w:tcPr>
          <w:p w14:paraId="43B79B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Residual MPI wait time after overlap</w:t>
            </w:r>
          </w:p>
        </w:tc>
        <w:tc>
          <w:tcPr>
            <w:tcW w:w="1936" w:type="dxa"/>
            <w:gridSpan w:val="2"/>
            <w:vAlign w:val="center"/>
          </w:tcPr>
          <w:p w14:paraId="4310F9C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w:t>
            </w:r>
          </w:p>
        </w:tc>
      </w:tr>
      <w:tr w14:paraId="0C649C4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6188745D">
            <w:pPr>
              <w:pStyle w:val="24"/>
              <w:snapToGrid w:val="0"/>
              <w:spacing w:before="0" w:after="0"/>
              <w:ind w:left="0" w:leftChars="0" w:right="0" w:rightChars="0" w:firstLineChars="0"/>
              <w:jc w:val="left"/>
              <w:rPr>
                <w:color w:val="auto"/>
              </w:rPr>
            </w:pPr>
            <m:oMathPara>
              <m:oMath>
                <m:sSub>
                  <m:sSubPr>
                    <m:ctrlPr>
                      <w:rPr>
                        <w:color w:val="auto"/>
                      </w:rPr>
                    </m:ctrlPr>
                  </m:sSubPr>
                  <m:e>
                    <m:r>
                      <m:rPr>
                        <m:sty m:val="b"/>
                      </m:rPr>
                      <w:rPr>
                        <w:color w:val="auto"/>
                      </w:rPr>
                      <m:t>u</m:t>
                    </m:r>
                    <m:ctrlPr>
                      <w:rPr>
                        <w:color w:val="auto"/>
                      </w:rPr>
                    </m:ctrlPr>
                  </m:e>
                  <m:sub>
                    <m:r>
                      <m:rPr/>
                      <w:rPr>
                        <w:color w:val="auto"/>
                      </w:rPr>
                      <m:t>p</m:t>
                    </m:r>
                    <m:ctrlPr>
                      <w:rPr>
                        <w:color w:val="auto"/>
                      </w:rPr>
                    </m:ctrlPr>
                  </m:sub>
                </m:sSub>
              </m:oMath>
            </m:oMathPara>
          </w:p>
        </w:tc>
        <w:tc>
          <w:tcPr>
            <w:tcW w:w="5538" w:type="dxa"/>
            <w:gridSpan w:val="2"/>
            <w:vAlign w:val="center"/>
          </w:tcPr>
          <w:p w14:paraId="6E83D2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Darcy velocity of phase </w:t>
            </w:r>
            <m:oMath>
              <m:r>
                <m:rPr/>
                <w:rPr>
                  <w:color w:val="auto"/>
                </w:rPr>
                <m:t>p</m:t>
              </m:r>
            </m:oMath>
          </w:p>
        </w:tc>
        <w:tc>
          <w:tcPr>
            <w:tcW w:w="1936" w:type="dxa"/>
            <w:gridSpan w:val="2"/>
            <w:vAlign w:val="center"/>
          </w:tcPr>
          <w:p w14:paraId="3B36E23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m/s</w:t>
            </w:r>
          </w:p>
        </w:tc>
      </w:tr>
      <w:tr w14:paraId="12748C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377" w:type="dxa"/>
            <w:gridSpan w:val="2"/>
            <w:vAlign w:val="center"/>
          </w:tcPr>
          <w:p w14:paraId="7AD2213A">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V</m:t>
                    </m:r>
                    <m:ctrlPr>
                      <w:rPr>
                        <w:color w:val="auto"/>
                      </w:rPr>
                    </m:ctrlPr>
                  </m:e>
                  <m:sub>
                    <m:r>
                      <m:rPr/>
                      <w:rPr>
                        <w:color w:val="auto"/>
                      </w:rPr>
                      <m:t>i</m:t>
                    </m:r>
                    <m:ctrlPr>
                      <w:rPr>
                        <w:color w:val="auto"/>
                      </w:rPr>
                    </m:ctrlPr>
                  </m:sub>
                </m:sSub>
              </m:oMath>
            </m:oMathPara>
          </w:p>
        </w:tc>
        <w:tc>
          <w:tcPr>
            <w:tcW w:w="5538" w:type="dxa"/>
            <w:gridSpan w:val="2"/>
            <w:vAlign w:val="center"/>
          </w:tcPr>
          <w:p w14:paraId="2F97D6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Voronoi cell of generator </w:t>
            </w:r>
            <m:oMath>
              <m:r>
                <m:rPr/>
                <w:rPr>
                  <w:color w:val="auto"/>
                </w:rPr>
                <m:t>i</m:t>
              </m:r>
            </m:oMath>
          </w:p>
        </w:tc>
        <w:tc>
          <w:tcPr>
            <w:tcW w:w="1936" w:type="dxa"/>
            <w:gridSpan w:val="2"/>
            <w:vAlign w:val="center"/>
          </w:tcPr>
          <w:p w14:paraId="35503EC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9CD67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bottom w:val="single" w:color="auto" w:sz="0" w:space="0"/>
            </w:tcBorders>
            <w:vAlign w:val="center"/>
          </w:tcPr>
          <w:p w14:paraId="37D8DC3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Symbol</w:t>
            </w:r>
          </w:p>
        </w:tc>
        <w:tc>
          <w:tcPr>
            <w:tcW w:w="0" w:type="auto"/>
            <w:gridSpan w:val="4"/>
            <w:tcBorders>
              <w:bottom w:val="single" w:color="auto" w:sz="0" w:space="0"/>
            </w:tcBorders>
            <w:vAlign w:val="center"/>
          </w:tcPr>
          <w:p w14:paraId="305B7F8C">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c>
          <w:tcPr>
            <w:tcW w:w="1266" w:type="dxa"/>
            <w:tcBorders>
              <w:bottom w:val="single" w:color="auto" w:sz="0" w:space="0"/>
            </w:tcBorders>
            <w:vAlign w:val="center"/>
          </w:tcPr>
          <w:p w14:paraId="78D7882A">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Units</w:t>
            </w:r>
          </w:p>
        </w:tc>
      </w:tr>
      <w:tr w14:paraId="08BDA73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1C3C464E">
            <w:pPr>
              <w:pStyle w:val="24"/>
              <w:snapToGrid w:val="0"/>
              <w:spacing w:before="0" w:after="0"/>
              <w:ind w:left="0" w:leftChars="0" w:right="0" w:rightChars="0" w:firstLineChars="0"/>
              <w:jc w:val="left"/>
              <w:rPr>
                <w:color w:val="auto"/>
              </w:rPr>
            </w:pPr>
            <m:oMathPara>
              <m:oMath>
                <m:r>
                  <m:rPr/>
                  <w:rPr>
                    <w:color w:val="auto"/>
                  </w:rPr>
                  <m:t>α</m:t>
                </m:r>
              </m:oMath>
            </m:oMathPara>
          </w:p>
        </w:tc>
        <w:tc>
          <w:tcPr>
            <w:tcW w:w="0" w:type="auto"/>
            <w:gridSpan w:val="4"/>
            <w:vAlign w:val="center"/>
          </w:tcPr>
          <w:p w14:paraId="223B8BE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Tanh transition steepness parameter</w:t>
            </w:r>
          </w:p>
        </w:tc>
        <w:tc>
          <w:tcPr>
            <w:tcW w:w="1266" w:type="dxa"/>
            <w:vAlign w:val="center"/>
          </w:tcPr>
          <w:p w14:paraId="6BDEFDC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m⁻¹</w:t>
            </w:r>
          </w:p>
        </w:tc>
      </w:tr>
      <w:tr w14:paraId="26D763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372C8B8A">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δ</m:t>
                    </m:r>
                    <m:ctrlPr>
                      <w:rPr>
                        <w:color w:val="auto"/>
                      </w:rPr>
                    </m:ctrlPr>
                  </m:e>
                  <m:sub>
                    <m:r>
                      <m:rPr/>
                      <w:rPr>
                        <w:color w:val="auto"/>
                      </w:rPr>
                      <m:t>i</m:t>
                    </m:r>
                    <m:ctrlPr>
                      <w:rPr>
                        <w:color w:val="auto"/>
                      </w:rPr>
                    </m:ctrlPr>
                  </m:sub>
                </m:sSub>
              </m:oMath>
            </m:oMathPara>
          </w:p>
        </w:tc>
        <w:tc>
          <w:tcPr>
            <w:tcW w:w="0" w:type="auto"/>
            <w:gridSpan w:val="4"/>
            <w:vAlign w:val="center"/>
          </w:tcPr>
          <w:p w14:paraId="75BFA4D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Diagonal dominance ratio </w:t>
            </w:r>
            <m:oMath>
              <m:r>
                <m:rPr/>
                <w:rPr>
                  <w:color w:val="auto"/>
                </w:rPr>
                <m:t>|</m:t>
              </m:r>
              <m:sSub>
                <m:sSubPr>
                  <m:ctrlPr>
                    <w:rPr>
                      <w:color w:val="auto"/>
                    </w:rPr>
                  </m:ctrlPr>
                </m:sSubPr>
                <m:e>
                  <m:r>
                    <m:rPr/>
                    <w:rPr>
                      <w:color w:val="auto"/>
                    </w:rPr>
                    <m:t>a</m:t>
                  </m:r>
                  <m:ctrlPr>
                    <w:rPr>
                      <w:color w:val="auto"/>
                    </w:rPr>
                  </m:ctrlPr>
                </m:e>
                <m:sub>
                  <m:r>
                    <m:rPr/>
                    <w:rPr>
                      <w:color w:val="auto"/>
                    </w:rPr>
                    <m:t>ii</m:t>
                  </m:r>
                  <m:ctrlPr>
                    <w:rPr>
                      <w:color w:val="auto"/>
                    </w:rPr>
                  </m:ctrlPr>
                </m:sub>
              </m:sSub>
              <m:r>
                <m:rPr/>
                <w:rPr>
                  <w:color w:val="auto"/>
                </w:rPr>
                <m:t>|/</m:t>
              </m:r>
              <m:nary>
                <m:naryPr>
                  <m:chr m:val="∑"/>
                  <m:limLoc m:val="undOvr"/>
                  <m:supHide m:val="1"/>
                  <m:ctrlPr>
                    <w:rPr>
                      <w:color w:val="auto"/>
                    </w:rPr>
                  </m:ctrlPr>
                </m:naryPr>
                <m:sub>
                  <m:r>
                    <m:rPr/>
                    <w:rPr>
                      <w:color w:val="auto"/>
                    </w:rPr>
                    <m:t>j≠i</m:t>
                  </m:r>
                  <m:ctrlPr>
                    <w:rPr>
                      <w:color w:val="auto"/>
                    </w:rPr>
                  </m:ctrlPr>
                </m:sub>
                <m:sup>
                  <m:r>
                    <m:rPr/>
                    <w:rPr>
                      <w:color w:val="auto"/>
                    </w:rPr>
                    <m:t>​</m:t>
                  </m:r>
                  <m:ctrlPr>
                    <w:rPr>
                      <w:color w:val="auto"/>
                    </w:rPr>
                  </m:ctrlPr>
                </m:sup>
                <m:e>
                  <m:r>
                    <m:rPr/>
                    <w:rPr>
                      <w:color w:val="auto"/>
                    </w:rPr>
                    <m:t>|</m:t>
                  </m:r>
                  <m:ctrlPr>
                    <w:rPr>
                      <w:color w:val="auto"/>
                    </w:rPr>
                  </m:ctrlPr>
                </m:e>
              </m:nary>
              <m:sSub>
                <m:sSubPr>
                  <m:ctrlPr>
                    <w:rPr>
                      <w:color w:val="auto"/>
                    </w:rPr>
                  </m:ctrlPr>
                </m:sSubPr>
                <m:e>
                  <m:r>
                    <m:rPr/>
                    <w:rPr>
                      <w:color w:val="auto"/>
                    </w:rPr>
                    <m:t>a</m:t>
                  </m:r>
                  <m:ctrlPr>
                    <w:rPr>
                      <w:color w:val="auto"/>
                    </w:rPr>
                  </m:ctrlPr>
                </m:e>
                <m:sub>
                  <m:r>
                    <m:rPr/>
                    <w:rPr>
                      <w:color w:val="auto"/>
                    </w:rPr>
                    <m:t>ij</m:t>
                  </m:r>
                  <m:ctrlPr>
                    <w:rPr>
                      <w:color w:val="auto"/>
                    </w:rPr>
                  </m:ctrlPr>
                </m:sub>
              </m:sSub>
              <m:r>
                <m:rPr/>
                <w:rPr>
                  <w:color w:val="auto"/>
                </w:rPr>
                <m:t>|</m:t>
              </m:r>
            </m:oMath>
          </w:p>
        </w:tc>
        <w:tc>
          <w:tcPr>
            <w:tcW w:w="1266" w:type="dxa"/>
            <w:vAlign w:val="center"/>
          </w:tcPr>
          <w:p w14:paraId="0723F41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3D778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E38E0E8">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ε</m:t>
                    </m:r>
                    <m:ctrlPr>
                      <w:rPr>
                        <w:color w:val="auto"/>
                      </w:rPr>
                    </m:ctrlPr>
                  </m:e>
                  <m:sub>
                    <m:r>
                      <m:rPr>
                        <m:nor/>
                        <m:sty m:val="p"/>
                      </m:rPr>
                      <w:rPr>
                        <w:b w:val="0"/>
                        <w:i w:val="0"/>
                        <w:color w:val="auto"/>
                      </w:rPr>
                      <m:t>str</m:t>
                    </m:r>
                    <m:ctrlPr>
                      <w:rPr>
                        <w:color w:val="auto"/>
                      </w:rPr>
                    </m:ctrlPr>
                  </m:sub>
                </m:sSub>
              </m:oMath>
            </m:oMathPara>
          </w:p>
        </w:tc>
        <w:tc>
          <w:tcPr>
            <w:tcW w:w="0" w:type="auto"/>
            <w:gridSpan w:val="4"/>
            <w:vAlign w:val="center"/>
          </w:tcPr>
          <w:p w14:paraId="54DFF5FC">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SA-AMG strong-coupling threshold</w:t>
            </w:r>
          </w:p>
        </w:tc>
        <w:tc>
          <w:tcPr>
            <w:tcW w:w="1266" w:type="dxa"/>
            <w:vAlign w:val="center"/>
          </w:tcPr>
          <w:p w14:paraId="262C42E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52DF7D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858FC72">
            <w:pPr>
              <w:pStyle w:val="24"/>
              <w:snapToGrid w:val="0"/>
              <w:spacing w:before="0" w:after="0"/>
              <w:ind w:left="0" w:leftChars="0" w:right="0" w:rightChars="0" w:firstLineChars="0"/>
              <w:jc w:val="left"/>
              <w:rPr>
                <w:color w:val="auto"/>
              </w:rPr>
            </w:pPr>
            <m:oMathPara>
              <m:oMath>
                <m:r>
                  <m:rPr/>
                  <w:rPr>
                    <w:color w:val="auto"/>
                  </w:rPr>
                  <m:t>η</m:t>
                </m:r>
              </m:oMath>
            </m:oMathPara>
          </w:p>
        </w:tc>
        <w:tc>
          <w:tcPr>
            <w:tcW w:w="0" w:type="auto"/>
            <w:gridSpan w:val="4"/>
            <w:vAlign w:val="center"/>
          </w:tcPr>
          <w:p w14:paraId="0E41BDA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Computation–communication overlap efficiency</w:t>
            </w:r>
          </w:p>
        </w:tc>
        <w:tc>
          <w:tcPr>
            <w:tcW w:w="1266" w:type="dxa"/>
            <w:vAlign w:val="center"/>
          </w:tcPr>
          <w:p w14:paraId="75EFAF0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4502152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2AFA3FC7">
            <w:pPr>
              <w:pStyle w:val="24"/>
              <w:snapToGrid w:val="0"/>
              <w:spacing w:before="0" w:after="0"/>
              <w:ind w:left="0" w:leftChars="0" w:right="0" w:rightChars="0" w:firstLineChars="0"/>
              <w:jc w:val="left"/>
              <w:rPr>
                <w:color w:val="auto"/>
              </w:rPr>
            </w:pPr>
            <m:oMathPara>
              <m:oMath>
                <m:r>
                  <m:rPr/>
                  <w:rPr>
                    <w:color w:val="auto"/>
                  </w:rPr>
                  <m:t>θ</m:t>
                </m:r>
              </m:oMath>
            </m:oMathPara>
          </w:p>
        </w:tc>
        <w:tc>
          <w:tcPr>
            <w:tcW w:w="0" w:type="auto"/>
            <w:gridSpan w:val="4"/>
            <w:vAlign w:val="center"/>
          </w:tcPr>
          <w:p w14:paraId="508280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K-orthogonality deviation angle</w:t>
            </w:r>
          </w:p>
        </w:tc>
        <w:tc>
          <w:tcPr>
            <w:tcW w:w="1266" w:type="dxa"/>
            <w:vAlign w:val="center"/>
          </w:tcPr>
          <w:p w14:paraId="77616C7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degrees</w:t>
            </w:r>
          </w:p>
        </w:tc>
      </w:tr>
      <w:tr w14:paraId="0188F85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0997900E">
            <w:pPr>
              <w:pStyle w:val="24"/>
              <w:snapToGrid w:val="0"/>
              <w:spacing w:before="0" w:after="0"/>
              <w:ind w:left="0" w:leftChars="0" w:right="0" w:rightChars="0" w:firstLineChars="0"/>
              <w:jc w:val="left"/>
              <w:rPr>
                <w:color w:val="auto"/>
              </w:rPr>
            </w:pPr>
            <m:oMathPara>
              <m:oMath>
                <m:r>
                  <m:rPr/>
                  <w:rPr>
                    <w:color w:val="auto"/>
                  </w:rPr>
                  <m:t>κ(A)</m:t>
                </m:r>
              </m:oMath>
            </m:oMathPara>
          </w:p>
        </w:tc>
        <w:tc>
          <w:tcPr>
            <w:tcW w:w="0" w:type="auto"/>
            <w:gridSpan w:val="4"/>
            <w:vAlign w:val="center"/>
          </w:tcPr>
          <w:p w14:paraId="16CB9A2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Condition number of matrix </w:t>
            </w:r>
            <m:oMath>
              <m:r>
                <m:rPr/>
                <w:rPr>
                  <w:color w:val="auto"/>
                </w:rPr>
                <m:t>A</m:t>
              </m:r>
            </m:oMath>
          </w:p>
        </w:tc>
        <w:tc>
          <w:tcPr>
            <w:tcW w:w="1266" w:type="dxa"/>
            <w:vAlign w:val="center"/>
          </w:tcPr>
          <w:p w14:paraId="68D7B69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395A24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70C5B34F">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μ</m:t>
                    </m:r>
                    <m:ctrlPr>
                      <w:rPr>
                        <w:color w:val="auto"/>
                      </w:rPr>
                    </m:ctrlPr>
                  </m:e>
                  <m:sub>
                    <m:r>
                      <m:rPr/>
                      <w:rPr>
                        <w:color w:val="auto"/>
                      </w:rPr>
                      <m:t>p</m:t>
                    </m:r>
                    <m:ctrlPr>
                      <w:rPr>
                        <w:color w:val="auto"/>
                      </w:rPr>
                    </m:ctrlPr>
                  </m:sub>
                </m:sSub>
              </m:oMath>
            </m:oMathPara>
          </w:p>
        </w:tc>
        <w:tc>
          <w:tcPr>
            <w:tcW w:w="0" w:type="auto"/>
            <w:gridSpan w:val="4"/>
            <w:vAlign w:val="center"/>
          </w:tcPr>
          <w:p w14:paraId="2128F7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Viscosity of phase </w:t>
            </w:r>
            <m:oMath>
              <m:r>
                <m:rPr/>
                <w:rPr>
                  <w:color w:val="auto"/>
                </w:rPr>
                <m:t>p</m:t>
              </m:r>
            </m:oMath>
          </w:p>
        </w:tc>
        <w:tc>
          <w:tcPr>
            <w:tcW w:w="1266" w:type="dxa"/>
            <w:vAlign w:val="center"/>
          </w:tcPr>
          <w:p w14:paraId="11D8309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w:t>
            </w:r>
          </w:p>
        </w:tc>
      </w:tr>
      <w:tr w14:paraId="176F417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6993682E">
            <w:pPr>
              <w:pStyle w:val="24"/>
              <w:snapToGrid w:val="0"/>
              <w:spacing w:before="0" w:after="0"/>
              <w:ind w:left="0" w:leftChars="0" w:right="0" w:rightChars="0" w:firstLineChars="0"/>
              <w:jc w:val="left"/>
              <w:rPr>
                <w:color w:val="auto"/>
              </w:rPr>
            </w:pPr>
            <m:oMathPara>
              <m:oMath>
                <m:sSub>
                  <m:sSubPr>
                    <m:ctrlPr>
                      <w:rPr>
                        <w:color w:val="auto"/>
                      </w:rPr>
                    </m:ctrlPr>
                  </m:sSubPr>
                  <m:e>
                    <m:r>
                      <m:rPr/>
                      <w:rPr>
                        <w:color w:val="auto"/>
                      </w:rPr>
                      <m:t>ρ</m:t>
                    </m:r>
                    <m:ctrlPr>
                      <w:rPr>
                        <w:color w:val="auto"/>
                      </w:rPr>
                    </m:ctrlPr>
                  </m:e>
                  <m:sub>
                    <m:r>
                      <m:rPr/>
                      <w:rPr>
                        <w:color w:val="auto"/>
                      </w:rPr>
                      <m:t>p</m:t>
                    </m:r>
                    <m:ctrlPr>
                      <w:rPr>
                        <w:color w:val="auto"/>
                      </w:rPr>
                    </m:ctrlPr>
                  </m:sub>
                </m:sSub>
              </m:oMath>
            </m:oMathPara>
          </w:p>
        </w:tc>
        <w:tc>
          <w:tcPr>
            <w:tcW w:w="0" w:type="auto"/>
            <w:gridSpan w:val="4"/>
            <w:vAlign w:val="center"/>
          </w:tcPr>
          <w:p w14:paraId="7ECA7B7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 xml:space="preserve">Density of phase </w:t>
            </w:r>
            <m:oMath>
              <m:r>
                <m:rPr/>
                <w:rPr>
                  <w:color w:val="auto"/>
                </w:rPr>
                <m:t>p</m:t>
              </m:r>
            </m:oMath>
          </w:p>
        </w:tc>
        <w:tc>
          <w:tcPr>
            <w:tcW w:w="1266" w:type="dxa"/>
            <w:vAlign w:val="center"/>
          </w:tcPr>
          <w:p w14:paraId="04AF614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kg/m³</w:t>
            </w:r>
          </w:p>
        </w:tc>
      </w:tr>
      <w:tr w14:paraId="3100FD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vAlign w:val="center"/>
          </w:tcPr>
          <w:p w14:paraId="59E1D057">
            <w:pPr>
              <w:pStyle w:val="24"/>
              <w:snapToGrid w:val="0"/>
              <w:spacing w:before="0" w:after="0"/>
              <w:ind w:left="0" w:leftChars="0" w:right="0" w:rightChars="0" w:firstLineChars="0"/>
              <w:jc w:val="left"/>
              <w:rPr>
                <w:color w:val="auto"/>
              </w:rPr>
            </w:pPr>
            <m:oMathPara>
              <m:oMath>
                <m:r>
                  <m:rPr/>
                  <w:rPr>
                    <w:color w:val="auto"/>
                  </w:rPr>
                  <m:t>ϕ</m:t>
                </m:r>
              </m:oMath>
            </m:oMathPara>
          </w:p>
        </w:tc>
        <w:tc>
          <w:tcPr>
            <w:tcW w:w="0" w:type="auto"/>
            <w:gridSpan w:val="4"/>
            <w:vAlign w:val="center"/>
          </w:tcPr>
          <w:p w14:paraId="13C1897F">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Porosity</w:t>
            </w:r>
          </w:p>
        </w:tc>
        <w:tc>
          <w:tcPr>
            <w:tcW w:w="1266" w:type="dxa"/>
            <w:vAlign w:val="center"/>
          </w:tcPr>
          <w:p w14:paraId="6D1FF1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67F0247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214" w:type="dxa"/>
            <w:vAlign w:val="center"/>
          </w:tcPr>
          <w:p w14:paraId="57956EF0">
            <w:pPr>
              <w:pStyle w:val="24"/>
              <w:snapToGrid w:val="0"/>
              <w:spacing w:before="0" w:after="0"/>
              <w:ind w:left="0" w:leftChars="0" w:right="0" w:rightChars="0" w:firstLineChars="0"/>
              <w:jc w:val="left"/>
              <w:rPr>
                <w:color w:val="auto"/>
              </w:rPr>
            </w:pPr>
            <m:oMathPara>
              <m:oMath>
                <m:r>
                  <m:rPr/>
                  <w:rPr>
                    <w:color w:val="auto"/>
                  </w:rPr>
                  <m:t>ω</m:t>
                </m:r>
              </m:oMath>
            </m:oMathPara>
          </w:p>
        </w:tc>
        <w:tc>
          <w:tcPr>
            <w:tcW w:w="6371" w:type="dxa"/>
            <w:gridSpan w:val="4"/>
            <w:vAlign w:val="center"/>
          </w:tcPr>
          <w:p w14:paraId="2A7CE17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Damped Jacobi smoothing parameter</w:t>
            </w:r>
          </w:p>
        </w:tc>
        <w:tc>
          <w:tcPr>
            <w:tcW w:w="1266" w:type="dxa"/>
            <w:vAlign w:val="center"/>
          </w:tcPr>
          <w:p w14:paraId="50FB214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w:t>
            </w:r>
          </w:p>
        </w:tc>
      </w:tr>
      <w:tr w14:paraId="037DF4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73" w:type="dxa"/>
            <w:gridSpan w:val="3"/>
            <w:tcBorders>
              <w:bottom w:val="single" w:color="auto" w:sz="0" w:space="0"/>
            </w:tcBorders>
            <w:vAlign w:val="center"/>
          </w:tcPr>
          <w:p w14:paraId="49D748D7">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Abbreviation</w:t>
            </w:r>
          </w:p>
        </w:tc>
        <w:tc>
          <w:tcPr>
            <w:tcW w:w="6978" w:type="dxa"/>
            <w:gridSpan w:val="3"/>
            <w:tcBorders>
              <w:bottom w:val="single" w:color="auto" w:sz="0" w:space="0"/>
            </w:tcBorders>
            <w:vAlign w:val="center"/>
          </w:tcPr>
          <w:p w14:paraId="38A1A0E8">
            <w:pPr>
              <w:pStyle w:val="24"/>
              <w:snapToGrid w:val="0"/>
              <w:spacing w:before="0" w:after="0"/>
              <w:ind w:left="0" w:leftChars="0" w:right="0" w:rightChars="0" w:firstLineChars="0"/>
              <w:jc w:val="left"/>
              <w:rPr>
                <w:b/>
                <w:color w:val="auto"/>
              </w:rPr>
            </w:pPr>
            <w:r>
              <w:rPr>
                <w:rFonts w:ascii="Times New Roman" w:hAnsi="Times New Roman" w:cs="Times New Roman"/>
                <w:b/>
                <w:bCs/>
                <w:color w:val="auto"/>
                <w:sz w:val="20"/>
                <w:szCs w:val="20"/>
              </w:rPr>
              <w:t>Meaning</w:t>
            </w:r>
          </w:p>
        </w:tc>
      </w:tr>
      <w:tr w14:paraId="32D917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ED36E2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AMG</w:t>
            </w:r>
          </w:p>
        </w:tc>
        <w:tc>
          <w:tcPr>
            <w:tcW w:w="6978" w:type="dxa"/>
            <w:gridSpan w:val="3"/>
            <w:vAlign w:val="center"/>
          </w:tcPr>
          <w:p w14:paraId="1FCBA62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Algebraic Multigrid</w:t>
            </w:r>
          </w:p>
        </w:tc>
      </w:tr>
      <w:tr w14:paraId="76AAEA0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5D56B0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Block-ILU(0)</w:t>
            </w:r>
          </w:p>
        </w:tc>
        <w:tc>
          <w:tcPr>
            <w:tcW w:w="6978" w:type="dxa"/>
            <w:gridSpan w:val="3"/>
            <w:vAlign w:val="center"/>
          </w:tcPr>
          <w:p w14:paraId="5C6A393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Block Incomplete Lower-Upper factorization (zero fill)</w:t>
            </w:r>
          </w:p>
        </w:tc>
      </w:tr>
      <w:tr w14:paraId="5C36601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BDEEE0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CPR</w:t>
            </w:r>
          </w:p>
        </w:tc>
        <w:tc>
          <w:tcPr>
            <w:tcW w:w="6978" w:type="dxa"/>
            <w:gridSpan w:val="3"/>
            <w:vAlign w:val="center"/>
          </w:tcPr>
          <w:p w14:paraId="7D98559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Constrained Pressure Residual</w:t>
            </w:r>
          </w:p>
        </w:tc>
      </w:tr>
      <w:tr w14:paraId="6613AF7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E1218A2">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DFN</w:t>
            </w:r>
          </w:p>
        </w:tc>
        <w:tc>
          <w:tcPr>
            <w:tcW w:w="6978" w:type="dxa"/>
            <w:gridSpan w:val="3"/>
            <w:vAlign w:val="center"/>
          </w:tcPr>
          <w:p w14:paraId="310F73E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Discrete Fracture Network</w:t>
            </w:r>
          </w:p>
        </w:tc>
      </w:tr>
      <w:tr w14:paraId="60FE41E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873339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EDFM</w:t>
            </w:r>
          </w:p>
        </w:tc>
        <w:tc>
          <w:tcPr>
            <w:tcW w:w="6978" w:type="dxa"/>
            <w:gridSpan w:val="3"/>
            <w:vAlign w:val="center"/>
          </w:tcPr>
          <w:p w14:paraId="0BE2A83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Embedded Discrete Fracture Model</w:t>
            </w:r>
          </w:p>
        </w:tc>
      </w:tr>
      <w:tr w14:paraId="2EB8F4E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355AA8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GMRES</w:t>
            </w:r>
          </w:p>
        </w:tc>
        <w:tc>
          <w:tcPr>
            <w:tcW w:w="6978" w:type="dxa"/>
            <w:gridSpan w:val="3"/>
            <w:vAlign w:val="center"/>
          </w:tcPr>
          <w:p w14:paraId="53C93E3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Generalized Minimum Residual</w:t>
            </w:r>
          </w:p>
        </w:tc>
      </w:tr>
      <w:tr w14:paraId="1CC76E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85FEE56">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LGR</w:t>
            </w:r>
          </w:p>
        </w:tc>
        <w:tc>
          <w:tcPr>
            <w:tcW w:w="6978" w:type="dxa"/>
            <w:gridSpan w:val="3"/>
            <w:vAlign w:val="center"/>
          </w:tcPr>
          <w:p w14:paraId="0AF5592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Local Grid Refinement</w:t>
            </w:r>
          </w:p>
        </w:tc>
      </w:tr>
      <w:tr w14:paraId="7DF5DE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23E1AD7">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MC</w:t>
            </w:r>
          </w:p>
        </w:tc>
        <w:tc>
          <w:tcPr>
            <w:tcW w:w="6978" w:type="dxa"/>
            <w:gridSpan w:val="3"/>
            <w:vAlign w:val="center"/>
          </w:tcPr>
          <w:p w14:paraId="33E9A02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Monte Carlo</w:t>
            </w:r>
          </w:p>
        </w:tc>
      </w:tr>
      <w:tr w14:paraId="437AA9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49CFBF7D">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MPI</w:t>
            </w:r>
          </w:p>
        </w:tc>
        <w:tc>
          <w:tcPr>
            <w:tcW w:w="6978" w:type="dxa"/>
            <w:gridSpan w:val="3"/>
            <w:vAlign w:val="center"/>
          </w:tcPr>
          <w:p w14:paraId="34041DE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Message Passing Interface</w:t>
            </w:r>
          </w:p>
        </w:tc>
      </w:tr>
      <w:tr w14:paraId="1413504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AC897B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NNC</w:t>
            </w:r>
          </w:p>
        </w:tc>
        <w:tc>
          <w:tcPr>
            <w:tcW w:w="6978" w:type="dxa"/>
            <w:gridSpan w:val="3"/>
            <w:vAlign w:val="center"/>
          </w:tcPr>
          <w:p w14:paraId="61C6C641">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Non-Neighboring Connection</w:t>
            </w:r>
          </w:p>
        </w:tc>
      </w:tr>
      <w:tr w14:paraId="2FD95A1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676E8F19">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PEBI</w:t>
            </w:r>
          </w:p>
        </w:tc>
        <w:tc>
          <w:tcPr>
            <w:tcW w:w="6978" w:type="dxa"/>
            <w:gridSpan w:val="3"/>
            <w:vAlign w:val="center"/>
          </w:tcPr>
          <w:p w14:paraId="35217DF0">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Perpendicular Bisector</w:t>
            </w:r>
          </w:p>
        </w:tc>
      </w:tr>
      <w:tr w14:paraId="1CCAA52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537FFBA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RTA</w:t>
            </w:r>
          </w:p>
        </w:tc>
        <w:tc>
          <w:tcPr>
            <w:tcW w:w="6978" w:type="dxa"/>
            <w:gridSpan w:val="3"/>
            <w:vAlign w:val="center"/>
          </w:tcPr>
          <w:p w14:paraId="773A9FC4">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Rate Transient Analysis</w:t>
            </w:r>
          </w:p>
        </w:tc>
      </w:tr>
      <w:tr w14:paraId="698B7EF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0D6242D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SA</w:t>
            </w:r>
          </w:p>
        </w:tc>
        <w:tc>
          <w:tcPr>
            <w:tcW w:w="6978" w:type="dxa"/>
            <w:gridSpan w:val="3"/>
            <w:vAlign w:val="center"/>
          </w:tcPr>
          <w:p w14:paraId="5CD1FC0A">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Smoothed Aggregation</w:t>
            </w:r>
          </w:p>
        </w:tc>
      </w:tr>
      <w:tr w14:paraId="2C6163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171362AE">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SPE</w:t>
            </w:r>
          </w:p>
        </w:tc>
        <w:tc>
          <w:tcPr>
            <w:tcW w:w="6978" w:type="dxa"/>
            <w:gridSpan w:val="3"/>
            <w:vAlign w:val="center"/>
          </w:tcPr>
          <w:p w14:paraId="2FDC374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Society of Petroleum Engineers</w:t>
            </w:r>
          </w:p>
        </w:tc>
      </w:tr>
      <w:tr w14:paraId="2EAAE9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F6A4105">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SRV</w:t>
            </w:r>
          </w:p>
        </w:tc>
        <w:tc>
          <w:tcPr>
            <w:tcW w:w="6978" w:type="dxa"/>
            <w:gridSpan w:val="3"/>
            <w:vAlign w:val="center"/>
          </w:tcPr>
          <w:p w14:paraId="1FED295B">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Stimulated Reservoir Volume</w:t>
            </w:r>
          </w:p>
        </w:tc>
      </w:tr>
      <w:tr w14:paraId="42CD7E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873" w:type="dxa"/>
            <w:gridSpan w:val="3"/>
            <w:vAlign w:val="center"/>
          </w:tcPr>
          <w:p w14:paraId="2CF3AA63">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TPFA</w:t>
            </w:r>
          </w:p>
        </w:tc>
        <w:tc>
          <w:tcPr>
            <w:tcW w:w="6978" w:type="dxa"/>
            <w:gridSpan w:val="3"/>
            <w:vAlign w:val="center"/>
          </w:tcPr>
          <w:p w14:paraId="499F3F58">
            <w:pPr>
              <w:pStyle w:val="24"/>
              <w:snapToGrid w:val="0"/>
              <w:spacing w:before="0" w:after="0"/>
              <w:ind w:left="0" w:leftChars="0" w:right="0" w:rightChars="0" w:firstLineChars="0"/>
              <w:jc w:val="left"/>
              <w:rPr>
                <w:color w:val="auto"/>
              </w:rPr>
            </w:pPr>
            <w:r>
              <w:rPr>
                <w:rFonts w:ascii="Times New Roman" w:hAnsi="Times New Roman" w:cs="Times New Roman"/>
                <w:color w:val="auto"/>
                <w:sz w:val="20"/>
                <w:szCs w:val="20"/>
              </w:rPr>
              <w:t>Two-Point Flux Approximation</w:t>
            </w:r>
          </w:p>
        </w:tc>
      </w:tr>
    </w:tbl>
    <w:p w14:paraId="3B842A7B"/>
    <w:sectPr>
      <w:pgSz w:w="11906" w:h="16838"/>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315DCA"/>
    <w:multiLevelType w:val="multilevel"/>
    <w:tmpl w:val="71315DCA"/>
    <w:lvl w:ilvl="0" w:tentative="0">
      <w:start w:val="1"/>
      <w:numFmt w:val="decimal"/>
      <w:lvlText w:val="%1."/>
      <w:lvlJc w:val="left"/>
      <w:pPr>
        <w:tabs>
          <w:tab w:val="left" w:pos="0"/>
        </w:tabs>
        <w:ind w:left="480" w:hanging="480"/>
      </w:pPr>
    </w:lvl>
    <w:lvl w:ilvl="1" w:tentative="0">
      <w:start w:val="1"/>
      <w:numFmt w:val="decimal"/>
      <w:lvlText w:val="%2."/>
      <w:lvlJc w:val="left"/>
      <w:pPr>
        <w:tabs>
          <w:tab w:val="left" w:pos="720"/>
        </w:tabs>
        <w:ind w:left="1200" w:hanging="480"/>
      </w:pPr>
    </w:lvl>
    <w:lvl w:ilvl="2" w:tentative="0">
      <w:start w:val="1"/>
      <w:numFmt w:val="decimal"/>
      <w:lvlText w:val="%3."/>
      <w:lvlJc w:val="left"/>
      <w:pPr>
        <w:tabs>
          <w:tab w:val="left" w:pos="1440"/>
        </w:tabs>
        <w:ind w:left="1920" w:hanging="480"/>
      </w:pPr>
    </w:lvl>
    <w:lvl w:ilvl="3" w:tentative="0">
      <w:start w:val="1"/>
      <w:numFmt w:val="decimal"/>
      <w:lvlText w:val="%4."/>
      <w:lvlJc w:val="left"/>
      <w:pPr>
        <w:tabs>
          <w:tab w:val="left" w:pos="2160"/>
        </w:tabs>
        <w:ind w:left="2640" w:hanging="480"/>
      </w:pPr>
    </w:lvl>
    <w:lvl w:ilvl="4" w:tentative="0">
      <w:start w:val="1"/>
      <w:numFmt w:val="decimal"/>
      <w:lvlText w:val="%5."/>
      <w:lvlJc w:val="left"/>
      <w:pPr>
        <w:tabs>
          <w:tab w:val="left" w:pos="2880"/>
        </w:tabs>
        <w:ind w:left="3360" w:hanging="480"/>
      </w:pPr>
    </w:lvl>
    <w:lvl w:ilvl="5" w:tentative="0">
      <w:start w:val="1"/>
      <w:numFmt w:val="decimal"/>
      <w:lvlText w:val="%6."/>
      <w:lvlJc w:val="left"/>
      <w:pPr>
        <w:tabs>
          <w:tab w:val="left" w:pos="3600"/>
        </w:tabs>
        <w:ind w:left="4080" w:hanging="480"/>
      </w:pPr>
    </w:lvl>
    <w:lvl w:ilvl="6" w:tentative="0">
      <w:start w:val="1"/>
      <w:numFmt w:val="decimal"/>
      <w:lvlText w:val="%7."/>
      <w:lvlJc w:val="left"/>
      <w:pPr>
        <w:tabs>
          <w:tab w:val="left" w:pos="4320"/>
        </w:tabs>
        <w:ind w:left="4800" w:hanging="480"/>
      </w:pPr>
    </w:lvl>
    <w:lvl w:ilvl="7" w:tentative="0">
      <w:start w:val="1"/>
      <w:numFmt w:val="decimal"/>
      <w:lvlText w:val="%8."/>
      <w:lvlJc w:val="left"/>
      <w:pPr>
        <w:tabs>
          <w:tab w:val="left" w:pos="5040"/>
        </w:tabs>
        <w:ind w:left="5520" w:hanging="480"/>
      </w:pPr>
    </w:lvl>
    <w:lvl w:ilvl="8" w:tentative="0">
      <w:start w:val="1"/>
      <w:numFmt w:val="decimal"/>
      <w:lvlText w:val="%9."/>
      <w:lvlJc w:val="left"/>
      <w:pPr>
        <w:tabs>
          <w:tab w:val="left" w:pos="5760"/>
        </w:tabs>
        <w:ind w:left="6240" w:hanging="4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1BEA004A"/>
    <w:rsid w:val="2E8066CA"/>
    <w:rsid w:val="3CDB6E6B"/>
    <w:rsid w:val="4404213C"/>
    <w:rsid w:val="69344C1E"/>
    <w:rsid w:val="6AE94263"/>
    <w:rsid w:val="71E9219F"/>
    <w:rsid w:val="72DB0834"/>
    <w:rsid w:val="798017B9"/>
    <w:rsid w:val="7BE171C4"/>
    <w:rsid w:val="7D4C298C"/>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ind w:firstLine="720"/>
      <w:jc w:val="both"/>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0"/>
    <w:pPr>
      <w:spacing w:before="360" w:after="120"/>
      <w:jc w:val="left"/>
    </w:pPr>
    <w:rPr>
      <w:rFonts w:ascii="Times New Roman" w:hAnsi="Times New Roman"/>
      <w:b/>
      <w:bCs/>
      <w:sz w:val="28"/>
      <w:szCs w:val="28"/>
    </w:rPr>
  </w:style>
  <w:style w:type="paragraph" w:styleId="4">
    <w:name w:val="heading 2"/>
    <w:basedOn w:val="1"/>
    <w:next w:val="3"/>
    <w:qFormat/>
    <w:uiPriority w:val="0"/>
    <w:pPr>
      <w:spacing w:before="240" w:after="120"/>
      <w:jc w:val="left"/>
    </w:pPr>
    <w:rPr>
      <w:rFonts w:ascii="Times New Roman" w:hAnsi="Times New Roman"/>
      <w:b/>
      <w:bCs/>
      <w:sz w:val="24"/>
      <w:szCs w:val="24"/>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uiPriority w:val="0"/>
    <w:pPr>
      <w:spacing w:line="360" w:lineRule="auto"/>
      <w:ind w:firstLine="480"/>
      <w:jc w:val="both"/>
    </w:pPr>
    <w:rPr>
      <w:rFonts w:ascii="Times New Roman" w:hAnsi="Times New Roman"/>
      <w:sz w:val="24"/>
      <w:szCs w:val="24"/>
    </w:rPr>
  </w:style>
  <w:style w:type="paragraph" w:styleId="12">
    <w:name w:val="caption"/>
    <w:basedOn w:val="1"/>
    <w:uiPriority w:val="0"/>
    <w:pPr>
      <w:spacing w:before="120" w:after="120"/>
      <w:jc w:val="center"/>
    </w:pPr>
    <w:rPr>
      <w:rFonts w:ascii="Times New Roman" w:hAnsi="Times New Roman"/>
      <w:sz w:val="20"/>
      <w:szCs w:val="20"/>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qFormat/>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pPr>
      <w:spacing w:before="0" w:after="120"/>
      <w:ind w:firstLine="720"/>
      <w:jc w:val="both"/>
    </w:pPr>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w:basedOn w:val="1"/>
    <w:next w:val="3"/>
    <w:qFormat/>
    <w:uiPriority w:val="0"/>
    <w:pPr>
      <w:keepNext/>
      <w:keepLines/>
      <w:spacing w:before="300" w:after="300"/>
    </w:pPr>
    <w:rPr>
      <w:sz w:val="20"/>
      <w:szCs w:val="20"/>
    </w:rPr>
  </w:style>
  <w:style w:type="paragraph" w:customStyle="1" w:styleId="27">
    <w:name w:val="Bibliography"/>
    <w:basedOn w:val="1"/>
    <w:qFormat/>
    <w:uiPriority w:val="0"/>
  </w:style>
  <w:style w:type="table" w:customStyle="1" w:styleId="28">
    <w:name w:val="Table"/>
    <w:semiHidden/>
    <w:unhideWhenUsed/>
    <w:qFormat/>
    <w:uiPriority w:val="0"/>
    <w:tblPr>
      <w:tblCellMar>
        <w:top w:w="0" w:type="dxa"/>
        <w:left w:w="108" w:type="dxa"/>
        <w:bottom w:w="0" w:type="dxa"/>
        <w:right w:w="108" w:type="dxa"/>
      </w:tblCellMar>
    </w:tblPr>
  </w:style>
  <w:style w:type="paragraph" w:customStyle="1" w:styleId="29">
    <w:name w:val="Definition Term"/>
    <w:basedOn w:val="1"/>
    <w:next w:val="30"/>
    <w:qFormat/>
    <w:uiPriority w:val="0"/>
    <w:pPr>
      <w:keepNext/>
      <w:keepLines/>
      <w:spacing w:after="0"/>
    </w:pPr>
    <w:rPr>
      <w:b/>
    </w:rPr>
  </w:style>
  <w:style w:type="paragraph" w:customStyle="1" w:styleId="30">
    <w:name w:val="Definition"/>
    <w:basedOn w:val="1"/>
    <w:qFormat/>
    <w:uiPriority w:val="0"/>
  </w:style>
  <w:style w:type="paragraph" w:customStyle="1" w:styleId="31">
    <w:name w:val="Table Caption"/>
    <w:basedOn w:val="12"/>
    <w:qFormat/>
    <w:uiPriority w:val="0"/>
    <w:pPr>
      <w:keepNext/>
    </w:pPr>
  </w:style>
  <w:style w:type="paragraph" w:customStyle="1" w:styleId="32">
    <w:name w:val="Image Caption"/>
    <w:basedOn w:val="12"/>
    <w:qFormat/>
    <w:uiPriority w:val="0"/>
  </w:style>
  <w:style w:type="paragraph" w:customStyle="1" w:styleId="33">
    <w:name w:val="Figure"/>
    <w:basedOn w:val="1"/>
    <w:qFormat/>
    <w:uiPriority w:val="0"/>
  </w:style>
  <w:style w:type="paragraph" w:customStyle="1" w:styleId="34">
    <w:name w:val="Captioned Figure"/>
    <w:basedOn w:val="33"/>
    <w:qFormat/>
    <w:uiPriority w:val="0"/>
    <w:pPr>
      <w:keepNext/>
    </w:pPr>
  </w:style>
  <w:style w:type="character" w:customStyle="1" w:styleId="35">
    <w:name w:val="Verbatim Char"/>
    <w:basedOn w:val="21"/>
    <w:link w:val="36"/>
    <w:qFormat/>
    <w:uiPriority w:val="0"/>
    <w:rPr>
      <w:rFonts w:ascii="Consolas" w:hAnsi="Consolas"/>
      <w:sz w:val="22"/>
    </w:rPr>
  </w:style>
  <w:style w:type="paragraph" w:customStyle="1" w:styleId="36">
    <w:name w:val="Source Code"/>
    <w:basedOn w:val="1"/>
    <w:link w:val="35"/>
    <w:qFormat/>
    <w:uiPriority w:val="0"/>
    <w:pPr>
      <w:wordWrap w:val="0"/>
    </w:pPr>
  </w:style>
  <w:style w:type="paragraph" w:customStyle="1" w:styleId="37">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38">
    <w:name w:val="KeywordTok"/>
    <w:basedOn w:val="35"/>
    <w:qFormat/>
    <w:uiPriority w:val="0"/>
    <w:rPr>
      <w:b/>
      <w:color w:val="007020"/>
    </w:rPr>
  </w:style>
  <w:style w:type="character" w:customStyle="1" w:styleId="39">
    <w:name w:val="DataTypeTok"/>
    <w:basedOn w:val="35"/>
    <w:qFormat/>
    <w:uiPriority w:val="0"/>
    <w:rPr>
      <w:color w:val="902000"/>
    </w:rPr>
  </w:style>
  <w:style w:type="character" w:customStyle="1" w:styleId="40">
    <w:name w:val="DecValTok"/>
    <w:basedOn w:val="35"/>
    <w:qFormat/>
    <w:uiPriority w:val="0"/>
    <w:rPr>
      <w:color w:val="40A070"/>
    </w:rPr>
  </w:style>
  <w:style w:type="character" w:customStyle="1" w:styleId="41">
    <w:name w:val="BaseNTok"/>
    <w:basedOn w:val="35"/>
    <w:qFormat/>
    <w:uiPriority w:val="0"/>
    <w:rPr>
      <w:color w:val="40A070"/>
    </w:rPr>
  </w:style>
  <w:style w:type="character" w:customStyle="1" w:styleId="42">
    <w:name w:val="FloatTok"/>
    <w:basedOn w:val="35"/>
    <w:qFormat/>
    <w:uiPriority w:val="0"/>
    <w:rPr>
      <w:color w:val="40A070"/>
    </w:rPr>
  </w:style>
  <w:style w:type="character" w:customStyle="1" w:styleId="43">
    <w:name w:val="ConstantTok"/>
    <w:basedOn w:val="35"/>
    <w:qFormat/>
    <w:uiPriority w:val="0"/>
    <w:rPr>
      <w:color w:val="880000"/>
    </w:rPr>
  </w:style>
  <w:style w:type="character" w:customStyle="1" w:styleId="44">
    <w:name w:val="CharTok"/>
    <w:basedOn w:val="35"/>
    <w:qFormat/>
    <w:uiPriority w:val="0"/>
    <w:rPr>
      <w:color w:val="4070A0"/>
    </w:rPr>
  </w:style>
  <w:style w:type="character" w:customStyle="1" w:styleId="45">
    <w:name w:val="SpecialCharTok"/>
    <w:basedOn w:val="35"/>
    <w:qFormat/>
    <w:uiPriority w:val="0"/>
    <w:rPr>
      <w:color w:val="4070A0"/>
    </w:rPr>
  </w:style>
  <w:style w:type="character" w:customStyle="1" w:styleId="46">
    <w:name w:val="StringTok"/>
    <w:basedOn w:val="35"/>
    <w:qFormat/>
    <w:uiPriority w:val="0"/>
    <w:rPr>
      <w:color w:val="4070A0"/>
    </w:rPr>
  </w:style>
  <w:style w:type="character" w:customStyle="1" w:styleId="47">
    <w:name w:val="VerbatimStringTok"/>
    <w:basedOn w:val="35"/>
    <w:qFormat/>
    <w:uiPriority w:val="0"/>
    <w:rPr>
      <w:color w:val="4070A0"/>
    </w:rPr>
  </w:style>
  <w:style w:type="character" w:customStyle="1" w:styleId="48">
    <w:name w:val="SpecialStringTok"/>
    <w:basedOn w:val="35"/>
    <w:qFormat/>
    <w:uiPriority w:val="0"/>
    <w:rPr>
      <w:color w:val="BB6688"/>
    </w:rPr>
  </w:style>
  <w:style w:type="character" w:customStyle="1" w:styleId="49">
    <w:name w:val="ImportTok"/>
    <w:basedOn w:val="35"/>
    <w:qFormat/>
    <w:uiPriority w:val="0"/>
  </w:style>
  <w:style w:type="character" w:customStyle="1" w:styleId="50">
    <w:name w:val="CommentTok"/>
    <w:basedOn w:val="35"/>
    <w:qFormat/>
    <w:uiPriority w:val="0"/>
    <w:rPr>
      <w:i/>
      <w:color w:val="60A0B0"/>
    </w:rPr>
  </w:style>
  <w:style w:type="character" w:customStyle="1" w:styleId="51">
    <w:name w:val="DocumentationTok"/>
    <w:basedOn w:val="35"/>
    <w:qFormat/>
    <w:uiPriority w:val="0"/>
    <w:rPr>
      <w:i/>
      <w:color w:val="BA2121"/>
    </w:rPr>
  </w:style>
  <w:style w:type="character" w:customStyle="1" w:styleId="52">
    <w:name w:val="AnnotationTok"/>
    <w:basedOn w:val="35"/>
    <w:qFormat/>
    <w:uiPriority w:val="0"/>
    <w:rPr>
      <w:b/>
      <w:i/>
      <w:color w:val="60A0B0"/>
    </w:rPr>
  </w:style>
  <w:style w:type="character" w:customStyle="1" w:styleId="53">
    <w:name w:val="CommentVarTok"/>
    <w:basedOn w:val="35"/>
    <w:qFormat/>
    <w:uiPriority w:val="0"/>
    <w:rPr>
      <w:b/>
      <w:i/>
      <w:color w:val="60A0B0"/>
    </w:rPr>
  </w:style>
  <w:style w:type="character" w:customStyle="1" w:styleId="54">
    <w:name w:val="OtherTok"/>
    <w:basedOn w:val="35"/>
    <w:qFormat/>
    <w:uiPriority w:val="0"/>
    <w:rPr>
      <w:color w:val="007020"/>
    </w:rPr>
  </w:style>
  <w:style w:type="character" w:customStyle="1" w:styleId="55">
    <w:name w:val="FunctionTok"/>
    <w:basedOn w:val="35"/>
    <w:qFormat/>
    <w:uiPriority w:val="0"/>
    <w:rPr>
      <w:color w:val="06287E"/>
    </w:rPr>
  </w:style>
  <w:style w:type="character" w:customStyle="1" w:styleId="56">
    <w:name w:val="VariableTok"/>
    <w:basedOn w:val="35"/>
    <w:qFormat/>
    <w:uiPriority w:val="0"/>
    <w:rPr>
      <w:color w:val="19177C"/>
    </w:rPr>
  </w:style>
  <w:style w:type="character" w:customStyle="1" w:styleId="57">
    <w:name w:val="ControlFlowTok"/>
    <w:basedOn w:val="35"/>
    <w:qFormat/>
    <w:uiPriority w:val="0"/>
    <w:rPr>
      <w:b/>
      <w:color w:val="007020"/>
    </w:rPr>
  </w:style>
  <w:style w:type="character" w:customStyle="1" w:styleId="58">
    <w:name w:val="OperatorTok"/>
    <w:basedOn w:val="35"/>
    <w:qFormat/>
    <w:uiPriority w:val="0"/>
    <w:rPr>
      <w:color w:val="666666"/>
    </w:rPr>
  </w:style>
  <w:style w:type="character" w:customStyle="1" w:styleId="59">
    <w:name w:val="BuiltInTok"/>
    <w:basedOn w:val="35"/>
    <w:qFormat/>
    <w:uiPriority w:val="0"/>
  </w:style>
  <w:style w:type="character" w:customStyle="1" w:styleId="60">
    <w:name w:val="ExtensionTok"/>
    <w:basedOn w:val="35"/>
    <w:qFormat/>
    <w:uiPriority w:val="0"/>
  </w:style>
  <w:style w:type="character" w:customStyle="1" w:styleId="61">
    <w:name w:val="PreprocessorTok"/>
    <w:basedOn w:val="35"/>
    <w:qFormat/>
    <w:uiPriority w:val="0"/>
    <w:rPr>
      <w:color w:val="BC7A00"/>
    </w:rPr>
  </w:style>
  <w:style w:type="character" w:customStyle="1" w:styleId="62">
    <w:name w:val="AttributeTok"/>
    <w:basedOn w:val="35"/>
    <w:qFormat/>
    <w:uiPriority w:val="0"/>
    <w:rPr>
      <w:color w:val="7D9029"/>
    </w:rPr>
  </w:style>
  <w:style w:type="character" w:customStyle="1" w:styleId="63">
    <w:name w:val="RegionMarkerTok"/>
    <w:basedOn w:val="35"/>
    <w:qFormat/>
    <w:uiPriority w:val="0"/>
  </w:style>
  <w:style w:type="character" w:customStyle="1" w:styleId="64">
    <w:name w:val="InformationTok"/>
    <w:basedOn w:val="35"/>
    <w:qFormat/>
    <w:uiPriority w:val="0"/>
    <w:rPr>
      <w:b/>
      <w:i/>
      <w:color w:val="60A0B0"/>
    </w:rPr>
  </w:style>
  <w:style w:type="character" w:customStyle="1" w:styleId="65">
    <w:name w:val="WarningTok"/>
    <w:basedOn w:val="35"/>
    <w:qFormat/>
    <w:uiPriority w:val="0"/>
    <w:rPr>
      <w:b/>
      <w:i/>
      <w:color w:val="60A0B0"/>
    </w:rPr>
  </w:style>
  <w:style w:type="character" w:customStyle="1" w:styleId="66">
    <w:name w:val="AlertTok"/>
    <w:basedOn w:val="35"/>
    <w:qFormat/>
    <w:uiPriority w:val="0"/>
    <w:rPr>
      <w:b/>
      <w:color w:val="FF0000"/>
    </w:rPr>
  </w:style>
  <w:style w:type="character" w:customStyle="1" w:styleId="67">
    <w:name w:val="ErrorTok"/>
    <w:basedOn w:val="35"/>
    <w:qFormat/>
    <w:uiPriority w:val="0"/>
    <w:rPr>
      <w:b/>
      <w:color w:val="FF0000"/>
    </w:rPr>
  </w:style>
  <w:style w:type="character" w:customStyle="1" w:styleId="68">
    <w:name w:val="NormalTok"/>
    <w:basedOn w:val="3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39</Pages>
  <Words>1572</Words>
  <Characters>10325</Characters>
  <Lines>12</Lines>
  <Paragraphs>8</Paragraphs>
  <TotalTime>0</TotalTime>
  <ScaleCrop>false</ScaleCrop>
  <LinksUpToDate>false</LinksUpToDate>
  <CharactersWithSpaces>11806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2026-05-25T15:11:00Z</dcterms:created>
  <dc:creator>无为</dc:creator>
  <cp:lastModifiedBy>无为</cp:lastModifiedBy>
  <dcterms:modified xsi:type="dcterms:W3CDTF">2026-06-09T08:28:05Z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eyJoZGlkIjoiNzlhNTE5MGFkZTE2YTc5NGMwYzE1YmZjNWFlNDYzMTkiLCJ1c2VySWQiOiIxMjM2NzIwODI2In0=</vt:lpwstr>
  </property>
  <property fmtid="{D5CDD505-2E9C-101B-9397-08002B2CF9AE}" pid="3" name="KSOProductBuildVer">
    <vt:lpwstr>2052-12.1.0.26895</vt:lpwstr>
  </property>
  <property fmtid="{D5CDD505-2E9C-101B-9397-08002B2CF9AE}" pid="4" name="ICV">
    <vt:lpwstr>D00D5091913443E99741BC6494997341_12</vt:lpwstr>
  </property>
</Properties>
</file>