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A5857A">
      <w:pPr>
        <w:spacing w:before="0" w:after="240" w:line="360" w:lineRule="auto"/>
        <w:ind w:firstLine="480"/>
        <w:jc w:val="center"/>
        <w:rPr>
          <w:rFonts w:ascii="Times New Roman" w:hAnsi="Times New Roman" w:cs="Times New Roman"/>
          <w:color w:val="auto"/>
          <w:sz w:val="32"/>
          <w:szCs w:val="32"/>
        </w:rPr>
      </w:pPr>
      <w:bookmarkStart w:id="0" w:name="Xa89942faaa30bcf8b9c14bc2d5af6cf3118a37d"/>
      <w:r>
        <w:rPr>
          <w:rFonts w:ascii="Times New Roman" w:hAnsi="Times New Roman" w:cs="Times New Roman"/>
          <w:b/>
          <w:bCs/>
          <w:color w:val="auto"/>
          <w:sz w:val="32"/>
          <w:szCs w:val="32"/>
        </w:rPr>
        <w:t>Fracture-Conforming PEBI Grids with Integrated CPR–SA-AMG Preconditioning and Non-Blocking MPI Communication for Scalable Black-Oil Simulation of Shale Reservoirs</w:t>
      </w:r>
      <w:bookmarkEnd w:id="0"/>
    </w:p>
    <w:p w14:paraId="72312B2D">
      <w:pPr>
        <w:pStyle w:val="3"/>
        <w:spacing w:after="60" w:line="300" w:lineRule="auto"/>
        <w:jc w:val="center"/>
        <w:rPr>
          <w:rFonts w:ascii="Times New Roman" w:hAnsi="Times New Roman" w:cs="Times New Roman"/>
          <w:color w:val="auto"/>
          <w:sz w:val="24"/>
          <w:szCs w:val="24"/>
        </w:rPr>
      </w:pPr>
      <w:bookmarkStart w:id="1" w:name="abstract"/>
      <w:r>
        <w:rPr>
          <w:rFonts w:hint="eastAsia" w:ascii="Times New Roman" w:hAnsi="Times New Roman" w:eastAsia="Times New Roman" w:cs="Times New Roman"/>
          <w:color w:val="auto"/>
          <w:sz w:val="24"/>
          <w:szCs w:val="24"/>
        </w:rPr>
        <w:t>Rongwang Yin</w:t>
      </w:r>
      <w:r>
        <w:rPr>
          <w:rFonts w:hint="eastAsia" w:ascii="Times New Roman" w:hAnsi="Times New Roman" w:eastAsia="Times New Roman" w:cs="Times New Roman"/>
          <w:color w:val="auto"/>
          <w:sz w:val="24"/>
          <w:szCs w:val="24"/>
          <w:vertAlign w:val="superscript"/>
        </w:rPr>
        <w:t xml:space="preserve"> 1</w:t>
      </w:r>
      <w:r>
        <w:rPr>
          <w:rFonts w:hint="eastAsia" w:ascii="Times New Roman" w:hAnsi="Times New Roman" w:eastAsia="Times New Roman" w:cs="Times New Roman"/>
          <w:color w:val="auto"/>
          <w:sz w:val="24"/>
          <w:szCs w:val="24"/>
        </w:rPr>
        <w:t>, Shaowei Zhang</w:t>
      </w:r>
      <w:r>
        <w:rPr>
          <w:rFonts w:hint="eastAsia" w:ascii="Times New Roman" w:hAnsi="Times New Roman" w:eastAsia="Times New Roman" w:cs="Times New Roman"/>
          <w:color w:val="auto"/>
          <w:sz w:val="24"/>
          <w:szCs w:val="24"/>
          <w:vertAlign w:val="superscript"/>
        </w:rPr>
        <w:t xml:space="preserve"> 2, *</w:t>
      </w:r>
    </w:p>
    <w:p w14:paraId="424DE2AF">
      <w:pPr>
        <w:pStyle w:val="3"/>
        <w:spacing w:before="360" w:after="0" w:line="300" w:lineRule="auto"/>
        <w:ind w:firstLine="480"/>
        <w:jc w:val="left"/>
        <w:rPr>
          <w:rFonts w:ascii="Times New Roman" w:hAnsi="Times New Roman" w:cs="Times New Roman"/>
          <w:color w:val="auto"/>
          <w:sz w:val="28"/>
          <w:szCs w:val="28"/>
        </w:rPr>
      </w:pPr>
      <w:r>
        <w:rPr>
          <w:rFonts w:hint="eastAsia" w:ascii="Times New Roman" w:hAnsi="Times New Roman" w:eastAsia="Times New Roman" w:cs="Times New Roman"/>
          <w:i/>
          <w:iCs/>
          <w:color w:val="auto"/>
          <w:sz w:val="22"/>
          <w:szCs w:val="22"/>
        </w:rPr>
        <w:t xml:space="preserve">1. </w:t>
      </w:r>
      <w:r>
        <w:rPr>
          <w:rFonts w:hint="eastAsia" w:ascii="Times New Roman" w:hAnsi="Times New Roman" w:eastAsia="Times New Roman" w:cs="Times New Roman"/>
          <w:i/>
          <w:iCs/>
          <w:color w:val="auto"/>
          <w:sz w:val="22"/>
          <w:szCs w:val="22"/>
          <w:lang w:val="en-US"/>
        </w:rPr>
        <w:t>Basic Experiment and Training Center</w:t>
      </w:r>
      <w:r>
        <w:rPr>
          <w:rFonts w:hint="eastAsia" w:ascii="Times New Roman" w:hAnsi="Times New Roman" w:eastAsia="Times New Roman" w:cs="Times New Roman"/>
          <w:i/>
          <w:iCs/>
          <w:color w:val="auto"/>
          <w:sz w:val="22"/>
          <w:szCs w:val="22"/>
        </w:rPr>
        <w:t>, Hefei University, Hefei 230601, P.R. China</w:t>
      </w:r>
    </w:p>
    <w:p w14:paraId="7A4F5DCD">
      <w:pPr>
        <w:pStyle w:val="3"/>
        <w:spacing w:before="360" w:after="0" w:line="300" w:lineRule="auto"/>
        <w:ind w:firstLine="480"/>
        <w:jc w:val="left"/>
        <w:rPr>
          <w:rFonts w:ascii="Times New Roman" w:hAnsi="Times New Roman" w:cs="Times New Roman"/>
          <w:color w:val="auto"/>
          <w:sz w:val="28"/>
          <w:szCs w:val="28"/>
        </w:rPr>
      </w:pPr>
      <w:r>
        <w:rPr>
          <w:rFonts w:hint="eastAsia" w:ascii="Times New Roman" w:hAnsi="Times New Roman" w:eastAsia="Times New Roman" w:cs="Times New Roman"/>
          <w:i/>
          <w:iCs/>
          <w:color w:val="auto"/>
          <w:sz w:val="22"/>
          <w:szCs w:val="22"/>
        </w:rPr>
        <w:t>2</w:t>
      </w:r>
      <w:r>
        <w:rPr>
          <w:rFonts w:hint="eastAsia" w:ascii="Times New Roman" w:hAnsi="Times New Roman" w:eastAsia="宋体" w:cs="Times New Roman"/>
          <w:i/>
          <w:iCs/>
          <w:color w:val="auto"/>
          <w:sz w:val="22"/>
          <w:szCs w:val="22"/>
          <w:lang w:val="en-US" w:eastAsia="zh-CN"/>
        </w:rPr>
        <w:t xml:space="preserve">. </w:t>
      </w:r>
      <w:r>
        <w:rPr>
          <w:rFonts w:hint="eastAsia" w:ascii="Times New Roman" w:hAnsi="Times New Roman" w:eastAsia="Times New Roman" w:cs="Times New Roman"/>
          <w:i/>
          <w:iCs/>
          <w:color w:val="auto"/>
          <w:sz w:val="22"/>
          <w:szCs w:val="22"/>
        </w:rPr>
        <w:t>School of Computer Engineering, Anhui Wenda University of Information Engineering, Hefei 231201, P.R. China</w:t>
      </w:r>
    </w:p>
    <w:p w14:paraId="7A37D425">
      <w:pPr>
        <w:spacing w:before="240" w:after="60"/>
        <w:jc w:val="left"/>
        <w:rPr>
          <w:rFonts w:ascii="Times New Roman" w:hAnsi="Times New Roman" w:cs="Times New Roman"/>
          <w:color w:val="auto"/>
          <w:sz w:val="24"/>
          <w:szCs w:val="24"/>
        </w:rPr>
      </w:pPr>
      <w:r>
        <w:rPr>
          <w:rFonts w:ascii="Times New Roman" w:hAnsi="Times New Roman" w:cs="Times New Roman"/>
          <w:b/>
          <w:bCs/>
          <w:color w:val="auto"/>
          <w:sz w:val="24"/>
          <w:szCs w:val="24"/>
        </w:rPr>
        <w:t>Abstract</w:t>
      </w:r>
      <w:bookmarkEnd w:id="1"/>
    </w:p>
    <w:p w14:paraId="66AF63E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numerical simulation of hydraulically fractured shale-oil reservoirs confronts three interdependent computational bottlenecks: geometric mismatch at fracture–matrix interfaces, severe ill-conditioning of the Jacobian system arising from extreme permeability contrasts, and communication-bound parallel overhead at scale. Cartesian local grid refinement (LGR) and embedded discrete fracture models (EDFM) each address only a subset of these challenges in isolation.</w:t>
      </w:r>
      <w:r>
        <w:rPr>
          <w:rFonts w:ascii="Times New Roman" w:hAnsi="Times New Roman" w:cs="Times New Roman"/>
          <w:color w:val="auto"/>
          <w:sz w:val="24"/>
          <w:szCs w:val="24"/>
        </w:rPr>
        <w:br w:type="textWrapping"/>
      </w:r>
      <w:r>
        <w:rPr>
          <w:rFonts w:ascii="Times New Roman" w:hAnsi="Times New Roman" w:cs="Times New Roman"/>
          <w:color w:val="auto"/>
          <w:sz w:val="24"/>
          <w:szCs w:val="24"/>
        </w:rPr>
        <w:br w:type="textWrapping"/>
      </w:r>
      <w:r>
        <w:rPr>
          <w:rFonts w:ascii="Times New Roman" w:hAnsi="Times New Roman" w:cs="Times New Roman"/>
          <w:color w:val="auto"/>
          <w:sz w:val="24"/>
          <w:szCs w:val="24"/>
        </w:rPr>
        <w:t>This paper presents a black-oil simulation framework that treats mesh generation, pressure-system preconditioning, and MPI communication scheduling as a single integrated design problem. The framework is built on fracture-conforming perpendicular-bisector (PEBI) grids constructed via constrained Delaunay–Voronoi tessellation within a layered 2.5D extrusion formulation, with generator-point density governed by a hyperbolic-tangent spacing function. K-orthogonality (deviation angle θ ≤ 5°) is maintained across 97.1% of interior faces.</w:t>
      </w:r>
      <w:r>
        <w:rPr>
          <w:rFonts w:ascii="Times New Roman" w:hAnsi="Times New Roman" w:cs="Times New Roman"/>
          <w:color w:val="auto"/>
          <w:sz w:val="24"/>
          <w:szCs w:val="24"/>
        </w:rPr>
        <w:br w:type="textWrapping"/>
      </w:r>
      <w:r>
        <w:rPr>
          <w:rFonts w:ascii="Times New Roman" w:hAnsi="Times New Roman" w:cs="Times New Roman"/>
          <w:color w:val="auto"/>
          <w:sz w:val="24"/>
          <w:szCs w:val="24"/>
        </w:rPr>
        <w:br w:type="textWrapping"/>
      </w:r>
      <w:r>
        <w:rPr>
          <w:rFonts w:ascii="Times New Roman" w:hAnsi="Times New Roman" w:cs="Times New Roman"/>
          <w:color w:val="auto"/>
          <w:sz w:val="24"/>
          <w:szCs w:val="24"/>
        </w:rPr>
        <w:t>Benchmarking against the analytical Ei-function line-source solution yields a near-fracture pressure error of 0.31% at 1 m, representing improvements of 53.0–83.4% over EDFM, Cartesian LGR, and uniform Cartesian discretizations. A systematic grid refinement study confirms first-order convergence of the pressure error with decreasing mesh spacing. The Constrained Pressure Residual preconditioner accelerated by Smoothed-Aggregation Algebraic Multigrid (CPR–SA-AMG) reduces GMRES iterations from 312 to 21 relative to Block-ILU(0), yielding a 72.7% reduction in linear-solve time (mean 21.0 ± 2.3 iterations, n = 3,650 Newton steps).</w:t>
      </w:r>
      <w:r>
        <w:rPr>
          <w:rFonts w:ascii="Times New Roman" w:hAnsi="Times New Roman" w:cs="Times New Roman"/>
          <w:color w:val="auto"/>
          <w:sz w:val="24"/>
          <w:szCs w:val="24"/>
        </w:rPr>
        <w:br w:type="textWrapping"/>
      </w:r>
      <w:r>
        <w:rPr>
          <w:rFonts w:ascii="Times New Roman" w:hAnsi="Times New Roman" w:cs="Times New Roman"/>
          <w:color w:val="auto"/>
          <w:sz w:val="24"/>
          <w:szCs w:val="24"/>
        </w:rPr>
        <w:br w:type="textWrapping"/>
      </w:r>
      <w:r>
        <w:rPr>
          <w:rFonts w:ascii="Times New Roman" w:hAnsi="Times New Roman" w:cs="Times New Roman"/>
          <w:color w:val="auto"/>
          <w:sz w:val="24"/>
          <w:szCs w:val="24"/>
        </w:rPr>
        <w:t>On a 32-million-cell field-scale problem, the simulator achieves 82.0% strong-scaling efficiency on 512 MPI ranks and maintains 91.3% weak-scaling efficiency, with 73% of communication latency masked by non-blocking overlap. Under the insertion of 1,247 stochastically generated natural fractures, the spectral conditioning proxy increases by only 2.87× (single realization; 2.94 ± 0.41× Monte Carlo ensemble mean, n = 25) relative to the DFN-free PEBI baseline, compared with 18.6× and 11.4× for standard unstructured and Cartesian LGR grids under identical DFN placement. Ten-year cumulative oil recovery increases by 21.8 ± 4.3% (mean ± 1σ), and the solver remains within 3× of its base iteration count.</w:t>
      </w:r>
      <w:r>
        <w:rPr>
          <w:rFonts w:ascii="Times New Roman" w:hAnsi="Times New Roman" w:cs="Times New Roman"/>
          <w:color w:val="auto"/>
          <w:sz w:val="24"/>
          <w:szCs w:val="24"/>
        </w:rPr>
        <w:br w:type="textWrapping"/>
      </w:r>
      <w:r>
        <w:rPr>
          <w:rFonts w:ascii="Times New Roman" w:hAnsi="Times New Roman" w:cs="Times New Roman"/>
          <w:color w:val="auto"/>
          <w:sz w:val="24"/>
          <w:szCs w:val="24"/>
        </w:rPr>
        <w:br w:type="textWrapping"/>
      </w:r>
      <w:r>
        <w:rPr>
          <w:rFonts w:ascii="Times New Roman" w:hAnsi="Times New Roman" w:cs="Times New Roman"/>
          <w:color w:val="auto"/>
          <w:sz w:val="24"/>
          <w:szCs w:val="24"/>
        </w:rPr>
        <w:t>An illustrative benchmark against the SPE 10 comparative solution on a quarter-five-spot pattern demonstrates that a permeability-informed PEBI mesh of 0.52M cells tracks the 1.12M-cell Cartesian reference to within 0.93% cumulative oil deviation at approximately half the cell count. A permeability-unaware PEBI mesh yields 1.9% deviation, indicating that roughly half of the accuracy gain arises from K-orthogonal face geometry and half from permeability-informed mesh concentration. A complementary single-well depletion case (12 fractures, matched matrix permeability) confirms that the K-orthogonality fraction (96.8%), per-rank solver convergence (22 GMRES iterations), and parallel efficiency (95.4% vs. 96.2% at identical core count) are robust to well-pattern variation.</w:t>
      </w:r>
      <w:r>
        <w:rPr>
          <w:rFonts w:ascii="Times New Roman" w:hAnsi="Times New Roman" w:cs="Times New Roman"/>
          <w:color w:val="auto"/>
          <w:sz w:val="24"/>
          <w:szCs w:val="24"/>
        </w:rPr>
        <w:br w:type="textWrapping"/>
      </w:r>
      <w:r>
        <w:rPr>
          <w:rFonts w:ascii="Times New Roman" w:hAnsi="Times New Roman" w:cs="Times New Roman"/>
          <w:color w:val="auto"/>
          <w:sz w:val="24"/>
          <w:szCs w:val="24"/>
        </w:rPr>
        <w:br w:type="textWrapping"/>
      </w:r>
      <w:r>
        <w:rPr>
          <w:rFonts w:ascii="Times New Roman" w:hAnsi="Times New Roman" w:cs="Times New Roman"/>
          <w:color w:val="auto"/>
          <w:sz w:val="24"/>
          <w:szCs w:val="24"/>
        </w:rPr>
        <w:t>These findings, obtained within a layered 2.5D extrusion formulation for reservoirs dominated by vertical or near-vertical fractures, establish fracture-conforming discretization as an enabling strategy for achieving simultaneous algebraic efficiency and parallel scalability in black-oil shale-reservoir simulation. The results support an empirically observed Geometry–Algebra–Concurrency Triad in which mesh orthogonality, solver convergence, and communication overlap are quantitatively coupled in a propagative association.</w:t>
      </w:r>
    </w:p>
    <w:p w14:paraId="7F77BC37">
      <w:pPr>
        <w:spacing w:before="240" w:after="6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b w:val="0"/>
          <w:bCs/>
          <w:color w:val="auto"/>
          <w:sz w:val="24"/>
          <w:szCs w:val="24"/>
        </w:rPr>
        <w:t>Keywords: Perpendicular-bisector (PEBI) grid; K-orthogonality; smoothed aggregation algebraic multigrid; constrained pressure residual preconditioning; discrete fracture network; black-oil simulation; high-performance computing; unconventional reservoirs; parallel efficiency; weak scaling</w:t>
      </w:r>
    </w:p>
    <w:p w14:paraId="5009FF25">
      <w:pPr>
        <w:pStyle w:val="2"/>
        <w:spacing w:before="120" w:after="60" w:line="360" w:lineRule="auto"/>
        <w:jc w:val="left"/>
        <w:rPr>
          <w:rFonts w:ascii="Times New Roman" w:hAnsi="Times New Roman" w:cs="Times New Roman"/>
          <w:color w:val="auto"/>
          <w:sz w:val="28"/>
          <w:szCs w:val="28"/>
        </w:rPr>
      </w:pPr>
      <w:bookmarkStart w:id="2" w:name="introduction"/>
      <w:r>
        <w:rPr>
          <w:rFonts w:ascii="Times New Roman" w:hAnsi="Times New Roman" w:cs="Times New Roman"/>
          <w:b/>
          <w:bCs/>
          <w:color w:val="auto"/>
          <w:sz w:val="28"/>
          <w:szCs w:val="28"/>
        </w:rPr>
        <w:t>1 Introduction</w:t>
      </w:r>
      <w:bookmarkEnd w:id="2"/>
    </w:p>
    <w:p w14:paraId="0438571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Shale-oil reservoirs pose a computational challenge without easy compromise. Matrix permeability in the nano-Darcy range coexists with conductive fractures exceeding 10^3-10^6 mD, generating permeability contrasts beyond nine orders of magnitude (Palagi and Aziz, 1994a; Peaceman, 1983; Saad, 2003). Numerical simulation of multi-stage hydraulically fractured horizontal wells (MFHWs) therefore demands simultaneous fidelity in spatial discretization near fracture faces, algebraic solver robustness under extreme stiffness, and parallel execution efficiency. In practice these are seldom tackled together--industrial workflows optimize one component at a time, shifting the bottleneck elsewhere.</w:t>
      </w:r>
    </w:p>
    <w:p w14:paraId="07B40B91">
      <w:pPr>
        <w:pStyle w:val="4"/>
        <w:spacing w:before="120" w:after="60" w:line="360" w:lineRule="auto"/>
        <w:jc w:val="left"/>
        <w:rPr>
          <w:rFonts w:ascii="Times New Roman" w:hAnsi="Times New Roman" w:cs="Times New Roman"/>
          <w:color w:val="auto"/>
          <w:sz w:val="24"/>
          <w:szCs w:val="24"/>
        </w:rPr>
      </w:pPr>
      <w:bookmarkStart w:id="3" w:name="limitations-of-current-paradigms"/>
      <w:r>
        <w:rPr>
          <w:rFonts w:ascii="Times New Roman" w:hAnsi="Times New Roman" w:cs="Times New Roman"/>
          <w:b/>
          <w:bCs/>
          <w:color w:val="auto"/>
          <w:sz w:val="24"/>
          <w:szCs w:val="24"/>
        </w:rPr>
        <w:t>1.1 Limitations of Current Paradigms</w:t>
      </w:r>
      <w:bookmarkEnd w:id="3"/>
    </w:p>
    <w:p w14:paraId="5902F97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Cartesian local grid refinement (LGR) dominates industry practice because of its structured indexing, but it approximates fracture faces with staircase geometries that violate K-orthogonality at transition faces, introducing truncation error in the two-point flux approximation precisely where pressure gradients are steepest (Palagi and Aziz, 1994a; Karimi-Fard et al., 2004; Aavatsmark et al., 1998a, 1998b). Recent work has addressed this through hybrid TPFA-MFD schemes (Dong et al., 2023) and MPFA-H formulations on unstructured meshes (da Silva et al., 2024).</w:t>
      </w:r>
    </w:p>
    <w:p w14:paraId="2531046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Embedded discrete fracture models (EDFM) and their projection-based variants take a different path: rather than regridding around fractures, they insert non-neighboring connections (NNCs) between fracture and matrix domains (Karimi-Fard et al., 2004; Moinfar et al., 2014). The past three years have seen rapid maturation of the EDFM family. Projection-based formulations (pEDFM) now resolve blocking fractures through continuous projection algorithms (Rashid and Olorode, 2024), enriched-embedded variants (nEDFM) capture pressure discontinuities on both faces of conductive fractures via local enrichment functions (Jiao et al., 2024), and transient source-function-based corrections (tSEDFM) address the long-standing pseudo-steady-state limitation of classical EDFM transmissibilities (Z. Zhang et al., 2024). A comprehensive review by Poli et al. (2024) catalogues over 150 EDFM publications and identifies fracture-intersection treatment and coupled flow–geomechanics (An et al., 2024) as the dominant active research fronts. Concurrently, the extension of pEDFM to unstructured tetrahedral grids (pEDFM-U; Cavalcante et al., 2024) and the first streamline-based pEDFM formulation (Rao et al., 2025) have extended the reach of NNC methods beyond their original Cartesian scope. The advantage is clear: the grid stays fixed. The trade-off is equally clear: the transfer operators are approximations, and those approximations degrade precisely where fidelity matters most—at dense fracture intersections and near fracture tips, where the r⁻¹ pressure asymptote governs the solution (Moinfar et al., 2014; Bourdet et al., 1989). Dual-continuum approaches are cheaper still computationally, but they collapse discrete fracture character into effective transfer functions. That suffices for a dense, uniform background fracture fabric; it fails for the sparse, heterogeneous conductive pathways controlling many shale plays (Warren and Root, 1963; Kazemi et al., 1976). Recent multi-porosity multi-permeability (MPMP) frameworks (Zheng et al., 2025) now preserve continuum-type computational efficiency while approaching the geometric fidelity of discrete fracture representations. Coupled flow–geomechanics extensions of these hybrid frameworks (Li et al., 2024) have demonstrated up to 20% productivity reduction attributable to stress-dependent fracture conductivity in shale gas wells.</w:t>
      </w:r>
    </w:p>
    <w:p w14:paraId="3B947B9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On the solver front, the extreme permeability contrast in shale systems drives unpreconditioned Jacobian condition numbers into the 10^7-10^8 range, defeating standard incomplete factorization preconditioners and inflating both solve time and synchronization overhead (Behie and Forsyth, 1984; Saad, 2003).</w:t>
      </w:r>
    </w:p>
    <w:p w14:paraId="2233CD7D">
      <w:pPr>
        <w:pStyle w:val="4"/>
        <w:spacing w:before="120" w:after="60" w:line="360" w:lineRule="auto"/>
        <w:jc w:val="left"/>
        <w:rPr>
          <w:rFonts w:ascii="Times New Roman" w:hAnsi="Times New Roman" w:cs="Times New Roman"/>
          <w:color w:val="auto"/>
          <w:sz w:val="24"/>
          <w:szCs w:val="24"/>
        </w:rPr>
      </w:pPr>
      <w:bookmarkStart w:id="4" w:name="unresolved-scientific-questions"/>
      <w:r>
        <w:rPr>
          <w:rFonts w:ascii="Times New Roman" w:hAnsi="Times New Roman" w:cs="Times New Roman"/>
          <w:b/>
          <w:bCs/>
          <w:color w:val="auto"/>
          <w:sz w:val="24"/>
          <w:szCs w:val="24"/>
        </w:rPr>
        <w:t>1.2 Unresolved Scientific Questions</w:t>
      </w:r>
      <w:bookmarkEnd w:id="4"/>
    </w:p>
    <w:p w14:paraId="738A66E4">
      <w:pPr>
        <w:pStyle w:val="3"/>
        <w:spacing w:before="0" w:after="0" w:line="360" w:lineRule="auto"/>
        <w:ind w:firstLine="480"/>
        <w:jc w:val="both"/>
        <w:rPr>
          <w:rFonts w:ascii="Times New Roman" w:hAnsi="Times New Roman" w:cs="Times New Roman"/>
          <w:color w:val="auto"/>
          <w:sz w:val="24"/>
          <w:szCs w:val="24"/>
        </w:rPr>
      </w:pPr>
      <w:r>
        <w:rPr>
          <w:rFonts w:hint="eastAsia" w:ascii="Times New Roman" w:hAnsi="Times New Roman" w:eastAsia="宋体" w:cs="Times New Roman"/>
          <w:color w:val="auto"/>
          <w:sz w:val="24"/>
          <w:szCs w:val="24"/>
          <w:lang w:eastAsia="zh-CN"/>
        </w:rPr>
        <w:t>The preceding review exposes a structural gap. Fracture-conforming PEBI grids can, in principle, eliminate the geometric error that plagues both LGR and EDFM, but the mesh generation, linear algebra, and parallel decomposition communities have pursued these topics largely in isolation (Cao et al., 2005; Karypis and Kumar, 1998). Recent advances across all three fronts argue for integration: CPR-AMG extensions for well degrees of freedom (Nilsen et al., 2023) and thermal-compositional systems (Cremon et al., 2024; M. Zhang et al., 2024); anisotropic centroidal Voronoi tessellation for 3D polyhedral meshes (Marin et al., 2024); parallel-in-time discretizations (Cheng et al., 2023) and field-split preconditioned algorithms beyond 27,000 cores (Shi et al., 2024); and communication-avoiding Krylov methods (Hoemmen, 2010) and GPU-accelerated multigrid (Anzt et al., 2022).</w:t>
      </w:r>
    </w:p>
    <w:p w14:paraId="2694481C">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(1) Can an automated PEBI generator deliver provable K-orthogonality (θ ≤ 5°) when multiple intersecting natural fractures constrain the mesh?</w:t>
      </w:r>
    </w:p>
    <w:p w14:paraId="77B865D0">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(2) If geometric flux error is removed, what happens to the Jacobian condition number — and can a CPR–AMG solver exploit whatever spectral structure emerges in black-oil problems?</w:t>
      </w:r>
    </w:p>
    <w:p w14:paraId="1DB35732">
      <w:pPr>
        <w:ind w:firstLine="480"/>
      </w:pPr>
      <w:r>
        <w:rPr>
          <w:rFonts w:ascii="Times New Roman" w:hAnsi="Times New Roman"/>
          <w:sz w:val="24"/>
        </w:rPr>
        <w:t>(3) Will persistent asynchronous MPI communication mask the latency-bound halo exchanges that irregular PEBI decompositions incur, and can this be sustained past 512 ranks?</w:t>
      </w:r>
    </w:p>
    <w:p w14:paraId="5A99CE8C">
      <w:pPr>
        <w:pStyle w:val="4"/>
        <w:spacing w:before="120" w:after="60" w:line="360" w:lineRule="auto"/>
        <w:jc w:val="left"/>
        <w:rPr>
          <w:rFonts w:ascii="Times New Roman" w:hAnsi="Times New Roman" w:cs="Times New Roman"/>
          <w:color w:val="auto"/>
          <w:sz w:val="24"/>
          <w:szCs w:val="24"/>
        </w:rPr>
      </w:pPr>
      <w:bookmarkStart w:id="5" w:name="scope-and-contributions"/>
      <w:r>
        <w:rPr>
          <w:rFonts w:ascii="Times New Roman" w:hAnsi="Times New Roman" w:cs="Times New Roman"/>
          <w:b/>
          <w:bCs/>
          <w:color w:val="auto"/>
          <w:sz w:val="24"/>
          <w:szCs w:val="24"/>
        </w:rPr>
        <w:t>1.3 Scope and Contributions</w:t>
      </w:r>
      <w:bookmarkEnd w:id="5"/>
    </w:p>
    <w:p w14:paraId="5066F51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We advance the hypothesis--to be tested experimentally in this work--that geometric discretization error, algebraic stiffness, and communication overhead share a common origin: the computational topology does not match the physical flow topology. The framework operates within a layered 2.5D extrusion formulation suitable for reservoirs with predominantly vertical fractures. The individual components--PEBI meshing (Heinemann et al., 1991; Palagi and Aziz, 1994a; Verma and Aziz, 1997), CPR preconditioning (Wallis et al., 1985), SA-AMG (Vanek et al., 1996), and non-blocking MPI--are well-established. The present contribution is their system-level integration, not component-level invention.</w:t>
      </w:r>
    </w:p>
    <w:p w14:paraId="51027860">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 Research gaps and corresponding quantified contributions.</w:t>
      </w:r>
    </w:p>
    <w:tbl>
      <w:tblPr>
        <w:tblStyle w:val="28"/>
        <w:tblW w:w="9884"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6"/>
        <w:gridCol w:w="2543"/>
        <w:gridCol w:w="3163"/>
        <w:gridCol w:w="2582"/>
      </w:tblGrid>
      <w:tr w14:paraId="64882D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24B1824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Domain</w:t>
            </w:r>
          </w:p>
        </w:tc>
        <w:tc>
          <w:tcPr>
            <w:tcW w:w="2633" w:type="dxa"/>
            <w:tcBorders>
              <w:bottom w:val="single" w:color="auto" w:sz="0" w:space="0"/>
            </w:tcBorders>
            <w:vAlign w:val="center"/>
          </w:tcPr>
          <w:p w14:paraId="0942358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Identified Limitation</w:t>
            </w:r>
          </w:p>
        </w:tc>
        <w:tc>
          <w:tcPr>
            <w:tcW w:w="3216" w:type="dxa"/>
            <w:tcBorders>
              <w:bottom w:val="single" w:color="auto" w:sz="0" w:space="0"/>
            </w:tcBorders>
            <w:vAlign w:val="center"/>
          </w:tcPr>
          <w:p w14:paraId="73508A3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Innovation</w:t>
            </w:r>
          </w:p>
        </w:tc>
        <w:tc>
          <w:tcPr>
            <w:tcW w:w="2667" w:type="dxa"/>
            <w:tcBorders>
              <w:bottom w:val="single" w:color="auto" w:sz="0" w:space="0"/>
            </w:tcBorders>
            <w:vAlign w:val="center"/>
          </w:tcPr>
          <w:p w14:paraId="6FF1400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Quantified Outcome</w:t>
            </w:r>
          </w:p>
        </w:tc>
      </w:tr>
      <w:tr w14:paraId="60B95D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FF123C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Geometry</w:t>
            </w:r>
          </w:p>
        </w:tc>
        <w:tc>
          <w:tcPr>
            <w:tcW w:w="2633" w:type="dxa"/>
            <w:vAlign w:val="center"/>
          </w:tcPr>
          <w:p w14:paraId="3ECDDD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LGR staircase error (Palagi and Aziz, 1994a); EDFM near-tip transfer error (Moinfar et al., 2014)</w:t>
            </w:r>
          </w:p>
        </w:tc>
        <w:tc>
          <w:tcPr>
            <w:tcW w:w="3216" w:type="dxa"/>
            <w:vAlign w:val="center"/>
          </w:tcPr>
          <w:p w14:paraId="28982B5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Constrained Delaunay PEBI with </w:t>
            </w:r>
            <m:oMath>
              <m:r>
                <m:rPr>
                  <m:nor/>
                  <m:sty m:val="p"/>
                </m:rPr>
                <w:rPr>
                  <w:b w:val="0"/>
                  <w:i w:val="0"/>
                  <w:color w:val="auto"/>
                </w:rPr>
                <m:t>tanh</m:t>
              </m:r>
            </m:oMath>
            <w:r>
              <w:rPr>
                <w:rFonts w:ascii="Times New Roman" w:hAnsi="Times New Roman" w:cs="Times New Roman"/>
                <w:color w:val="auto"/>
                <w:sz w:val="20"/>
                <w:szCs w:val="20"/>
              </w:rPr>
              <w:t xml:space="preserve"> density function</w:t>
            </w:r>
          </w:p>
        </w:tc>
        <w:tc>
          <w:tcPr>
            <w:tcW w:w="2667" w:type="dxa"/>
            <w:vAlign w:val="center"/>
          </w:tcPr>
          <w:p w14:paraId="5809FD8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97.1% faces satisfy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r>
              <w:rPr>
                <w:rFonts w:ascii="Times New Roman" w:hAnsi="Times New Roman" w:cs="Times New Roman"/>
                <w:color w:val="auto"/>
                <w:sz w:val="20"/>
                <w:szCs w:val="20"/>
              </w:rPr>
              <w:t>; near-fracture pressure error 0.31%</w:t>
            </w:r>
          </w:p>
        </w:tc>
      </w:tr>
      <w:tr w14:paraId="7A0695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8C4D0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Algebra</w:t>
            </w:r>
          </w:p>
        </w:tc>
        <w:tc>
          <w:tcPr>
            <w:tcW w:w="2633" w:type="dxa"/>
            <w:vAlign w:val="center"/>
          </w:tcPr>
          <w:p w14:paraId="61F277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ILU stagnation at high conductivity contrast (Wallis et al., 1985; Vaněk et al., 1996)</w:t>
            </w:r>
          </w:p>
        </w:tc>
        <w:tc>
          <w:tcPr>
            <w:tcW w:w="3216" w:type="dxa"/>
            <w:vAlign w:val="center"/>
          </w:tcPr>
          <w:p w14:paraId="00D5C6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 + SA-AMG + Block-ILU(0) hybrid preconditioner</w:t>
            </w:r>
          </w:p>
        </w:tc>
        <w:tc>
          <w:tcPr>
            <w:tcW w:w="2667" w:type="dxa"/>
            <w:vAlign w:val="center"/>
          </w:tcPr>
          <w:p w14:paraId="4187CC2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reduced from 312 to 21; linear-solve time reduced by 72.7%</w:t>
            </w:r>
          </w:p>
        </w:tc>
      </w:tr>
      <w:tr w14:paraId="37AE46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68" w:type="dxa"/>
            <w:vAlign w:val="center"/>
          </w:tcPr>
          <w:p w14:paraId="4FB5389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Parallelism</w:t>
            </w:r>
          </w:p>
        </w:tc>
        <w:tc>
          <w:tcPr>
            <w:tcW w:w="2633" w:type="dxa"/>
            <w:vAlign w:val="center"/>
          </w:tcPr>
          <w:p w14:paraId="74E6896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Blocking MPI dominates at &gt;256 cores (Karypis and Kumar, 1998; Amdahl, 1967)</w:t>
            </w:r>
          </w:p>
        </w:tc>
        <w:tc>
          <w:tcPr>
            <w:tcW w:w="3216" w:type="dxa"/>
            <w:vAlign w:val="center"/>
          </w:tcPr>
          <w:p w14:paraId="042B834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Persistent non-blocking MPI with computation–communication overlap</w:t>
            </w:r>
          </w:p>
        </w:tc>
        <w:tc>
          <w:tcPr>
            <w:tcW w:w="2667" w:type="dxa"/>
            <w:vAlign w:val="center"/>
          </w:tcPr>
          <w:p w14:paraId="3B70A1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73% communication latency masked; 82.5% strong-scaling efficiency at 512 cores; 91.3% weak-scaling efficiency</w:t>
            </w:r>
          </w:p>
        </w:tc>
      </w:tr>
    </w:tbl>
    <w:p w14:paraId="15695B58">
      <w:pPr>
        <w:pStyle w:val="34"/>
        <w:rPr>
          <w:color w:val="auto"/>
        </w:rPr>
      </w:pPr>
      <w:r>
        <w:rPr>
          <w:color w:val="auto"/>
        </w:rPr>
        <w:drawing>
          <wp:inline distT="0" distB="0" distL="114300" distR="114300">
            <wp:extent cx="5334000" cy="1941195"/>
            <wp:effectExtent l="0" t="0" r="0" b="0"/>
            <wp:doc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pic:cNvPicPr>
                      <a:picLocks noChangeAspect="1" noChangeArrowheads="1"/>
                    </pic:cNvPicPr>
                  </pic:nvPicPr>
                  <pic:blipFill>
                    <a:blip r:embed="rId5"/>
                    <a:stretch>
                      <a:fillRect/>
                    </a:stretch>
                  </pic:blipFill>
                  <pic:spPr>
                    <a:xfrm>
                      <a:off x="0" y="0"/>
                      <a:ext cx="5334000" cy="1941526"/>
                    </a:xfrm>
                    <a:prstGeom prst="rect">
                      <a:avLst/>
                    </a:prstGeom>
                    <a:noFill/>
                    <a:ln w="9525">
                      <a:noFill/>
                    </a:ln>
                  </pic:spPr>
                </pic:pic>
              </a:graphicData>
            </a:graphic>
          </wp:inline>
        </w:drawing>
      </w:r>
    </w:p>
    <w:p w14:paraId="3BC295A0">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1. Conceptual comparison of fracture-simulation paradigms. (a) Cartesian LGR with staircase artifacts at oblique fracture faces. (b) EDFM with non-neighboring connections (dashed lines) coupling fracture and matrix domains. (c) Fracture-conforming PEBI with exact face–fracture alignment.</w:t>
      </w:r>
    </w:p>
    <w:p w14:paraId="3D405A05">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24"/>
        </w:rPr>
        <w:t>The individual components of this framework—PEBI grid generation (Heinemann et al., 1991; Palagi and Aziz, 1994a; Verma and Aziz, 1997), CPR preconditioning (Wallis et al., 1985), SA-AMG (Vaněk et al., 1996), and non-blocking MPI communication—are each well-established in their respective literatures. The present contribution lies not in the invention of any single component, but in their integrated design within a unified framework that exploits the empirically observed quantitative relationships among geometric fidelity (K-orthogonality), algebraic conditioning (diagonal dominance of the Jacobian), and parallel communication concurrency (computation–communication overlap). We emphasize that the contribution is one of system-level integration rather than component-level invention: each individual module—PEBI meshing, CPR preconditioning, SA-AMG, and non-blocking MPI—has been validated in prior work. This system-level integration—rather than independent optimization of each module—distinguishes the proposed approach from the segmented workflows currently prevailing in industry practice.</w:t>
      </w:r>
    </w:p>
    <w:p w14:paraId="3B77BB2B">
      <w:pPr>
        <w:pStyle w:val="2"/>
        <w:spacing w:before="120" w:after="60" w:line="360" w:lineRule="auto"/>
        <w:jc w:val="left"/>
        <w:rPr>
          <w:rFonts w:ascii="Times New Roman" w:hAnsi="Times New Roman" w:cs="Times New Roman"/>
          <w:color w:val="auto"/>
          <w:sz w:val="28"/>
          <w:szCs w:val="28"/>
        </w:rPr>
      </w:pPr>
      <w:bookmarkStart w:id="6" w:name="methodology"/>
      <w:r>
        <w:rPr>
          <w:rFonts w:ascii="Times New Roman" w:hAnsi="Times New Roman" w:cs="Times New Roman"/>
          <w:b/>
          <w:bCs/>
          <w:color w:val="auto"/>
          <w:sz w:val="28"/>
          <w:szCs w:val="28"/>
        </w:rPr>
        <w:t>2 Methodology</w:t>
      </w:r>
      <w:bookmarkEnd w:id="6"/>
    </w:p>
    <w:p w14:paraId="2C14A57C">
      <w:pPr>
        <w:pStyle w:val="4"/>
        <w:spacing w:before="120" w:after="60" w:line="360" w:lineRule="auto"/>
        <w:jc w:val="left"/>
        <w:rPr>
          <w:rFonts w:ascii="Times New Roman" w:hAnsi="Times New Roman" w:cs="Times New Roman"/>
          <w:color w:val="auto"/>
          <w:sz w:val="24"/>
          <w:szCs w:val="24"/>
        </w:rPr>
      </w:pPr>
      <w:bookmarkStart w:id="7" w:name="governing-equations"/>
      <w:r>
        <w:rPr>
          <w:rFonts w:ascii="Times New Roman" w:hAnsi="Times New Roman" w:cs="Times New Roman"/>
          <w:b/>
          <w:bCs/>
          <w:color w:val="auto"/>
          <w:sz w:val="24"/>
          <w:szCs w:val="24"/>
        </w:rPr>
        <w:t>2.1 Governing Equations</w:t>
      </w:r>
      <w:bookmarkEnd w:id="7"/>
    </w:p>
    <w:p w14:paraId="375B6EB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Within the fracture-conforming PEBI framework, an isothermal, fully implicit, three-phase black-oil system is solved. The black-oil formulation treats the hydrocarbon system as two pseudo-components (oil and gas) at surface conditions, with mass transfer between phases represented through the solution gas–oil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the oil and gas formation volume factors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While the framework does not incorporate a fully compositional formulation with equation-of-state-based phase equilibria in the present study, the CPR–SA-AMG preconditioning strategy is designed to extend to compositional systems where the pressure block retains a fundamentally elliptic character; this extension is reserved for future work (see Section 4.3).</w:t>
      </w:r>
    </w:p>
    <w:p w14:paraId="6140413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an arbitrary phase </w:t>
      </w:r>
      <m:oMath>
        <m:r>
          <m:rPr/>
          <w:rPr>
            <w:rFonts w:ascii="Times New Roman" w:hAnsi="Times New Roman" w:cs="Times New Roman"/>
            <w:color w:val="auto"/>
            <w:sz w:val="24"/>
            <w:szCs w:val="24"/>
          </w:rPr>
          <m:t>p∈{o,g,w}</m:t>
        </m:r>
      </m:oMath>
      <w:r>
        <w:rPr>
          <w:rFonts w:ascii="Times New Roman" w:hAnsi="Times New Roman" w:cs="Times New Roman"/>
          <w:color w:val="auto"/>
          <w:sz w:val="24"/>
          <w:szCs w:val="24"/>
        </w:rPr>
        <w:t>, the mass conservation equation is expressed as</w:t>
      </w:r>
    </w:p>
    <w:p w14:paraId="3AE9D73F">
      <w:pPr>
        <w:pStyle w:val="3"/>
        <w:spacing w:before="0" w:after="120"/>
        <w:ind w:firstLine="480" w:firstLineChars="200"/>
        <w:jc w:val="both"/>
        <w:rPr>
          <w:color w:val="auto"/>
        </w:rPr>
      </w:pPr>
      <m:oMathPara>
        <m:oMathParaPr>
          <m:jc m:val="center"/>
        </m:oMathParaPr>
        <m:oMath>
          <m:f>
            <m:fPr>
              <m:ctrlPr>
                <w:rPr>
                  <w:color w:val="auto"/>
                </w:rPr>
              </m:ctrlPr>
            </m:fPr>
            <m:num>
              <m:r>
                <m:rPr/>
                <w:rPr>
                  <w:color w:val="auto"/>
                </w:rPr>
                <m:t>∂</m:t>
              </m:r>
              <m:ctrlPr>
                <w:rPr>
                  <w:color w:val="auto"/>
                </w:rPr>
              </m:ctrlPr>
            </m:num>
            <m:den>
              <m:r>
                <m:rPr/>
                <w:rPr>
                  <w:color w:val="auto"/>
                </w:rPr>
                <m:t>∂t</m:t>
              </m:r>
              <m:ctrlPr>
                <w:rPr>
                  <w:color w:val="auto"/>
                </w:rPr>
              </m:ctrlPr>
            </m:den>
          </m:f>
          <m:d>
            <m:dPr>
              <m:ctrlPr>
                <w:rPr>
                  <w:color w:val="auto"/>
                </w:rPr>
              </m:ctrlPr>
            </m:dPr>
            <m:e>
              <m:f>
                <m:fPr>
                  <m:ctrlPr>
                    <w:rPr>
                      <w:color w:val="auto"/>
                    </w:rPr>
                  </m:ctrlPr>
                </m:fPr>
                <m:num>
                  <m:r>
                    <m:rPr/>
                    <w:rPr>
                      <w:color w:val="auto"/>
                    </w:rPr>
                    <m:t>ϕ</m:t>
                  </m:r>
                  <m:sSub>
                    <m:sSubPr>
                      <m:ctrlPr>
                        <w:rPr>
                          <w:color w:val="auto"/>
                        </w:rPr>
                      </m:ctrlPr>
                    </m:sSubPr>
                    <m:e>
                      <m:r>
                        <m:rPr/>
                        <w:rPr>
                          <w:color w:val="auto"/>
                        </w:rPr>
                        <m:t>S</m:t>
                      </m:r>
                      <m:ctrlPr>
                        <w:rPr>
                          <w:color w:val="auto"/>
                        </w:rPr>
                      </m:ctrlPr>
                    </m:e>
                    <m:sub>
                      <m:r>
                        <m:rPr/>
                        <w:rPr>
                          <w:color w:val="auto"/>
                        </w:rPr>
                        <m:t>p</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g∇z)</m:t>
              </m:r>
              <m:ctrlPr>
                <w:rPr>
                  <w:color w:val="auto"/>
                </w:rPr>
              </m:ctrlPr>
            </m:e>
          </m:d>
          <m:r>
            <m:rPr/>
            <w:rPr>
              <w:color w:val="auto"/>
            </w:rPr>
            <m:t>+</m:t>
          </m:r>
          <m:f>
            <m:fPr>
              <m:ctrlPr>
                <w:rPr>
                  <w:color w:val="auto"/>
                </w:rPr>
              </m:ctrlPr>
            </m:fPr>
            <m:num>
              <m:sSub>
                <m:sSubPr>
                  <m:ctrlPr>
                    <w:rPr>
                      <w:color w:val="auto"/>
                    </w:rPr>
                  </m:ctrlPr>
                </m:sSubPr>
                <m:e>
                  <m:r>
                    <m:rPr/>
                    <w:rPr>
                      <w:color w:val="auto"/>
                    </w:rPr>
                    <m:t>q</m:t>
                  </m:r>
                  <m:ctrlPr>
                    <w:rPr>
                      <w:color w:val="auto"/>
                    </w:rPr>
                  </m:ctrlPr>
                </m:e>
                <m:sub>
                  <m:r>
                    <m:rPr/>
                    <w:rPr>
                      <w:color w:val="auto"/>
                    </w:rPr>
                    <m:t>p</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w:rPr>
              <w:color w:val="auto"/>
            </w:rPr>
            <m:t>  (1)</m:t>
          </m:r>
        </m:oMath>
      </m:oMathPara>
    </w:p>
    <w:p w14:paraId="5F439B58">
      <w:pPr>
        <w:pStyle w:val="3"/>
        <w:spacing w:before="0" w:after="120"/>
        <w:ind w:firstLine="480" w:firstLineChars="200"/>
        <w:jc w:val="both"/>
        <w:rPr>
          <w:color w:val="auto"/>
        </w:rPr>
      </w:pPr>
      <m:oMathPara>
        <m:oMathParaPr>
          <m:jc m:val="center"/>
        </m:oMathParaPr>
        <m:oMath>
          <m:sSub>
            <m:sSubPr>
              <m:ctrlPr>
                <w:rPr>
                  <w:color w:val="auto"/>
                </w:rPr>
              </m:ctrlPr>
            </m:sSubPr>
            <m:e>
              <m:r>
                <m:rPr>
                  <m:sty m:val="b"/>
                </m:rPr>
                <w:rPr>
                  <w:color w:val="auto"/>
                </w:rPr>
                <m:t>u</m:t>
              </m:r>
              <m:ctrlPr>
                <w:rPr>
                  <w:color w:val="auto"/>
                </w:rPr>
              </m:ctrlPr>
            </m:e>
            <m:sub>
              <m:r>
                <m:rPr/>
                <w:rPr>
                  <w:color w:val="auto"/>
                </w:rPr>
                <m:t>p</m:t>
              </m:r>
              <m:ctrlPr>
                <w:rPr>
                  <w:color w:val="auto"/>
                </w:rPr>
              </m:ctrlPr>
            </m:sub>
          </m:sSub>
          <m:r>
            <m:rPr/>
            <w:rPr>
              <w:color w:val="auto"/>
            </w:rPr>
            <m:t>=−</m:t>
          </m:r>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g∇z)  (2)</m:t>
          </m:r>
        </m:oMath>
      </m:oMathPara>
    </w:p>
    <w:p w14:paraId="59B1C8D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accompanying saturation constraint is given by</w:t>
      </w:r>
    </w:p>
    <w:p w14:paraId="7BA9C72A">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S</m:t>
              </m:r>
              <m:ctrlPr>
                <w:rPr>
                  <w:color w:val="auto"/>
                </w:rPr>
              </m:ctrlPr>
            </m:e>
            <m:sub>
              <m:r>
                <m:rPr/>
                <w:rPr>
                  <w:color w:val="auto"/>
                </w:rPr>
                <m:t>o</m:t>
              </m:r>
              <m:ctrlPr>
                <w:rPr>
                  <w:color w:val="auto"/>
                </w:rPr>
              </m:ctrlPr>
            </m:sub>
          </m:sSub>
          <m:r>
            <m:rPr/>
            <w:rPr>
              <w:color w:val="auto"/>
            </w:rPr>
            <m:t>+</m:t>
          </m:r>
          <m:sSub>
            <m:sSubPr>
              <m:ctrlPr>
                <w:rPr>
                  <w:color w:val="auto"/>
                </w:rPr>
              </m:ctrlPr>
            </m:sSubPr>
            <m:e>
              <m:r>
                <m:rPr/>
                <w:rPr>
                  <w:color w:val="auto"/>
                </w:rPr>
                <m:t>S</m:t>
              </m:r>
              <m:ctrlPr>
                <w:rPr>
                  <w:color w:val="auto"/>
                </w:rPr>
              </m:ctrlPr>
            </m:e>
            <m:sub>
              <m:r>
                <m:rPr/>
                <w:rPr>
                  <w:color w:val="auto"/>
                </w:rPr>
                <m:t>g</m:t>
              </m:r>
              <m:ctrlPr>
                <w:rPr>
                  <w:color w:val="auto"/>
                </w:rPr>
              </m:ctrlPr>
            </m:sub>
          </m:sSub>
          <m:r>
            <m:rPr/>
            <w:rPr>
              <w:color w:val="auto"/>
            </w:rPr>
            <m:t>+</m:t>
          </m:r>
          <m:sSub>
            <m:sSubPr>
              <m:ctrlPr>
                <w:rPr>
                  <w:color w:val="auto"/>
                </w:rPr>
              </m:ctrlPr>
            </m:sSubPr>
            <m:e>
              <m:r>
                <m:rPr/>
                <w:rPr>
                  <w:color w:val="auto"/>
                </w:rPr>
                <m:t>S</m:t>
              </m:r>
              <m:ctrlPr>
                <w:rPr>
                  <w:color w:val="auto"/>
                </w:rPr>
              </m:ctrlPr>
            </m:e>
            <m:sub>
              <m:r>
                <m:rPr/>
                <w:rPr>
                  <w:color w:val="auto"/>
                </w:rPr>
                <m:t>w</m:t>
              </m:r>
              <m:ctrlPr>
                <w:rPr>
                  <w:color w:val="auto"/>
                </w:rPr>
              </m:ctrlPr>
            </m:sub>
          </m:sSub>
          <m:r>
            <m:rPr/>
            <w:rPr>
              <w:color w:val="auto"/>
            </w:rPr>
            <m:t>=1  (3)</m:t>
          </m:r>
        </m:oMath>
      </m:oMathPara>
    </w:p>
    <w:p w14:paraId="4014C4B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pressure dependence of porosity is represented through the linear rock compressibility relation</w:t>
      </w:r>
    </w:p>
    <w:p w14:paraId="71BDB753">
      <w:pPr>
        <w:pStyle w:val="3"/>
        <w:spacing w:before="0" w:after="120"/>
        <w:ind w:firstLine="480" w:firstLineChars="200"/>
        <w:jc w:val="both"/>
        <w:rPr>
          <w:color w:val="auto"/>
        </w:rPr>
      </w:pPr>
      <m:oMathPara>
        <m:oMathParaPr>
          <m:jc m:val="center"/>
        </m:oMathParaPr>
        <m:oMath>
          <m:r>
            <m:rPr/>
            <w:rPr>
              <w:color w:val="auto"/>
            </w:rPr>
            <m:t>ϕ=</m:t>
          </m:r>
          <m:sSub>
            <m:sSubPr>
              <m:ctrlPr>
                <w:rPr>
                  <w:color w:val="auto"/>
                </w:rPr>
              </m:ctrlPr>
            </m:sSubPr>
            <m:e>
              <m:r>
                <m:rPr/>
                <w:rPr>
                  <w:color w:val="auto"/>
                </w:rPr>
                <m:t>ϕ</m:t>
              </m:r>
              <m:ctrlPr>
                <w:rPr>
                  <w:color w:val="auto"/>
                </w:rPr>
              </m:ctrlPr>
            </m:e>
            <m:sub>
              <m:r>
                <m:rPr/>
                <w:rPr>
                  <w:color w:val="auto"/>
                </w:rPr>
                <m:t>0</m:t>
              </m:r>
              <m:ctrlPr>
                <w:rPr>
                  <w:color w:val="auto"/>
                </w:rPr>
              </m:ctrlPr>
            </m:sub>
          </m:sSub>
          <m:d>
            <m:dPr>
              <m:begChr m:val="["/>
              <m:endChr m:val="]"/>
              <m:ctrlPr>
                <w:rPr>
                  <w:color w:val="auto"/>
                </w:rPr>
              </m:ctrlPr>
            </m:dPr>
            <m:e>
              <m:r>
                <m:rPr/>
                <w:rPr>
                  <w:color w:val="auto"/>
                </w:rPr>
                <m:t>1+</m:t>
              </m:r>
              <m:sSub>
                <m:sSubPr>
                  <m:ctrlPr>
                    <w:rPr>
                      <w:color w:val="auto"/>
                    </w:rPr>
                  </m:ctrlPr>
                </m:sSubPr>
                <m:e>
                  <m:r>
                    <m:rPr/>
                    <w:rPr>
                      <w:color w:val="auto"/>
                    </w:rPr>
                    <m:t>c</m:t>
                  </m:r>
                  <m:ctrlPr>
                    <w:rPr>
                      <w:color w:val="auto"/>
                    </w:rPr>
                  </m:ctrlPr>
                </m:e>
                <m:sub>
                  <m:r>
                    <m:rPr/>
                    <w:rPr>
                      <w:color w:val="auto"/>
                    </w:rPr>
                    <m:t>r</m:t>
                  </m:r>
                  <m:ctrlPr>
                    <w:rPr>
                      <w:color w:val="auto"/>
                    </w:rPr>
                  </m:ctrlPr>
                </m:sub>
              </m:sSub>
              <m:r>
                <m:rPr/>
                <w:rPr>
                  <w:color w:val="auto"/>
                </w:rPr>
                <m:t>(p−</m:t>
              </m:r>
              <m:sSub>
                <m:sSubPr>
                  <m:ctrlPr>
                    <w:rPr>
                      <w:color w:val="auto"/>
                    </w:rPr>
                  </m:ctrlPr>
                </m:sSubPr>
                <m:e>
                  <m:r>
                    <m:rPr/>
                    <w:rPr>
                      <w:color w:val="auto"/>
                    </w:rPr>
                    <m:t>p</m:t>
                  </m:r>
                  <m:ctrlPr>
                    <w:rPr>
                      <w:color w:val="auto"/>
                    </w:rPr>
                  </m:ctrlPr>
                </m:e>
                <m:sub>
                  <m:r>
                    <m:rPr/>
                    <w:rPr>
                      <w:color w:val="auto"/>
                    </w:rPr>
                    <m:t>0</m:t>
                  </m:r>
                  <m:ctrlPr>
                    <w:rPr>
                      <w:color w:val="auto"/>
                    </w:rPr>
                  </m:ctrlPr>
                </m:sub>
              </m:sSub>
              <m:r>
                <m:rPr/>
                <w:rPr>
                  <w:color w:val="auto"/>
                </w:rPr>
                <m:t>)</m:t>
              </m:r>
              <m:ctrlPr>
                <w:rPr>
                  <w:color w:val="auto"/>
                </w:rPr>
              </m:ctrlPr>
            </m:e>
          </m:d>
          <m:r>
            <m:rPr/>
            <w:rPr>
              <w:color w:val="auto"/>
            </w:rPr>
            <m:t>  (4)</m:t>
          </m:r>
        </m:oMath>
      </m:oMathPara>
    </w:p>
    <w:p w14:paraId="58C792D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dissolved gas component, the total-gas conservation relation takes the conventional black-oil form</w:t>
      </w:r>
    </w:p>
    <w:p w14:paraId="78A11890">
      <w:pPr>
        <w:pStyle w:val="3"/>
        <w:spacing w:before="0" w:after="120"/>
        <w:ind w:firstLine="480" w:firstLineChars="200"/>
        <w:jc w:val="both"/>
        <w:rPr>
          <w:color w:val="auto"/>
        </w:rPr>
      </w:pPr>
      <m:oMathPara>
        <m:oMathParaPr>
          <m:jc m:val="center"/>
        </m:oMathParaPr>
        <m:oMath>
          <m:f>
            <m:fPr>
              <m:ctrlPr>
                <w:rPr>
                  <w:color w:val="auto"/>
                </w:rPr>
              </m:ctrlPr>
            </m:fPr>
            <m:num>
              <m:r>
                <m:rPr/>
                <w:rPr>
                  <w:color w:val="auto"/>
                </w:rPr>
                <m:t>∂</m:t>
              </m:r>
              <m:ctrlPr>
                <w:rPr>
                  <w:color w:val="auto"/>
                </w:rPr>
              </m:ctrlPr>
            </m:num>
            <m:den>
              <m:r>
                <m:rPr/>
                <w:rPr>
                  <w:color w:val="auto"/>
                </w:rPr>
                <m:t>∂t</m:t>
              </m:r>
              <m:ctrlPr>
                <w:rPr>
                  <w:color w:val="auto"/>
                </w:rPr>
              </m:ctrlPr>
            </m:den>
          </m:f>
          <m:d>
            <m:dPr>
              <m:begChr m:val="["/>
              <m:endChr m:val="]"/>
              <m:ctrlPr>
                <w:rPr>
                  <w:color w:val="auto"/>
                </w:rPr>
              </m:ctrlPr>
            </m:dPr>
            <m:e>
              <m:r>
                <m:rPr/>
                <w:rPr>
                  <w:color w:val="auto"/>
                </w:rPr>
                <m:t>ϕ</m:t>
              </m:r>
              <m:d>
                <m:dPr>
                  <m:ctrlPr>
                    <w:rPr>
                      <w:color w:val="auto"/>
                    </w:rPr>
                  </m:ctrlPr>
                </m:dPr>
                <m:e>
                  <m:f>
                    <m:fPr>
                      <m:ctrlPr>
                        <w:rPr>
                          <w:color w:val="auto"/>
                        </w:rPr>
                      </m:ctrlPr>
                    </m:fPr>
                    <m:num>
                      <m:sSub>
                        <m:sSubPr>
                          <m:ctrlPr>
                            <w:rPr>
                              <w:color w:val="auto"/>
                            </w:rPr>
                          </m:ctrlPr>
                        </m:sSubPr>
                        <m:e>
                          <m:r>
                            <m:rPr/>
                            <w:rPr>
                              <w:color w:val="auto"/>
                            </w:rPr>
                            <m:t>S</m:t>
                          </m:r>
                          <m:ctrlPr>
                            <w:rPr>
                              <w:color w:val="auto"/>
                            </w:rPr>
                          </m:ctrlPr>
                        </m:e>
                        <m:sub>
                          <m:r>
                            <m:rPr/>
                            <w:rPr>
                              <w:color w:val="auto"/>
                            </w:rPr>
                            <m:t>g</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w:rPr>
                      <w:color w:val="auto"/>
                    </w:rPr>
                    <m:t>+</m:t>
                  </m:r>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S</m:t>
                          </m:r>
                          <m:ctrlPr>
                            <w:rPr>
                              <w:color w:val="auto"/>
                            </w:rPr>
                          </m:ctrlPr>
                        </m:e>
                        <m:sub>
                          <m:r>
                            <m:rPr/>
                            <w:rPr>
                              <w:color w:val="auto"/>
                            </w:rPr>
                            <m:t>o</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ctrlPr>
                    <w:rPr>
                      <w:color w:val="auto"/>
                    </w:rPr>
                  </m:ctrlPr>
                </m:e>
              </m:d>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k</m:t>
                      </m:r>
                      <m:ctrlPr>
                        <w:rPr>
                          <w:color w:val="auto"/>
                        </w:rPr>
                      </m:ctrlPr>
                    </m:e>
                    <m:sub>
                      <m:r>
                        <m:rPr/>
                        <w:rPr>
                          <w:color w:val="auto"/>
                        </w:rPr>
                        <m:t>rg</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g</m:t>
                      </m:r>
                      <m:ctrlPr>
                        <w:rPr>
                          <w:color w:val="auto"/>
                        </w:rPr>
                      </m:ctrlPr>
                    </m:sub>
                  </m:sSub>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g</m:t>
                  </m:r>
                  <m:ctrlPr>
                    <w:rPr>
                      <w:color w:val="auto"/>
                    </w:rPr>
                  </m:ctrlPr>
                </m:sub>
              </m:sSub>
              <m:r>
                <m:rPr/>
                <w:rPr>
                  <w:color w:val="auto"/>
                </w:rPr>
                <m:t>g∇z)</m:t>
              </m:r>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k</m:t>
                      </m:r>
                      <m:ctrlPr>
                        <w:rPr>
                          <w:color w:val="auto"/>
                        </w:rPr>
                      </m:ctrlPr>
                    </m:e>
                    <m:sub>
                      <m:r>
                        <m:rPr/>
                        <w:rPr>
                          <w:color w:val="auto"/>
                        </w:rPr>
                        <m:t>ro</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o</m:t>
                      </m:r>
                      <m:ctrlPr>
                        <w:rPr>
                          <w:color w:val="auto"/>
                        </w:rPr>
                      </m:ctrlPr>
                    </m:sub>
                  </m:sSub>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o</m:t>
                  </m:r>
                  <m:ctrlPr>
                    <w:rPr>
                      <w:color w:val="auto"/>
                    </w:rPr>
                  </m:ctrlPr>
                </m:sub>
              </m:sSub>
              <m:r>
                <m:rPr/>
                <w:rPr>
                  <w:color w:val="auto"/>
                </w:rPr>
                <m:t>g∇z)</m:t>
              </m:r>
              <m:ctrlPr>
                <w:rPr>
                  <w:color w:val="auto"/>
                </w:rPr>
              </m:ctrlPr>
            </m:e>
          </m:d>
          <m:r>
            <m:rPr/>
            <w:rPr>
              <w:color w:val="auto"/>
            </w:rPr>
            <m:t>+</m:t>
          </m:r>
          <m:f>
            <m:fPr>
              <m:ctrlPr>
                <w:rPr>
                  <w:color w:val="auto"/>
                </w:rPr>
              </m:ctrlPr>
            </m:fPr>
            <m:num>
              <m:sSub>
                <m:sSubPr>
                  <m:ctrlPr>
                    <w:rPr>
                      <w:color w:val="auto"/>
                    </w:rPr>
                  </m:ctrlPr>
                </m:sSubPr>
                <m:e>
                  <m:r>
                    <m:rPr/>
                    <w:rPr>
                      <w:color w:val="auto"/>
                    </w:rPr>
                    <m:t>q</m:t>
                  </m:r>
                  <m:ctrlPr>
                    <w:rPr>
                      <w:color w:val="auto"/>
                    </w:rPr>
                  </m:ctrlPr>
                </m:e>
                <m:sub>
                  <m:r>
                    <m:rPr/>
                    <w:rPr>
                      <w:color w:val="auto"/>
                    </w:rPr>
                    <m:t>g</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w:rPr>
              <w:color w:val="auto"/>
            </w:rPr>
            <m:t>+</m:t>
          </m:r>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q</m:t>
                  </m:r>
                  <m:ctrlPr>
                    <w:rPr>
                      <w:color w:val="auto"/>
                    </w:rPr>
                  </m:ctrlPr>
                </m:e>
                <m:sub>
                  <m:r>
                    <m:rPr/>
                    <w:rPr>
                      <w:color w:val="auto"/>
                    </w:rPr>
                    <m:t>o</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r>
            <m:rPr/>
            <w:rPr>
              <w:color w:val="auto"/>
            </w:rPr>
            <m:t>  (5)</m:t>
          </m:r>
        </m:oMath>
      </m:oMathPara>
    </w:p>
    <w:p w14:paraId="67362A6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(5),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 the oil and gas formation volume factors, respectively,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represents the solution gas–oil ratio. Together with the oil and water conservation statements (Eq. (1)), this completes the system of governing equations. We note that the vaporized oil–gas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v</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neglected, which is appropriate for black-oil systems operating below the critical point where oil vaporization into the gas phase is negligible.</w:t>
      </w:r>
    </w:p>
    <w:p w14:paraId="6460963F">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2: Primary physical variables and representative shale-oil ranges.</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1"/>
        <w:gridCol w:w="3845"/>
        <w:gridCol w:w="2273"/>
        <w:gridCol w:w="1392"/>
      </w:tblGrid>
      <w:tr w14:paraId="41B249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D456BF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0" w:type="auto"/>
            <w:tcBorders>
              <w:bottom w:val="single" w:color="auto" w:sz="0" w:space="0"/>
            </w:tcBorders>
            <w:vAlign w:val="center"/>
          </w:tcPr>
          <w:p w14:paraId="3F2F36A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0" w:type="auto"/>
            <w:tcBorders>
              <w:bottom w:val="single" w:color="auto" w:sz="0" w:space="0"/>
            </w:tcBorders>
            <w:vAlign w:val="center"/>
          </w:tcPr>
          <w:p w14:paraId="45EABE9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Typical Range</w:t>
            </w:r>
          </w:p>
        </w:tc>
        <w:tc>
          <w:tcPr>
            <w:tcW w:w="1394" w:type="dxa"/>
            <w:tcBorders>
              <w:bottom w:val="single" w:color="auto" w:sz="0" w:space="0"/>
            </w:tcBorders>
            <w:vAlign w:val="center"/>
          </w:tcPr>
          <w:p w14:paraId="0B8A316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3F3A376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F986E15">
            <w:pPr>
              <w:pStyle w:val="24"/>
              <w:snapToGrid w:val="0"/>
              <w:spacing w:before="0" w:after="0"/>
              <w:ind w:left="0" w:leftChars="0" w:right="0" w:rightChars="0" w:firstLineChars="0"/>
              <w:jc w:val="left"/>
              <w:rPr>
                <w:color w:val="auto"/>
              </w:rPr>
            </w:pPr>
            <m:oMathPara>
              <m:oMath>
                <m:r>
                  <m:rPr>
                    <m:sty m:val="b"/>
                  </m:rPr>
                  <w:rPr>
                    <w:color w:val="auto"/>
                  </w:rPr>
                  <m:t>K</m:t>
                </m:r>
              </m:oMath>
            </m:oMathPara>
          </w:p>
        </w:tc>
        <w:tc>
          <w:tcPr>
            <w:tcW w:w="0" w:type="auto"/>
            <w:vAlign w:val="center"/>
          </w:tcPr>
          <w:p w14:paraId="723D63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Absolute permeability tensor</w:t>
            </w:r>
          </w:p>
        </w:tc>
        <w:tc>
          <w:tcPr>
            <w:tcW w:w="0" w:type="auto"/>
            <w:vAlign w:val="center"/>
          </w:tcPr>
          <w:p w14:paraId="636E3A41">
            <w:pPr>
              <w:pStyle w:val="24"/>
              <w:snapToGrid w:val="0"/>
              <w:spacing w:before="0" w:after="0"/>
              <w:ind w:left="0" w:leftChars="0" w:right="0" w:rightChars="0" w:firstLineChars="0"/>
              <w:jc w:val="left"/>
              <w:rPr>
                <w:color w:val="auto"/>
              </w:rPr>
            </w:pPr>
            <m:oMath>
              <m:sSup>
                <m:sSupPr>
                  <m:ctrlPr>
                    <w:rPr>
                      <w:color w:val="auto"/>
                    </w:rPr>
                  </m:ctrlPr>
                </m:sSupPr>
                <m:e>
                  <m:r>
                    <m:rPr/>
                    <w:rPr>
                      <w:color w:val="auto"/>
                    </w:rPr>
                    <m:t>10</m:t>
                  </m:r>
                  <m:ctrlPr>
                    <w:rPr>
                      <w:color w:val="auto"/>
                    </w:rPr>
                  </m:ctrlPr>
                </m:e>
                <m:sup>
                  <m:r>
                    <m:rPr/>
                    <w:rPr>
                      <w:color w:val="auto"/>
                    </w:rPr>
                    <m:t>−3</m:t>
                  </m:r>
                  <m:ctrlPr>
                    <w:rPr>
                      <w:color w:val="auto"/>
                    </w:rPr>
                  </m:ctrlPr>
                </m:sup>
              </m:sSup>
            </m:oMath>
            <w:r>
              <w:rPr>
                <w:rFonts w:ascii="Times New Roman" w:hAnsi="Times New Roman" w:cs="Times New Roman"/>
                <w:color w:val="auto"/>
                <w:sz w:val="20"/>
                <w:szCs w:val="20"/>
              </w:rPr>
              <w:t>–</w:t>
            </w:r>
            <m:oMath>
              <m:sSup>
                <m:sSupPr>
                  <m:ctrlPr>
                    <w:rPr>
                      <w:color w:val="auto"/>
                    </w:rPr>
                  </m:ctrlPr>
                </m:sSupPr>
                <m:e>
                  <m:r>
                    <m:rPr/>
                    <w:rPr>
                      <w:color w:val="auto"/>
                    </w:rPr>
                    <m:t>10</m:t>
                  </m:r>
                  <m:ctrlPr>
                    <w:rPr>
                      <w:color w:val="auto"/>
                    </w:rPr>
                  </m:ctrlPr>
                </m:e>
                <m:sup>
                  <m:r>
                    <m:rPr/>
                    <w:rPr>
                      <w:color w:val="auto"/>
                    </w:rPr>
                    <m:t>−1</m:t>
                  </m:r>
                  <m:ctrlPr>
                    <w:rPr>
                      <w:color w:val="auto"/>
                    </w:rPr>
                  </m:ctrlPr>
                </m:sup>
              </m:sSup>
            </m:oMath>
          </w:p>
        </w:tc>
        <w:tc>
          <w:tcPr>
            <w:tcW w:w="1394" w:type="dxa"/>
            <w:vAlign w:val="center"/>
          </w:tcPr>
          <w:p w14:paraId="46F820B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2D1DD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6B5BA6A">
            <w:pPr>
              <w:pStyle w:val="24"/>
              <w:snapToGrid w:val="0"/>
              <w:spacing w:before="0" w:after="0"/>
              <w:ind w:left="0" w:leftChars="0" w:right="0" w:rightChars="0" w:firstLineChars="0"/>
              <w:jc w:val="left"/>
              <w:rPr>
                <w:color w:val="auto"/>
              </w:rPr>
            </w:pPr>
            <m:oMathPara>
              <m:oMath>
                <m:r>
                  <m:rPr/>
                  <w:rPr>
                    <w:color w:val="auto"/>
                  </w:rPr>
                  <m:t>ϕ</m:t>
                </m:r>
              </m:oMath>
            </m:oMathPara>
          </w:p>
        </w:tc>
        <w:tc>
          <w:tcPr>
            <w:tcW w:w="0" w:type="auto"/>
            <w:vAlign w:val="center"/>
          </w:tcPr>
          <w:p w14:paraId="6BCF73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Porosity</w:t>
            </w:r>
          </w:p>
        </w:tc>
        <w:tc>
          <w:tcPr>
            <w:tcW w:w="0" w:type="auto"/>
            <w:vAlign w:val="center"/>
          </w:tcPr>
          <w:p w14:paraId="5B587E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0.04–0.12</w:t>
            </w:r>
          </w:p>
        </w:tc>
        <w:tc>
          <w:tcPr>
            <w:tcW w:w="1394" w:type="dxa"/>
            <w:vAlign w:val="center"/>
          </w:tcPr>
          <w:p w14:paraId="4669F05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5E09D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3530DE2">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R</m:t>
                    </m:r>
                    <m:ctrlPr>
                      <w:rPr>
                        <w:color w:val="auto"/>
                      </w:rPr>
                    </m:ctrlPr>
                  </m:e>
                  <m:sub>
                    <m:r>
                      <m:rPr/>
                      <w:rPr>
                        <w:color w:val="auto"/>
                      </w:rPr>
                      <m:t>s</m:t>
                    </m:r>
                    <m:ctrlPr>
                      <w:rPr>
                        <w:color w:val="auto"/>
                      </w:rPr>
                    </m:ctrlPr>
                  </m:sub>
                </m:sSub>
              </m:oMath>
            </m:oMathPara>
          </w:p>
        </w:tc>
        <w:tc>
          <w:tcPr>
            <w:tcW w:w="0" w:type="auto"/>
            <w:vAlign w:val="center"/>
          </w:tcPr>
          <w:p w14:paraId="2478FF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Solution gas–oil ratio</w:t>
            </w:r>
          </w:p>
        </w:tc>
        <w:tc>
          <w:tcPr>
            <w:tcW w:w="0" w:type="auto"/>
            <w:vAlign w:val="center"/>
          </w:tcPr>
          <w:p w14:paraId="52F7985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50–200</w:t>
            </w:r>
          </w:p>
        </w:tc>
        <w:tc>
          <w:tcPr>
            <w:tcW w:w="1394" w:type="dxa"/>
            <w:vAlign w:val="center"/>
          </w:tcPr>
          <w:p w14:paraId="4EE690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r w14:paraId="5A34B0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18AA81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c</m:t>
                    </m:r>
                    <m:ctrlPr>
                      <w:rPr>
                        <w:color w:val="auto"/>
                      </w:rPr>
                    </m:ctrlPr>
                  </m:e>
                  <m:sub>
                    <m:r>
                      <m:rPr/>
                      <w:rPr>
                        <w:color w:val="auto"/>
                      </w:rPr>
                      <m:t>r</m:t>
                    </m:r>
                    <m:ctrlPr>
                      <w:rPr>
                        <w:color w:val="auto"/>
                      </w:rPr>
                    </m:ctrlPr>
                  </m:sub>
                </m:sSub>
              </m:oMath>
            </m:oMathPara>
          </w:p>
        </w:tc>
        <w:tc>
          <w:tcPr>
            <w:tcW w:w="0" w:type="auto"/>
            <w:vAlign w:val="center"/>
          </w:tcPr>
          <w:p w14:paraId="7D5612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0" w:type="auto"/>
            <w:vAlign w:val="center"/>
          </w:tcPr>
          <w:p w14:paraId="353BC0E0">
            <w:pPr>
              <w:pStyle w:val="24"/>
              <w:snapToGrid w:val="0"/>
              <w:spacing w:before="0" w:after="0"/>
              <w:ind w:left="0" w:leftChars="0" w:right="0" w:rightChars="0" w:firstLineChars="0"/>
              <w:jc w:val="left"/>
              <w:rPr>
                <w:color w:val="auto"/>
              </w:rPr>
            </w:pPr>
            <m:oMath>
              <m:r>
                <m:rPr/>
                <w:rPr>
                  <w:color w:val="auto"/>
                </w:rPr>
                <m:t>3×</m:t>
              </m:r>
              <m:sSup>
                <m:sSupPr>
                  <m:ctrlPr>
                    <w:rPr>
                      <w:color w:val="auto"/>
                    </w:rPr>
                  </m:ctrlPr>
                </m:sSupPr>
                <m:e>
                  <m:r>
                    <m:rPr/>
                    <w:rPr>
                      <w:color w:val="auto"/>
                    </w:rPr>
                    <m:t>10</m:t>
                  </m:r>
                  <m:ctrlPr>
                    <w:rPr>
                      <w:color w:val="auto"/>
                    </w:rPr>
                  </m:ctrlPr>
                </m:e>
                <m:sup>
                  <m:r>
                    <m:rPr/>
                    <w:rPr>
                      <w:color w:val="auto"/>
                    </w:rPr>
                    <m:t>−6</m:t>
                  </m:r>
                  <m:ctrlPr>
                    <w:rPr>
                      <w:color w:val="auto"/>
                    </w:rPr>
                  </m:ctrlPr>
                </m:sup>
              </m:sSup>
            </m:oMath>
            <w:r>
              <w:rPr>
                <w:rFonts w:ascii="Times New Roman" w:hAnsi="Times New Roman" w:cs="Times New Roman"/>
                <w:color w:val="auto"/>
                <w:sz w:val="20"/>
                <w:szCs w:val="20"/>
              </w:rPr>
              <w:t>–</w:t>
            </w:r>
            <m:oMath>
              <m:r>
                <m:rPr/>
                <w:rPr>
                  <w:color w:val="auto"/>
                </w:rPr>
                <m:t>1×</m:t>
              </m:r>
              <m:sSup>
                <m:sSupPr>
                  <m:ctrlPr>
                    <w:rPr>
                      <w:color w:val="auto"/>
                    </w:rPr>
                  </m:ctrlPr>
                </m:sSupPr>
                <m:e>
                  <m:r>
                    <m:rPr/>
                    <w:rPr>
                      <w:color w:val="auto"/>
                    </w:rPr>
                    <m:t>10</m:t>
                  </m:r>
                  <m:ctrlPr>
                    <w:rPr>
                      <w:color w:val="auto"/>
                    </w:rPr>
                  </m:ctrlPr>
                </m:e>
                <m:sup>
                  <m:r>
                    <m:rPr/>
                    <w:rPr>
                      <w:color w:val="auto"/>
                    </w:rPr>
                    <m:t>−5</m:t>
                  </m:r>
                  <m:ctrlPr>
                    <w:rPr>
                      <w:color w:val="auto"/>
                    </w:rPr>
                  </m:ctrlPr>
                </m:sup>
              </m:sSup>
            </m:oMath>
          </w:p>
        </w:tc>
        <w:tc>
          <w:tcPr>
            <w:tcW w:w="1394" w:type="dxa"/>
            <w:vAlign w:val="center"/>
          </w:tcPr>
          <w:p w14:paraId="328DBC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42E862C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758B3F7">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a</m:t>
                    </m:r>
                    <m:ctrlPr>
                      <w:rPr>
                        <w:color w:val="auto"/>
                      </w:rPr>
                    </m:ctrlPr>
                  </m:e>
                  <m:sub>
                    <m:r>
                      <m:rPr/>
                      <w:rPr>
                        <w:color w:val="auto"/>
                      </w:rPr>
                      <m:t>f</m:t>
                    </m:r>
                    <m:ctrlPr>
                      <w:rPr>
                        <w:color w:val="auto"/>
                      </w:rPr>
                    </m:ctrlPr>
                  </m:sub>
                </m:sSub>
              </m:oMath>
            </m:oMathPara>
          </w:p>
        </w:tc>
        <w:tc>
          <w:tcPr>
            <w:tcW w:w="0" w:type="auto"/>
            <w:vAlign w:val="center"/>
          </w:tcPr>
          <w:p w14:paraId="63A1E2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aperture</w:t>
            </w:r>
          </w:p>
        </w:tc>
        <w:tc>
          <w:tcPr>
            <w:tcW w:w="0" w:type="auto"/>
            <w:vAlign w:val="center"/>
          </w:tcPr>
          <w:p w14:paraId="12D90B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w:t>
            </w:r>
          </w:p>
        </w:tc>
        <w:tc>
          <w:tcPr>
            <w:tcW w:w="1394" w:type="dxa"/>
            <w:vAlign w:val="center"/>
          </w:tcPr>
          <w:p w14:paraId="6F8D794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mm</w:t>
            </w:r>
          </w:p>
        </w:tc>
      </w:tr>
      <w:tr w14:paraId="1CB6A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05" w:type="dxa"/>
            <w:vAlign w:val="center"/>
          </w:tcPr>
          <w:p w14:paraId="7DA60DAC">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K</m:t>
                    </m:r>
                    <m:ctrlPr>
                      <w:rPr>
                        <w:color w:val="auto"/>
                      </w:rPr>
                    </m:ctrlPr>
                  </m:e>
                  <m:sub>
                    <m:r>
                      <m:rPr/>
                      <w:rPr>
                        <w:color w:val="auto"/>
                      </w:rPr>
                      <m:t>f</m:t>
                    </m:r>
                    <m:ctrlPr>
                      <w:rPr>
                        <w:color w:val="auto"/>
                      </w:rPr>
                    </m:ctrlPr>
                  </m:sub>
                </m:sSub>
              </m:oMath>
            </m:oMathPara>
          </w:p>
        </w:tc>
        <w:tc>
          <w:tcPr>
            <w:tcW w:w="3946" w:type="dxa"/>
            <w:vAlign w:val="center"/>
          </w:tcPr>
          <w:p w14:paraId="4533DA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permeability</w:t>
            </w:r>
          </w:p>
        </w:tc>
        <w:tc>
          <w:tcPr>
            <w:tcW w:w="2306" w:type="dxa"/>
            <w:vAlign w:val="center"/>
          </w:tcPr>
          <w:p w14:paraId="3D6873A5">
            <w:pPr>
              <w:pStyle w:val="24"/>
              <w:snapToGrid w:val="0"/>
              <w:spacing w:before="0" w:after="0"/>
              <w:ind w:left="0" w:leftChars="0" w:right="0" w:rightChars="0" w:firstLineChars="0"/>
              <w:jc w:val="left"/>
              <w:rPr>
                <w:color w:val="auto"/>
              </w:rPr>
            </w:pPr>
            <m:oMath>
              <m:sSup>
                <m:sSupPr>
                  <m:ctrlPr>
                    <w:rPr>
                      <w:color w:val="auto"/>
                    </w:rPr>
                  </m:ctrlPr>
                </m:sSupPr>
                <m:e>
                  <m:r>
                    <m:rPr/>
                    <w:rPr>
                      <w:color w:val="auto"/>
                    </w:rPr>
                    <m:t>10</m:t>
                  </m:r>
                  <m:ctrlPr>
                    <w:rPr>
                      <w:color w:val="auto"/>
                    </w:rPr>
                  </m:ctrlPr>
                </m:e>
                <m:sup>
                  <m:r>
                    <m:rPr/>
                    <w:rPr>
                      <w:color w:val="auto"/>
                    </w:rPr>
                    <m:t>3</m:t>
                  </m:r>
                  <m:ctrlPr>
                    <w:rPr>
                      <w:color w:val="auto"/>
                    </w:rPr>
                  </m:ctrlPr>
                </m:sup>
              </m:sSup>
            </m:oMath>
            <w:r>
              <w:rPr>
                <w:rFonts w:ascii="Times New Roman" w:hAnsi="Times New Roman" w:cs="Times New Roman"/>
                <w:color w:val="auto"/>
                <w:sz w:val="20"/>
                <w:szCs w:val="20"/>
              </w:rPr>
              <w:t>–</w:t>
            </w:r>
            <m:oMath>
              <m:sSup>
                <m:sSupPr>
                  <m:ctrlPr>
                    <w:rPr>
                      <w:color w:val="auto"/>
                    </w:rPr>
                  </m:ctrlPr>
                </m:sSupPr>
                <m:e>
                  <m:r>
                    <m:rPr/>
                    <w:rPr>
                      <w:color w:val="auto"/>
                    </w:rPr>
                    <m:t>10</m:t>
                  </m:r>
                  <m:ctrlPr>
                    <w:rPr>
                      <w:color w:val="auto"/>
                    </w:rPr>
                  </m:ctrlPr>
                </m:e>
                <m:sup>
                  <m:r>
                    <m:rPr/>
                    <w:rPr>
                      <w:color w:val="auto"/>
                    </w:rPr>
                    <m:t>6</m:t>
                  </m:r>
                  <m:ctrlPr>
                    <w:rPr>
                      <w:color w:val="auto"/>
                    </w:rPr>
                  </m:ctrlPr>
                </m:sup>
              </m:sSup>
            </m:oMath>
          </w:p>
        </w:tc>
        <w:tc>
          <w:tcPr>
            <w:tcW w:w="1394" w:type="dxa"/>
            <w:vAlign w:val="center"/>
          </w:tcPr>
          <w:p w14:paraId="3AE036D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bl>
    <w:p w14:paraId="217B1E8F">
      <w:pPr>
        <w:pStyle w:val="4"/>
        <w:spacing w:before="120" w:after="60" w:line="360" w:lineRule="auto"/>
        <w:jc w:val="left"/>
        <w:rPr>
          <w:rFonts w:ascii="Times New Roman" w:hAnsi="Times New Roman" w:cs="Times New Roman"/>
          <w:color w:val="auto"/>
          <w:sz w:val="24"/>
          <w:szCs w:val="24"/>
        </w:rPr>
      </w:pPr>
      <w:bookmarkStart w:id="8" w:name="tpfa-discretization-on-pebi-grids"/>
      <w:r>
        <w:rPr>
          <w:rFonts w:ascii="Times New Roman" w:hAnsi="Times New Roman" w:cs="Times New Roman"/>
          <w:b/>
          <w:bCs/>
          <w:color w:val="auto"/>
          <w:sz w:val="24"/>
          <w:szCs w:val="24"/>
        </w:rPr>
        <w:t>2.2 TPFA Discretization on PEBI Grids</w:t>
      </w:r>
      <w:bookmarkEnd w:id="8"/>
    </w:p>
    <w:p w14:paraId="5931C2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Integrating Eq. (1) over an arbitrary PEBI cell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Ω</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invoking the Gauss divergence theorem yields the discrete intercell flux across face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Γ</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w:t>
      </w:r>
    </w:p>
    <w:p w14:paraId="0A56C511">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F</m:t>
              </m:r>
              <m:ctrlPr>
                <w:rPr>
                  <w:color w:val="auto"/>
                </w:rPr>
              </m:ctrlPr>
            </m:e>
            <m:sub>
              <m:r>
                <m:rPr/>
                <w:rPr>
                  <w:color w:val="auto"/>
                </w:rPr>
                <m:t>p,ij</m:t>
              </m:r>
              <m:ctrlPr>
                <w:rPr>
                  <w:color w:val="auto"/>
                </w:rPr>
              </m:ctrlPr>
            </m:sub>
          </m:sSub>
          <m:r>
            <m:rPr/>
            <w:rPr>
              <w:color w:val="auto"/>
            </w:rPr>
            <m:t>=</m:t>
          </m:r>
          <m:sSub>
            <m:sSubPr>
              <m:ctrlPr>
                <w:rPr>
                  <w:color w:val="auto"/>
                </w:rPr>
              </m:ctrlPr>
            </m:sSubPr>
            <m:e>
              <m:r>
                <m:rPr/>
                <w:rPr>
                  <w:color w:val="auto"/>
                </w:rPr>
                <m:t>T</m:t>
              </m:r>
              <m:ctrlPr>
                <w:rPr>
                  <w:color w:val="auto"/>
                </w:rPr>
              </m:ctrlPr>
            </m:e>
            <m:sub>
              <m:r>
                <m:rPr/>
                <w:rPr>
                  <w:color w:val="auto"/>
                </w:rPr>
                <m:t>p,ij</m:t>
              </m:r>
              <m:ctrlPr>
                <w:rPr>
                  <w:color w:val="auto"/>
                </w:rPr>
              </m:ctrlPr>
            </m:sub>
          </m:sSub>
          <m:d>
            <m:dPr>
              <m:begChr m:val="["/>
              <m:endChr m:val="]"/>
              <m:ctrlPr>
                <w:rPr>
                  <w:color w:val="auto"/>
                </w:rPr>
              </m:ctrlPr>
            </m:dPr>
            <m:e>
              <m:r>
                <m:rPr/>
                <w:rPr>
                  <w:color w:val="auto"/>
                </w:rPr>
                <m:t>(</m:t>
              </m:r>
              <m:sSub>
                <m:sSubPr>
                  <m:ctrlPr>
                    <w:rPr>
                      <w:color w:val="auto"/>
                    </w:rPr>
                  </m:ctrlPr>
                </m:sSubPr>
                <m:e>
                  <m:r>
                    <m:rPr/>
                    <w:rPr>
                      <w:color w:val="auto"/>
                    </w:rPr>
                    <m:t>p</m:t>
                  </m:r>
                  <m:ctrlPr>
                    <w:rPr>
                      <w:color w:val="auto"/>
                    </w:rPr>
                  </m:ctrlPr>
                </m:e>
                <m:sub>
                  <m:r>
                    <m:rPr/>
                    <w:rPr>
                      <w:color w:val="auto"/>
                    </w:rPr>
                    <m:t>i</m:t>
                  </m:r>
                  <m:ctrlPr>
                    <w:rPr>
                      <w:color w:val="auto"/>
                    </w:rPr>
                  </m:ctrlPr>
                </m:sub>
              </m:sSub>
              <m:r>
                <m:rPr/>
                <w:rPr>
                  <w:color w:val="auto"/>
                </w:rPr>
                <m:t>−</m:t>
              </m:r>
              <m:sSub>
                <m:sSubPr>
                  <m:ctrlPr>
                    <w:rPr>
                      <w:color w:val="auto"/>
                    </w:rPr>
                  </m:ctrlPr>
                </m:sSubPr>
                <m:e>
                  <m:r>
                    <m:rPr/>
                    <w:rPr>
                      <w:color w:val="auto"/>
                    </w:rPr>
                    <m:t>p</m:t>
                  </m:r>
                  <m:ctrlPr>
                    <w:rPr>
                      <w:color w:val="auto"/>
                    </w:rPr>
                  </m:ctrlPr>
                </m:e>
                <m:sub>
                  <m:r>
                    <m:rPr/>
                    <w:rPr>
                      <w:color w:val="auto"/>
                    </w:rPr>
                    <m:t>j</m:t>
                  </m:r>
                  <m:ctrlPr>
                    <w:rPr>
                      <w:color w:val="auto"/>
                    </w:rPr>
                  </m:ctrlPr>
                </m:sub>
              </m:sSub>
              <m:r>
                <m:rPr/>
                <w:rPr>
                  <w:color w:val="auto"/>
                </w:rPr>
                <m:t>)−</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m:t>
              </m:r>
              <m:sSub>
                <m:sSubPr>
                  <m:ctrlPr>
                    <w:rPr>
                      <w:color w:val="auto"/>
                    </w:rPr>
                  </m:ctrlPr>
                </m:sSubPr>
                <m:e>
                  <m:r>
                    <m:rPr/>
                    <w:rPr>
                      <w:color w:val="auto"/>
                    </w:rPr>
                    <m:t>z</m:t>
                  </m:r>
                  <m:ctrlPr>
                    <w:rPr>
                      <w:color w:val="auto"/>
                    </w:rPr>
                  </m:ctrlPr>
                </m:e>
                <m:sub>
                  <m:r>
                    <m:rPr/>
                    <w:rPr>
                      <w:color w:val="auto"/>
                    </w:rPr>
                    <m:t>i</m:t>
                  </m:r>
                  <m:ctrlPr>
                    <w:rPr>
                      <w:color w:val="auto"/>
                    </w:rPr>
                  </m:ctrlPr>
                </m:sub>
              </m:sSub>
              <m:r>
                <m:rPr/>
                <w:rPr>
                  <w:color w:val="auto"/>
                </w:rPr>
                <m:t>−</m:t>
              </m:r>
              <m:sSub>
                <m:sSubPr>
                  <m:ctrlPr>
                    <w:rPr>
                      <w:color w:val="auto"/>
                    </w:rPr>
                  </m:ctrlPr>
                </m:sSubPr>
                <m:e>
                  <m:r>
                    <m:rPr/>
                    <w:rPr>
                      <w:color w:val="auto"/>
                    </w:rPr>
                    <m:t>z</m:t>
                  </m:r>
                  <m:ctrlPr>
                    <w:rPr>
                      <w:color w:val="auto"/>
                    </w:rPr>
                  </m:ctrlPr>
                </m:e>
                <m:sub>
                  <m:r>
                    <m:rPr/>
                    <w:rPr>
                      <w:color w:val="auto"/>
                    </w:rPr>
                    <m:t>j</m:t>
                  </m:r>
                  <m:ctrlPr>
                    <w:rPr>
                      <w:color w:val="auto"/>
                    </w:rPr>
                  </m:ctrlPr>
                </m:sub>
              </m:sSub>
              <m:r>
                <m:rPr/>
                <w:rPr>
                  <w:color w:val="auto"/>
                </w:rPr>
                <m:t>)</m:t>
              </m:r>
              <m:ctrlPr>
                <w:rPr>
                  <w:color w:val="auto"/>
                </w:rPr>
              </m:ctrlPr>
            </m:e>
          </m:d>
          <m:r>
            <m:rPr/>
            <w:rPr>
              <w:color w:val="auto"/>
            </w:rPr>
            <m:t>  (6)</m:t>
          </m:r>
        </m:oMath>
      </m:oMathPara>
    </w:p>
    <w:p w14:paraId="20044AF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the above expression, the transmissibility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p,ij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assembled from one-sided half-transmissibilities via harmonic averaging:</w:t>
      </w:r>
    </w:p>
    <w:p w14:paraId="7C1CA3C9">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T</m:t>
              </m:r>
              <m:ctrlPr>
                <w:rPr>
                  <w:color w:val="auto"/>
                </w:rPr>
              </m:ctrlPr>
            </m:e>
            <m:sub>
              <m:r>
                <m:rPr/>
                <w:rPr>
                  <w:color w:val="auto"/>
                </w:rPr>
                <m:t>p,ij</m:t>
              </m:r>
              <m:ctrlPr>
                <w:rPr>
                  <w:color w:val="auto"/>
                </w:rPr>
              </m:ctrlPr>
            </m:sub>
          </m:sSub>
          <m:r>
            <m:rPr/>
            <w:rPr>
              <w:color w:val="auto"/>
            </w:rPr>
            <m:t>=</m:t>
          </m:r>
          <m:sSup>
            <m:sSupPr>
              <m:ctrlPr>
                <w:rPr>
                  <w:color w:val="auto"/>
                </w:rPr>
              </m:ctrlPr>
            </m:sSupPr>
            <m:e>
              <m:d>
                <m:dPr>
                  <m:ctrlPr>
                    <w:rPr>
                      <w:color w:val="auto"/>
                    </w:rPr>
                  </m:ctrlPr>
                </m:dPr>
                <m:e>
                  <m:f>
                    <m:fPr>
                      <m:ctrlPr>
                        <w:rPr>
                          <w:color w:val="auto"/>
                        </w:rPr>
                      </m:ctrlPr>
                    </m:fPr>
                    <m:num>
                      <m:r>
                        <m:rPr/>
                        <w:rPr>
                          <w:color w:val="auto"/>
                        </w:rPr>
                        <m:t>1</m:t>
                      </m:r>
                      <m:ctrlPr>
                        <w:rPr>
                          <w:color w:val="auto"/>
                        </w:rPr>
                      </m:ctrlPr>
                    </m:num>
                    <m:den>
                      <m:sSub>
                        <m:sSubPr>
                          <m:ctrlPr>
                            <w:rPr>
                              <w:color w:val="auto"/>
                            </w:rPr>
                          </m:ctrlPr>
                        </m:sSubPr>
                        <m:e>
                          <m:r>
                            <m:rPr/>
                            <w:rPr>
                              <w:color w:val="auto"/>
                            </w:rPr>
                            <m:t>T</m:t>
                          </m:r>
                          <m:ctrlPr>
                            <w:rPr>
                              <w:color w:val="auto"/>
                            </w:rPr>
                          </m:ctrlPr>
                        </m:e>
                        <m:sub>
                          <m:r>
                            <m:rPr/>
                            <w:rPr>
                              <w:color w:val="auto"/>
                            </w:rPr>
                            <m:t>p,i</m:t>
                          </m:r>
                          <m:ctrlPr>
                            <w:rPr>
                              <w:color w:val="auto"/>
                            </w:rPr>
                          </m:ctrlPr>
                        </m:sub>
                      </m:sSub>
                      <m:ctrlPr>
                        <w:rPr>
                          <w:color w:val="auto"/>
                        </w:rPr>
                      </m:ctrlPr>
                    </m:den>
                  </m:f>
                  <m:r>
                    <m:rPr/>
                    <w:rPr>
                      <w:color w:val="auto"/>
                    </w:rPr>
                    <m:t>+</m:t>
                  </m:r>
                  <m:f>
                    <m:fPr>
                      <m:ctrlPr>
                        <w:rPr>
                          <w:color w:val="auto"/>
                        </w:rPr>
                      </m:ctrlPr>
                    </m:fPr>
                    <m:num>
                      <m:r>
                        <m:rPr/>
                        <w:rPr>
                          <w:color w:val="auto"/>
                        </w:rPr>
                        <m:t>1</m:t>
                      </m:r>
                      <m:ctrlPr>
                        <w:rPr>
                          <w:color w:val="auto"/>
                        </w:rPr>
                      </m:ctrlPr>
                    </m:num>
                    <m:den>
                      <m:sSub>
                        <m:sSubPr>
                          <m:ctrlPr>
                            <w:rPr>
                              <w:color w:val="auto"/>
                            </w:rPr>
                          </m:ctrlPr>
                        </m:sSubPr>
                        <m:e>
                          <m:r>
                            <m:rPr/>
                            <w:rPr>
                              <w:color w:val="auto"/>
                            </w:rPr>
                            <m:t>T</m:t>
                          </m:r>
                          <m:ctrlPr>
                            <w:rPr>
                              <w:color w:val="auto"/>
                            </w:rPr>
                          </m:ctrlPr>
                        </m:e>
                        <m:sub>
                          <m:r>
                            <m:rPr/>
                            <w:rPr>
                              <w:color w:val="auto"/>
                            </w:rPr>
                            <m:t>p,j</m:t>
                          </m:r>
                          <m:ctrlPr>
                            <w:rPr>
                              <w:color w:val="auto"/>
                            </w:rPr>
                          </m:ctrlPr>
                        </m:sub>
                      </m:sSub>
                      <m:ctrlPr>
                        <w:rPr>
                          <w:color w:val="auto"/>
                        </w:rPr>
                      </m:ctrlPr>
                    </m:den>
                  </m:f>
                  <m:ctrlPr>
                    <w:rPr>
                      <w:color w:val="auto"/>
                    </w:rPr>
                  </m:ctrlPr>
                </m:e>
              </m:d>
              <m:ctrlPr>
                <w:rPr>
                  <w:color w:val="auto"/>
                </w:rPr>
              </m:ctrlPr>
            </m:e>
            <m:sup>
              <m:r>
                <m:rPr/>
                <w:rPr>
                  <w:color w:val="auto"/>
                </w:rPr>
                <m:t>−1</m:t>
              </m:r>
              <m:ctrlPr>
                <w:rPr>
                  <w:color w:val="auto"/>
                </w:rPr>
              </m:ctrlPr>
            </m:sup>
          </m:sSup>
          <m:r>
            <m:rPr/>
            <w:rPr>
              <w:color w:val="auto"/>
            </w:rPr>
            <m:t>, </m:t>
          </m:r>
          <m:sSub>
            <m:sSubPr>
              <m:ctrlPr>
                <w:rPr>
                  <w:color w:val="auto"/>
                </w:rPr>
              </m:ctrlPr>
            </m:sSubPr>
            <m:e>
              <m:r>
                <m:rPr/>
                <w:rPr>
                  <w:color w:val="auto"/>
                </w:rPr>
                <m:t>T</m:t>
              </m:r>
              <m:ctrlPr>
                <w:rPr>
                  <w:color w:val="auto"/>
                </w:rPr>
              </m:ctrlPr>
            </m:e>
            <m:sub>
              <m:r>
                <m:rPr/>
                <w:rPr>
                  <w:color w:val="auto"/>
                </w:rPr>
                <m:t>p,i</m:t>
              </m:r>
              <m:ctrlPr>
                <w:rPr>
                  <w:color w:val="auto"/>
                </w:rPr>
              </m:ctrlPr>
            </m:sub>
          </m:sSub>
          <m:r>
            <m:rPr/>
            <w:rPr>
              <w:color w:val="auto"/>
            </w:rPr>
            <m:t>=</m:t>
          </m:r>
          <m:f>
            <m:fPr>
              <m:ctrlPr>
                <w:rPr>
                  <w:color w:val="auto"/>
                </w:rPr>
              </m:ctrlPr>
            </m:fPr>
            <m:num>
              <m:sSub>
                <m:sSubPr>
                  <m:ctrlPr>
                    <w:rPr>
                      <w:color w:val="auto"/>
                    </w:rPr>
                  </m:ctrlPr>
                </m:sSubPr>
                <m:e>
                  <m:r>
                    <m:rPr/>
                    <w:rPr>
                      <w:color w:val="auto"/>
                    </w:rPr>
                    <m:t>A</m:t>
                  </m:r>
                  <m:ctrlPr>
                    <w:rPr>
                      <w:color w:val="auto"/>
                    </w:rPr>
                  </m:ctrlPr>
                </m:e>
                <m:sub>
                  <m:r>
                    <m:rPr/>
                    <w:rPr>
                      <w:color w:val="auto"/>
                    </w:rPr>
                    <m:t>ij</m:t>
                  </m:r>
                  <m:ctrlPr>
                    <w:rPr>
                      <w:color w:val="auto"/>
                    </w:rPr>
                  </m:ctrlPr>
                </m:sub>
              </m:sSub>
              <m:ctrlPr>
                <w:rPr>
                  <w:color w:val="auto"/>
                </w:rPr>
              </m:ctrlPr>
            </m:num>
            <m:den>
              <m:sSub>
                <m:sSubPr>
                  <m:ctrlPr>
                    <w:rPr>
                      <w:color w:val="auto"/>
                    </w:rPr>
                  </m:ctrlPr>
                </m:sSubPr>
                <m:e>
                  <m:r>
                    <m:rPr/>
                    <w:rPr>
                      <w:color w:val="auto"/>
                    </w:rPr>
                    <m:t>d</m:t>
                  </m:r>
                  <m:ctrlPr>
                    <w:rPr>
                      <w:color w:val="auto"/>
                    </w:rPr>
                  </m:ctrlPr>
                </m:e>
                <m:sub>
                  <m:r>
                    <m:rPr/>
                    <w:rPr>
                      <w:color w:val="auto"/>
                    </w:rPr>
                    <m:t>i</m:t>
                  </m:r>
                  <m:ctrlPr>
                    <w:rPr>
                      <w:color w:val="auto"/>
                    </w:rPr>
                  </m:ctrlPr>
                </m:sub>
              </m:sSub>
              <m:ctrlPr>
                <w:rPr>
                  <w:color w:val="auto"/>
                </w:rPr>
              </m:ctrlPr>
            </m:den>
          </m:f>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w:rPr>
              <w:color w:val="auto"/>
            </w:rPr>
            <m:t>(</m:t>
          </m:r>
          <m:r>
            <m:rPr>
              <m:sty m:val="b"/>
            </m:rPr>
            <w:rPr>
              <w:color w:val="auto"/>
            </w:rPr>
            <m:t>K</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  (7)</m:t>
          </m:r>
        </m:oMath>
      </m:oMathPara>
    </w:p>
    <w:p w14:paraId="659D6DC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(7),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face area, </w:t>
      </w:r>
      <m:oMath>
        <m:sSub>
          <m:sSubPr>
            <m:ctrlPr>
              <w:rPr>
                <w:rFonts w:ascii="Times New Roman" w:hAnsi="Times New Roman" w:cs="Times New Roman"/>
                <w:color w:val="auto"/>
                <w:sz w:val="24"/>
                <w:szCs w:val="24"/>
              </w:rPr>
            </m:ctrlPr>
          </m:sSubPr>
          <m:e>
            <m:r>
              <m:rPr>
                <m:sty m:val="b"/>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outward unit normal,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d</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denotes the distance from the generator point to the face along the normal direction. TPFA is exact when the vector connecting adjacent cell centers aligns with the permeability-weighted face normal. Cartesian grids break this alignment near oblique fractures; the PEBI construction enforces it by geometric design.</w:t>
      </w:r>
    </w:p>
    <w:p w14:paraId="1E2FC940">
      <w:pPr>
        <w:pStyle w:val="4"/>
        <w:spacing w:before="120" w:after="60" w:line="360" w:lineRule="auto"/>
        <w:jc w:val="left"/>
        <w:rPr>
          <w:rFonts w:ascii="Times New Roman" w:hAnsi="Times New Roman" w:cs="Times New Roman"/>
          <w:color w:val="auto"/>
          <w:sz w:val="24"/>
          <w:szCs w:val="24"/>
        </w:rPr>
      </w:pPr>
      <w:bookmarkStart w:id="9" w:name="fracture-conforming-pebi-generation"/>
      <w:r>
        <w:rPr>
          <w:rFonts w:ascii="Times New Roman" w:hAnsi="Times New Roman" w:cs="Times New Roman"/>
          <w:b/>
          <w:bCs/>
          <w:color w:val="auto"/>
          <w:sz w:val="24"/>
          <w:szCs w:val="24"/>
        </w:rPr>
        <w:t>2.3 Fracture-Conforming PEBI Generation</w:t>
      </w:r>
      <w:bookmarkEnd w:id="9"/>
    </w:p>
    <w:p w14:paraId="1D84A3E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PEBI mesh is obtained as the Voronoi dual of a constrained Delaunay triangulation (CDT). For a given generator set </w:t>
      </w:r>
      <m:oMath>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x</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each Voronoi cell is defined as</w:t>
      </w:r>
    </w:p>
    <w:p w14:paraId="6D1845CC">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V</m:t>
              </m:r>
              <m:ctrlPr>
                <w:rPr>
                  <w:color w:val="auto"/>
                </w:rPr>
              </m:ctrlPr>
            </m:e>
            <m:sub>
              <m:r>
                <m:rPr/>
                <w:rPr>
                  <w:color w:val="auto"/>
                </w:rPr>
                <m:t>i</m:t>
              </m:r>
              <m:ctrlPr>
                <w:rPr>
                  <w:color w:val="auto"/>
                </w:rPr>
              </m:ctrlPr>
            </m:sub>
          </m:sSub>
          <m:r>
            <m:rPr/>
            <w:rPr>
              <w:color w:val="auto"/>
            </w:rPr>
            <m:t>=</m:t>
          </m:r>
          <m:d>
            <m:dPr>
              <m:begChr m:val="{"/>
              <m:endChr m:val="}"/>
              <m:ctrlPr>
                <w:rPr>
                  <w:color w:val="auto"/>
                </w:rPr>
              </m:ctrlPr>
            </m:dPr>
            <m:e>
              <m:r>
                <m:rPr/>
                <w:rPr>
                  <w:color w:val="auto"/>
                </w:rPr>
                <m:t>x:∥x−</m:t>
              </m:r>
              <m:sSub>
                <m:sSubPr>
                  <m:ctrlPr>
                    <w:rPr>
                      <w:color w:val="auto"/>
                    </w:rPr>
                  </m:ctrlPr>
                </m:sSubPr>
                <m:e>
                  <m:r>
                    <m:rPr/>
                    <w:rPr>
                      <w:color w:val="auto"/>
                    </w:rPr>
                    <m:t>x</m:t>
                  </m:r>
                  <m:ctrlPr>
                    <w:rPr>
                      <w:color w:val="auto"/>
                    </w:rPr>
                  </m:ctrlPr>
                </m:e>
                <m:sub>
                  <m:r>
                    <m:rPr/>
                    <w:rPr>
                      <w:color w:val="auto"/>
                    </w:rPr>
                    <m:t>i</m:t>
                  </m:r>
                  <m:ctrlPr>
                    <w:rPr>
                      <w:color w:val="auto"/>
                    </w:rPr>
                  </m:ctrlPr>
                </m:sub>
              </m:sSub>
              <m:r>
                <m:rPr/>
                <w:rPr>
                  <w:color w:val="auto"/>
                </w:rPr>
                <m:t>∥≤∥x−</m:t>
              </m:r>
              <m:sSub>
                <m:sSubPr>
                  <m:ctrlPr>
                    <w:rPr>
                      <w:color w:val="auto"/>
                    </w:rPr>
                  </m:ctrlPr>
                </m:sSubPr>
                <m:e>
                  <m:r>
                    <m:rPr/>
                    <w:rPr>
                      <w:color w:val="auto"/>
                    </w:rPr>
                    <m:t>x</m:t>
                  </m:r>
                  <m:ctrlPr>
                    <w:rPr>
                      <w:color w:val="auto"/>
                    </w:rPr>
                  </m:ctrlPr>
                </m:e>
                <m:sub>
                  <m:r>
                    <m:rPr/>
                    <w:rPr>
                      <w:color w:val="auto"/>
                    </w:rPr>
                    <m:t>j</m:t>
                  </m:r>
                  <m:ctrlPr>
                    <w:rPr>
                      <w:color w:val="auto"/>
                    </w:rPr>
                  </m:ctrlPr>
                </m:sub>
              </m:sSub>
              <m:r>
                <m:rPr/>
                <w:rPr>
                  <w:color w:val="auto"/>
                </w:rPr>
                <m:t>∥, ∀j≠i</m:t>
              </m:r>
              <m:ctrlPr>
                <w:rPr>
                  <w:color w:val="auto"/>
                </w:rPr>
              </m:ctrlPr>
            </m:e>
          </m:d>
          <m:r>
            <m:rPr/>
            <w:rPr>
              <w:color w:val="auto"/>
            </w:rPr>
            <m:t>  (8)</m:t>
          </m:r>
        </m:oMath>
      </m:oMathPara>
    </w:p>
    <w:p w14:paraId="1715530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Fracture traces are incorporated as hard piecewise-linear constraints within the triangulation, ensuring that every fracture segment coincides with a set of Delaunay edges; their Voronoi dual faces then lie exactly along the fracture traces. To manage the size transition from sub-meter-scale resolution near fractures to coarser far-field block sizes, the target element spacing is specified through a hyperbolic-tangent function:</w:t>
      </w:r>
    </w:p>
    <w:p w14:paraId="76ACD637">
      <w:pPr>
        <w:pStyle w:val="3"/>
        <w:spacing w:before="0" w:after="120"/>
        <w:ind w:firstLine="480" w:firstLineChars="200"/>
        <w:jc w:val="both"/>
        <w:rPr>
          <w:color w:val="auto"/>
        </w:rPr>
      </w:pPr>
      <m:oMathPara>
        <m:oMathParaPr>
          <m:jc m:val="center"/>
        </m:oMathParaPr>
        <m:oMath>
          <m:r>
            <m:rPr/>
            <w:rPr>
              <w:color w:val="auto"/>
            </w:rPr>
            <m:t>h(x)=</m:t>
          </m:r>
          <m:sSub>
            <m:sSubPr>
              <m:ctrlPr>
                <w:rPr>
                  <w:color w:val="auto"/>
                </w:rPr>
              </m:ctrlPr>
            </m:sSubPr>
            <m:e>
              <m:r>
                <m:rPr/>
                <w:rPr>
                  <w:color w:val="auto"/>
                </w:rPr>
                <m:t>h</m:t>
              </m:r>
              <m:ctrlPr>
                <w:rPr>
                  <w:color w:val="auto"/>
                </w:rPr>
              </m:ctrlPr>
            </m:e>
            <m:sub>
              <m:r>
                <m:rPr/>
                <w:rPr>
                  <w:color w:val="auto"/>
                </w:rPr>
                <m:t>f</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n</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f</m:t>
              </m:r>
              <m:ctrlPr>
                <w:rPr>
                  <w:color w:val="auto"/>
                </w:rPr>
              </m:ctrlPr>
            </m:sub>
          </m:sSub>
          <m:r>
            <m:rPr/>
            <w:rPr>
              <w:color w:val="auto"/>
            </w:rPr>
            <m:t>)⋅</m:t>
          </m:r>
          <m:r>
            <m:rPr>
              <m:nor/>
              <m:sty m:val="p"/>
            </m:rPr>
            <w:rPr>
              <w:b w:val="0"/>
              <w:i w:val="0"/>
              <w:color w:val="auto"/>
            </w:rPr>
            <m:t>tanh</m:t>
          </m:r>
          <m:d>
            <m:dPr>
              <m:ctrlPr>
                <w:rPr>
                  <w:color w:val="auto"/>
                </w:rPr>
              </m:ctrlPr>
            </m:dPr>
            <m:e>
              <m:r>
                <m:rPr/>
                <w:rPr>
                  <w:color w:val="auto"/>
                </w:rPr>
                <m:t>α⋅</m:t>
              </m:r>
              <m:sSub>
                <m:sSubPr>
                  <m:ctrlPr>
                    <w:rPr>
                      <w:color w:val="auto"/>
                    </w:rPr>
                  </m:ctrlPr>
                </m:sSubPr>
                <m:e>
                  <m:r>
                    <m:rPr/>
                    <w:rPr>
                      <w:color w:val="auto"/>
                    </w:rPr>
                    <m:t>h</m:t>
                  </m:r>
                  <m:ctrlPr>
                    <w:rPr>
                      <w:color w:val="auto"/>
                    </w:rPr>
                  </m:ctrlPr>
                </m:e>
                <m:sub>
                  <m:r>
                    <m:rPr>
                      <m:nor/>
                      <m:sty m:val="p"/>
                    </m:rPr>
                    <w:rPr>
                      <w:b w:val="0"/>
                      <w:i w:val="0"/>
                      <w:color w:val="auto"/>
                    </w:rPr>
                    <m:t>min</m:t>
                  </m:r>
                  <m:ctrlPr>
                    <w:rPr>
                      <w:color w:val="auto"/>
                    </w:rPr>
                  </m:ctrlPr>
                </m:sub>
              </m:sSub>
              <m:r>
                <m:rPr/>
                <w:rPr>
                  <w:color w:val="auto"/>
                </w:rPr>
                <m:t>(x)</m:t>
              </m:r>
              <m:ctrlPr>
                <w:rPr>
                  <w:color w:val="auto"/>
                </w:rPr>
              </m:ctrlPr>
            </m:e>
          </m:d>
          <m:r>
            <m:rPr/>
            <w:rPr>
              <w:color w:val="auto"/>
            </w:rPr>
            <m:t>  (9)</m:t>
          </m:r>
        </m:oMath>
      </m:oMathPara>
    </w:p>
    <w:p w14:paraId="49D8EA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In Eq. (9), d_min(x) denotes the minimum Euclidean distance to the fracture network, while h_n and h_f are the near-fracture (1.0 m) and far-field (50.0 m) target spacings. The transition steepness alpha = 0.5 m^{-1} is rationalized through the dimensionless parameter Pi_alpha = alpha L_c, where L_c is the fracture half-length (150 m, giving Pi_alpha = 75). This choice balances fracture-proximal resolution against far-field cell-count economy; sensitivity analysis (Section 3.7) confirms that Pi_alpha = 20-150 produces K-orthogonality fractions within 2 percentage points of the optimum.</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min</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(x)x</m:t>
        </m:r>
        <m:r>
          <m:rPr>
            <m:sty m:val="p"/>
            <m:scr m:val="script"/>
          </m:rPr>
          <w:rPr>
            <w:rFonts w:ascii="Times New Roman" w:hAnsi="Times New Roman" w:cs="Times New Roman"/>
            <w:color w:val="auto"/>
            <w:sz w:val="24"/>
            <w:szCs w:val="24"/>
          </w:rPr>
          <m:t>ℱ</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α</m:t>
        </m:r>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L</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p>
    <w:p w14:paraId="590B5237">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Π</m:t>
              </m:r>
              <m:ctrlPr>
                <w:rPr>
                  <w:color w:val="auto"/>
                </w:rPr>
              </m:ctrlPr>
            </m:e>
            <m:sub>
              <m:r>
                <m:rPr/>
                <w:rPr>
                  <w:color w:val="auto"/>
                </w:rPr>
                <m:t>α</m:t>
              </m:r>
              <m:ctrlPr>
                <w:rPr>
                  <w:color w:val="auto"/>
                </w:rPr>
              </m:ctrlPr>
            </m:sub>
          </m:sSub>
          <m:r>
            <m:rPr/>
            <w:rPr>
              <w:color w:val="auto"/>
            </w:rPr>
            <m:t>=α⋅</m:t>
          </m:r>
          <m:sSub>
            <m:sSubPr>
              <m:ctrlPr>
                <w:rPr>
                  <w:color w:val="auto"/>
                </w:rPr>
              </m:ctrlPr>
            </m:sSubPr>
            <m:e>
              <m:r>
                <m:rPr/>
                <w:rPr>
                  <w:color w:val="auto"/>
                </w:rPr>
                <m:t>L</m:t>
              </m:r>
              <m:ctrlPr>
                <w:rPr>
                  <w:color w:val="auto"/>
                </w:rPr>
              </m:ctrlPr>
            </m:e>
            <m:sub>
              <m:r>
                <m:rPr/>
                <w:rPr>
                  <w:color w:val="auto"/>
                </w:rPr>
                <m:t>c</m:t>
              </m:r>
              <m:ctrlPr>
                <w:rPr>
                  <w:color w:val="auto"/>
                </w:rPr>
              </m:ctrlPr>
            </m:sub>
          </m:sSub>
          <m:r>
            <m:rPr/>
            <w:rPr>
              <w:color w:val="auto"/>
            </w:rPr>
            <m:t>  (10)</m:t>
          </m:r>
        </m:oMath>
      </m:oMathPara>
    </w:p>
    <w:p w14:paraId="5BBE8DB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base configuration, L_c is taken as the fracture half-length (150 m), yielding Pi_alpha = 75. Sensitivity analysis (Section 3.7) confirms K-orthogonality remains within 2 percentage points of optimal for Pi_alpha = 20-150. Below this range, the excessively gradual transition inflates cell count by more than 40%.</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L</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Π</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α</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=0.5×150=75</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Π</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α</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α∈[0.13,1.0]</m:t>
        </m:r>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L</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=150α≈3/</m:t>
        </m:r>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=5α≈0.6</m:t>
        </m:r>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p>
    <w:p w14:paraId="5DBF8B8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the base configuration reported in this study, the parameter values are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=1.0</m:t>
        </m:r>
      </m:oMath>
      <w:r>
        <w:rPr>
          <w:rFonts w:ascii="Times New Roman" w:hAnsi="Times New Roman" w:cs="Times New Roman"/>
          <w:color w:val="auto"/>
          <w:sz w:val="24"/>
          <w:szCs w:val="24"/>
        </w:rPr>
        <w:t xml:space="preserve"> m,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=50.0</m:t>
        </m:r>
      </m:oMath>
      <w:r>
        <w:rPr>
          <w:rFonts w:ascii="Times New Roman" w:hAnsi="Times New Roman" w:cs="Times New Roman"/>
          <w:color w:val="auto"/>
          <w:sz w:val="24"/>
          <w:szCs w:val="24"/>
        </w:rPr>
        <w:t xml:space="preserve"> m, and </w:t>
      </w:r>
      <m:oMath>
        <m:r>
          <m:rPr/>
          <w:rPr>
            <w:rFonts w:ascii="Times New Roman" w:hAnsi="Times New Roman" w:cs="Times New Roman"/>
            <w:color w:val="auto"/>
            <w:sz w:val="24"/>
            <w:szCs w:val="24"/>
          </w:rPr>
          <m:t>α=0.5</m:t>
        </m:r>
      </m:oMath>
      <w:r>
        <w:rPr>
          <w:rFonts w:ascii="Times New Roman" w:hAnsi="Times New Roman" w:cs="Times New Roman"/>
          <w:color w:val="auto"/>
          <w:sz w:val="24"/>
          <w:szCs w:val="24"/>
        </w:rPr>
        <w:t xml:space="preserve"> </w:t>
      </w:r>
      <m:oMath>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r>
        <w:rPr>
          <w:rFonts w:ascii="Times New Roman" w:hAnsi="Times New Roman" w:cs="Times New Roman"/>
          <w:color w:val="auto"/>
          <w:sz w:val="24"/>
          <w:szCs w:val="24"/>
        </w:rPr>
        <w:t>. This formulation maintains the adjacent cell-size ratio below 3 throughout the domain, thereby avoiding the aspect-ratio-induced stiffness that characterizes conventional refinement strategies. A sensitivity analysis of mesh quality to these parameters is provided in Section 3.7.</w:t>
      </w:r>
    </w:p>
    <w:p w14:paraId="6D4508A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deviation from perfect orthogonality is quantified by the angle </w:t>
      </w:r>
      <m:oMath>
        <m:r>
          <m:rPr/>
          <w:rPr>
            <w:rFonts w:ascii="Times New Roman" w:hAnsi="Times New Roman" w:cs="Times New Roman"/>
            <w:color w:val="auto"/>
            <w:sz w:val="24"/>
            <w:szCs w:val="24"/>
          </w:rPr>
          <m:t>θ</m:t>
        </m:r>
      </m:oMath>
      <w:r>
        <w:rPr>
          <w:rFonts w:ascii="Times New Roman" w:hAnsi="Times New Roman" w:cs="Times New Roman"/>
          <w:color w:val="auto"/>
          <w:sz w:val="24"/>
          <w:szCs w:val="24"/>
        </w:rPr>
        <w:t xml:space="preserve"> between the vector connecting adjacent cell centers and the face normal:</w:t>
      </w:r>
    </w:p>
    <w:p w14:paraId="202EB423">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θ</m:t>
              </m:r>
              <m:ctrlPr>
                <w:rPr>
                  <w:color w:val="auto"/>
                </w:rPr>
              </m:ctrlPr>
            </m:e>
            <m:sub>
              <m:r>
                <m:rPr/>
                <w:rPr>
                  <w:color w:val="auto"/>
                </w:rPr>
                <m:t>ij</m:t>
              </m:r>
              <m:ctrlPr>
                <w:rPr>
                  <w:color w:val="auto"/>
                </w:rPr>
              </m:ctrlPr>
            </m:sub>
          </m:sSub>
          <m:r>
            <m:rPr/>
            <w:rPr>
              <w:color w:val="auto"/>
            </w:rPr>
            <m:t>=</m:t>
          </m:r>
          <m:r>
            <m:rPr>
              <m:nor/>
              <m:sty m:val="p"/>
            </m:rPr>
            <w:rPr>
              <w:b w:val="0"/>
              <w:i w:val="0"/>
              <w:color w:val="auto"/>
            </w:rPr>
            <m:t>arccos</m:t>
          </m:r>
          <m:d>
            <m:dPr>
              <m:ctrlPr>
                <w:rPr>
                  <w:color w:val="auto"/>
                </w:rPr>
              </m:ctrlPr>
            </m:dPr>
            <m:e>
              <m:f>
                <m:fPr>
                  <m:ctrlPr>
                    <w:rPr>
                      <w:color w:val="auto"/>
                    </w:rPr>
                  </m:ctrlPr>
                </m:fPr>
                <m:num>
                  <m:r>
                    <m:rPr/>
                    <w:rPr>
                      <w:color w:val="auto"/>
                    </w:rPr>
                    <m:t>|(</m:t>
                  </m:r>
                  <m:sSub>
                    <m:sSubPr>
                      <m:ctrlPr>
                        <w:rPr>
                          <w:color w:val="auto"/>
                        </w:rPr>
                      </m:ctrlPr>
                    </m:sSubPr>
                    <m:e>
                      <m:r>
                        <m:rPr>
                          <m:sty m:val="b"/>
                        </m:rPr>
                        <w:rPr>
                          <w:color w:val="auto"/>
                        </w:rPr>
                        <m:t>x</m:t>
                      </m:r>
                      <m:ctrlPr>
                        <w:rPr>
                          <w:color w:val="auto"/>
                        </w:rPr>
                      </m:ctrlPr>
                    </m:e>
                    <m:sub>
                      <m:r>
                        <m:rPr/>
                        <w:rPr>
                          <w:color w:val="auto"/>
                        </w:rPr>
                        <m:t>j</m:t>
                      </m:r>
                      <m:ctrlPr>
                        <w:rPr>
                          <w:color w:val="auto"/>
                        </w:rPr>
                      </m:ctrlPr>
                    </m:sub>
                  </m:sSub>
                  <m:r>
                    <m:rPr/>
                    <w:rPr>
                      <w:color w:val="auto"/>
                    </w:rPr>
                    <m:t>−</m:t>
                  </m:r>
                  <m:sSub>
                    <m:sSubPr>
                      <m:ctrlPr>
                        <w:rPr>
                          <w:color w:val="auto"/>
                        </w:rPr>
                      </m:ctrlPr>
                    </m:sSubPr>
                    <m:e>
                      <m:r>
                        <m:rPr>
                          <m:sty m:val="b"/>
                        </m:rPr>
                        <w:rPr>
                          <w:color w:val="auto"/>
                        </w:rPr>
                        <m:t>x</m:t>
                      </m:r>
                      <m:ctrlPr>
                        <w:rPr>
                          <w:color w:val="auto"/>
                        </w:rPr>
                      </m:ctrlPr>
                    </m:e>
                    <m:sub>
                      <m:r>
                        <m:rPr/>
                        <w:rPr>
                          <w:color w:val="auto"/>
                        </w:rPr>
                        <m:t>i</m:t>
                      </m:r>
                      <m:ctrlPr>
                        <w:rPr>
                          <w:color w:val="auto"/>
                        </w:rPr>
                      </m:ctrlPr>
                    </m:sub>
                  </m:sSub>
                  <m:r>
                    <m:rPr/>
                    <w:rPr>
                      <w:color w:val="auto"/>
                    </w:rPr>
                    <m:t>)⋅</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m:t>
                  </m:r>
                  <m:ctrlPr>
                    <w:rPr>
                      <w:color w:val="auto"/>
                    </w:rPr>
                  </m:ctrlPr>
                </m:num>
                <m:den>
                  <m:r>
                    <m:rPr/>
                    <w:rPr>
                      <w:color w:val="auto"/>
                    </w:rPr>
                    <m:t>∥</m:t>
                  </m:r>
                  <m:sSub>
                    <m:sSubPr>
                      <m:ctrlPr>
                        <w:rPr>
                          <w:color w:val="auto"/>
                        </w:rPr>
                      </m:ctrlPr>
                    </m:sSubPr>
                    <m:e>
                      <m:r>
                        <m:rPr>
                          <m:sty m:val="b"/>
                        </m:rPr>
                        <w:rPr>
                          <w:color w:val="auto"/>
                        </w:rPr>
                        <m:t>x</m:t>
                      </m:r>
                      <m:ctrlPr>
                        <w:rPr>
                          <w:color w:val="auto"/>
                        </w:rPr>
                      </m:ctrlPr>
                    </m:e>
                    <m:sub>
                      <m:r>
                        <m:rPr/>
                        <w:rPr>
                          <w:color w:val="auto"/>
                        </w:rPr>
                        <m:t>j</m:t>
                      </m:r>
                      <m:ctrlPr>
                        <w:rPr>
                          <w:color w:val="auto"/>
                        </w:rPr>
                      </m:ctrlPr>
                    </m:sub>
                  </m:sSub>
                  <m:r>
                    <m:rPr/>
                    <w:rPr>
                      <w:color w:val="auto"/>
                    </w:rPr>
                    <m:t>−</m:t>
                  </m:r>
                  <m:sSub>
                    <m:sSubPr>
                      <m:ctrlPr>
                        <w:rPr>
                          <w:color w:val="auto"/>
                        </w:rPr>
                      </m:ctrlPr>
                    </m:sSubPr>
                    <m:e>
                      <m:r>
                        <m:rPr>
                          <m:sty m:val="b"/>
                        </m:rPr>
                        <w:rPr>
                          <w:color w:val="auto"/>
                        </w:rPr>
                        <m:t>x</m:t>
                      </m:r>
                      <m:ctrlPr>
                        <w:rPr>
                          <w:color w:val="auto"/>
                        </w:rPr>
                      </m:ctrlPr>
                    </m:e>
                    <m:sub>
                      <m:r>
                        <m:rPr/>
                        <w:rPr>
                          <w:color w:val="auto"/>
                        </w:rPr>
                        <m:t>i</m:t>
                      </m:r>
                      <m:ctrlPr>
                        <w:rPr>
                          <w:color w:val="auto"/>
                        </w:rPr>
                      </m:ctrlPr>
                    </m:sub>
                  </m:sSub>
                  <m:r>
                    <m:rPr/>
                    <w:rPr>
                      <w:color w:val="auto"/>
                    </w:rPr>
                    <m:t>∥</m:t>
                  </m:r>
                  <m:ctrlPr>
                    <w:rPr>
                      <w:color w:val="auto"/>
                    </w:rPr>
                  </m:ctrlPr>
                </m:den>
              </m:f>
              <m:ctrlPr>
                <w:rPr>
                  <w:color w:val="auto"/>
                </w:rPr>
              </m:ctrlPr>
            </m:e>
          </m:d>
          <m:r>
            <m:rPr/>
            <w:rPr>
              <w:color w:val="auto"/>
            </w:rPr>
            <m:t>  (11)</m:t>
          </m:r>
        </m:oMath>
      </m:oMathPara>
    </w:p>
    <w:p w14:paraId="4F54076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Following Aavatsmark et al. (1998a, 1998b), a face is classified as K-orthogonal when theta &lt;= 5 degrees. Equation (11) is evaluated over all interior faces. The permeability-weighted face normal required in Eq. (7) is obtained by projecting the permeability tensor onto the face normal direction.</w:t>
      </w:r>
    </w:p>
    <w:p w14:paraId="02A2CC1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mesh generation proceeds through a five-stage pipeline:</w:t>
      </w:r>
    </w:p>
    <w:p w14:paraId="3174020D">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1. Constrained point seeding: Generator points are placed along fracture traces at spacing h_n and in the matrix according to the density function Eq. (9).</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oMath>
    </w:p>
    <w:p w14:paraId="3A00D40B">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2. Constrained Delaunay triangulation: A CDT is constructed with fracture traces as constrained edges using the incremental flip algorithm (minimum angle bound 25 degrees; Ruppert, 1995).</w:t>
      </w:r>
      <m:oMath>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25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p>
    <w:p w14:paraId="3096665B">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3. Ruppert refinement: Steiner points are iteratively inserted at circumcenters of triangles violating the minimum angle bound or whose circumradius exceeds the local h(x) value. Refinement terminates when all quality criteria are satisfied.</w:t>
      </w:r>
      <m:oMath>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25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r>
          <m:rPr/>
          <w:rPr>
            <w:rFonts w:ascii="Times New Roman" w:hAnsi="Times New Roman" w:cs="Times New Roman"/>
            <w:color w:val="auto"/>
            <w:sz w:val="24"/>
            <w:szCs w:val="24"/>
          </w:rPr>
          <m:t>h(x)</m:t>
        </m:r>
      </m:oMath>
    </w:p>
    <w:p w14:paraId="258FE041">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4. Voronoi dual extraction: The PEBI grid is obtained as the geometric dual of the refined CDT.</w:t>
      </w:r>
    </w:p>
    <w:p w14:paraId="3B4BDA33">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5. Lloyd smoothing: Generator positions are iteratively relocated to cell centroids for 50 iterations or until the maximum generator displacement falls below 0.01% of the local element spacing.</w:t>
      </w:r>
      <m:oMath>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−4</m:t>
            </m:r>
            <m:ctrlPr>
              <w:rPr>
                <w:rFonts w:ascii="Times New Roman" w:hAnsi="Times New Roman" w:cs="Times New Roman"/>
                <w:color w:val="auto"/>
                <w:sz w:val="24"/>
                <w:szCs w:val="24"/>
              </w:rPr>
            </m:ctrlPr>
          </m:sup>
        </m:sSup>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oMath>
    </w:p>
    <w:p w14:paraId="3BE845C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Notably, Lloyd smoothing improves the K-orthogonality fraction monotonically from 96.4% (post-CDT) to 97.1% after 50 iterations (Table 3, Supplementary Material), reflecting the elimination of slivers and high-aspect-ratio cells. The Voronoi dual of a well-centered centroidal Voronoi tessellation generically exhibits lower face angular dispersion, confirming that Lloyd smoothing and orthogonality preservation are complementary rather than competing operations.</w:t>
      </w:r>
    </w:p>
    <w:p w14:paraId="6A5B3140">
      <w:pPr>
        <w:pStyle w:val="12"/>
        <w:spacing w:before="0" w:after="0" w:line="300" w:lineRule="auto"/>
        <w:ind w:firstLine="400" w:firstLineChars="200"/>
        <w:rPr>
          <w:rFonts w:ascii="Times New Roman" w:hAnsi="Times New Roman" w:cs="Times New Roman"/>
          <w:color w:val="auto"/>
          <w:sz w:val="24"/>
          <w:szCs w:val="24"/>
        </w:rPr>
      </w:pPr>
      <w:r>
        <w:rPr>
          <w:rFonts w:ascii="Times New Roman" w:hAnsi="Times New Roman" w:cs="Times New Roman"/>
          <w:color w:val="auto"/>
          <w:sz w:val="20"/>
          <w:szCs w:val="24"/>
        </w:rPr>
        <w:t>Table 3: Evolution of K-orthogonality statistics during Lloyd smoothing (base case).</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18"/>
        <w:gridCol w:w="1655"/>
        <w:gridCol w:w="1429"/>
        <w:gridCol w:w="1085"/>
        <w:gridCol w:w="2564"/>
      </w:tblGrid>
      <w:tr w14:paraId="7B916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011458F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Lloyd Iteration</w:t>
            </w:r>
          </w:p>
        </w:tc>
        <w:tc>
          <w:tcPr>
            <w:tcW w:w="0" w:type="auto"/>
            <w:tcBorders>
              <w:bottom w:val="single" w:color="auto" w:sz="0" w:space="0"/>
            </w:tcBorders>
            <w:vAlign w:val="center"/>
          </w:tcPr>
          <w:p w14:paraId="421F4EA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Faces </w:t>
            </w:r>
            <m:oMath>
              <m:r>
                <m:rPr>
                  <m:sty m:val="bi"/>
                </m:rPr>
                <w:rPr>
                  <w:rFonts w:hint="default" w:ascii="Times New Roman" w:hAnsi="Times New Roman"/>
                  <w:color w:val="auto"/>
                </w:rPr>
                <m:t>θ≤</m:t>
              </m:r>
              <m:sSup>
                <m:sSupPr>
                  <m:ctrlPr>
                    <w:rPr>
                      <w:rFonts w:ascii="Times New Roman" w:hAnsi="Times New Roman"/>
                      <w:b/>
                      <w:color w:val="auto"/>
                    </w:rPr>
                  </m:ctrlPr>
                </m:sSupPr>
                <m:e>
                  <m:r>
                    <m:rPr>
                      <m:sty m:val="bi"/>
                    </m:rPr>
                    <w:rPr>
                      <w:rFonts w:hint="default" w:ascii="Times New Roman" w:hAnsi="Times New Roman"/>
                      <w:color w:val="auto"/>
                    </w:rPr>
                    <m:t>5</m:t>
                  </m:r>
                  <m:ctrlPr>
                    <w:rPr>
                      <w:rFonts w:ascii="Times New Roman" w:hAnsi="Times New Roman"/>
                      <w:b/>
                      <w:color w:val="auto"/>
                    </w:rPr>
                  </m:ctrlPr>
                </m:e>
                <m:sup>
                  <m:r>
                    <m:rPr>
                      <m:sty m:val="bi"/>
                    </m:rPr>
                    <w:rPr>
                      <w:rFonts w:ascii="Times New Roman" w:hAnsi="Times New Roman"/>
                      <w:color w:val="auto"/>
                    </w:rPr>
                    <m:t>∘</m:t>
                  </m:r>
                  <m:ctrlPr>
                    <w:rPr>
                      <w:rFonts w:ascii="Times New Roman" w:hAnsi="Times New Roman"/>
                      <w:b/>
                      <w:color w:val="auto"/>
                    </w:rPr>
                  </m:ctrlPr>
                </m:sup>
              </m:sSup>
            </m:oMath>
          </w:p>
        </w:tc>
        <w:tc>
          <w:tcPr>
            <w:tcW w:w="0" w:type="auto"/>
            <w:tcBorders>
              <w:bottom w:val="single" w:color="auto" w:sz="0" w:space="0"/>
            </w:tcBorders>
            <w:vAlign w:val="center"/>
          </w:tcPr>
          <w:p w14:paraId="67D854A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Median </w:t>
            </w:r>
            <m:oMath>
              <m:r>
                <m:rPr>
                  <m:sty m:val="bi"/>
                </m:rPr>
                <w:rPr>
                  <w:rFonts w:hint="default" w:ascii="Times New Roman" w:hAnsi="Times New Roman"/>
                  <w:color w:val="auto"/>
                </w:rPr>
                <m:t>θ</m:t>
              </m:r>
            </m:oMath>
          </w:p>
        </w:tc>
        <w:tc>
          <w:tcPr>
            <w:tcW w:w="0" w:type="auto"/>
            <w:tcBorders>
              <w:bottom w:val="single" w:color="auto" w:sz="0" w:space="0"/>
            </w:tcBorders>
            <w:vAlign w:val="center"/>
          </w:tcPr>
          <w:p w14:paraId="654FDBE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Max </w:t>
            </w:r>
            <m:oMath>
              <m:r>
                <m:rPr>
                  <m:sty m:val="bi"/>
                </m:rPr>
                <w:rPr>
                  <w:rFonts w:hint="default" w:ascii="Times New Roman" w:hAnsi="Times New Roman"/>
                  <w:color w:val="auto"/>
                </w:rPr>
                <m:t>θ</m:t>
              </m:r>
            </m:oMath>
          </w:p>
        </w:tc>
        <w:tc>
          <w:tcPr>
            <w:tcW w:w="2596" w:type="dxa"/>
            <w:tcBorders>
              <w:bottom w:val="single" w:color="auto" w:sz="0" w:space="0"/>
            </w:tcBorders>
            <w:vAlign w:val="center"/>
          </w:tcPr>
          <w:p w14:paraId="59BA192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 Aspect Ratio</w:t>
            </w:r>
          </w:p>
        </w:tc>
      </w:tr>
      <w:tr w14:paraId="33D503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AF1F3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 (post-CDT)</w:t>
            </w:r>
          </w:p>
        </w:tc>
        <w:tc>
          <w:tcPr>
            <w:tcW w:w="0" w:type="auto"/>
            <w:vAlign w:val="center"/>
          </w:tcPr>
          <w:p w14:paraId="2772D31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96.4%</w:t>
            </w:r>
          </w:p>
        </w:tc>
        <w:tc>
          <w:tcPr>
            <w:tcW w:w="0" w:type="auto"/>
            <w:vAlign w:val="center"/>
          </w:tcPr>
          <w:p w14:paraId="3C012EC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w:t>
            </w:r>
          </w:p>
        </w:tc>
        <w:tc>
          <w:tcPr>
            <w:tcW w:w="0" w:type="auto"/>
            <w:vAlign w:val="center"/>
          </w:tcPr>
          <w:p w14:paraId="2EC53BA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4.8°</w:t>
            </w:r>
          </w:p>
        </w:tc>
        <w:tc>
          <w:tcPr>
            <w:tcW w:w="2596" w:type="dxa"/>
            <w:vAlign w:val="center"/>
          </w:tcPr>
          <w:p w14:paraId="2ABEB1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5.2</w:t>
            </w:r>
          </w:p>
        </w:tc>
      </w:tr>
      <w:tr w14:paraId="3B56339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01744B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0" w:type="auto"/>
            <w:vAlign w:val="center"/>
          </w:tcPr>
          <w:p w14:paraId="4D768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96.7%</w:t>
            </w:r>
          </w:p>
        </w:tc>
        <w:tc>
          <w:tcPr>
            <w:tcW w:w="0" w:type="auto"/>
            <w:vAlign w:val="center"/>
          </w:tcPr>
          <w:p w14:paraId="106CAB8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w:t>
            </w:r>
          </w:p>
        </w:tc>
        <w:tc>
          <w:tcPr>
            <w:tcW w:w="0" w:type="auto"/>
            <w:vAlign w:val="center"/>
          </w:tcPr>
          <w:p w14:paraId="0CC6332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c>
          <w:tcPr>
            <w:tcW w:w="2596" w:type="dxa"/>
            <w:vAlign w:val="center"/>
          </w:tcPr>
          <w:p w14:paraId="17953E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4.6</w:t>
            </w:r>
          </w:p>
        </w:tc>
      </w:tr>
      <w:tr w14:paraId="2B5E20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65E83C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7BA1AA5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96.9%</w:t>
            </w:r>
          </w:p>
        </w:tc>
        <w:tc>
          <w:tcPr>
            <w:tcW w:w="0" w:type="auto"/>
            <w:vAlign w:val="center"/>
          </w:tcPr>
          <w:p w14:paraId="77293D0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w:t>
            </w:r>
          </w:p>
        </w:tc>
        <w:tc>
          <w:tcPr>
            <w:tcW w:w="0" w:type="auto"/>
            <w:vAlign w:val="center"/>
          </w:tcPr>
          <w:p w14:paraId="1B0113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4.0°</w:t>
            </w:r>
          </w:p>
        </w:tc>
        <w:tc>
          <w:tcPr>
            <w:tcW w:w="2596" w:type="dxa"/>
            <w:vAlign w:val="center"/>
          </w:tcPr>
          <w:p w14:paraId="25D11E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r>
      <w:tr w14:paraId="4DF95F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23D3E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0" w:type="auto"/>
            <w:vAlign w:val="center"/>
          </w:tcPr>
          <w:p w14:paraId="0D2ED6B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97.0%</w:t>
            </w:r>
          </w:p>
        </w:tc>
        <w:tc>
          <w:tcPr>
            <w:tcW w:w="0" w:type="auto"/>
            <w:vAlign w:val="center"/>
          </w:tcPr>
          <w:p w14:paraId="16D572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w:t>
            </w:r>
          </w:p>
        </w:tc>
        <w:tc>
          <w:tcPr>
            <w:tcW w:w="0" w:type="auto"/>
            <w:vAlign w:val="center"/>
          </w:tcPr>
          <w:p w14:paraId="63032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3.7°</w:t>
            </w:r>
          </w:p>
        </w:tc>
        <w:tc>
          <w:tcPr>
            <w:tcW w:w="2596" w:type="dxa"/>
            <w:vAlign w:val="center"/>
          </w:tcPr>
          <w:p w14:paraId="178F4D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3.9</w:t>
            </w:r>
          </w:p>
        </w:tc>
      </w:tr>
      <w:tr w14:paraId="185A38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3E4D1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w:t>
            </w:r>
          </w:p>
        </w:tc>
        <w:tc>
          <w:tcPr>
            <w:tcW w:w="0" w:type="auto"/>
            <w:vAlign w:val="center"/>
          </w:tcPr>
          <w:p w14:paraId="64A15A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42A4FD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w:t>
            </w:r>
          </w:p>
        </w:tc>
        <w:tc>
          <w:tcPr>
            <w:tcW w:w="0" w:type="auto"/>
            <w:vAlign w:val="center"/>
          </w:tcPr>
          <w:p w14:paraId="6236808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2596" w:type="dxa"/>
            <w:vAlign w:val="center"/>
          </w:tcPr>
          <w:p w14:paraId="514EC8F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6ACA08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39" w:type="dxa"/>
            <w:vAlign w:val="center"/>
          </w:tcPr>
          <w:p w14:paraId="04B31E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w:t>
            </w:r>
          </w:p>
        </w:tc>
        <w:tc>
          <w:tcPr>
            <w:tcW w:w="1665" w:type="dxa"/>
            <w:vAlign w:val="center"/>
          </w:tcPr>
          <w:p w14:paraId="43E1C01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1431" w:type="dxa"/>
            <w:vAlign w:val="center"/>
          </w:tcPr>
          <w:p w14:paraId="0BB6E8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w:t>
            </w:r>
          </w:p>
        </w:tc>
        <w:tc>
          <w:tcPr>
            <w:tcW w:w="1020" w:type="dxa"/>
            <w:vAlign w:val="center"/>
          </w:tcPr>
          <w:p w14:paraId="1A77EA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3.4°</w:t>
            </w:r>
          </w:p>
        </w:tc>
        <w:tc>
          <w:tcPr>
            <w:tcW w:w="2596" w:type="dxa"/>
            <w:vAlign w:val="center"/>
          </w:tcPr>
          <w:p w14:paraId="66BCB9F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bl>
    <w:p w14:paraId="2B85DFB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Although restricted to the 2.5D extrusion formulation, the sensitivity to fracture inclination can be estimated: for fractures deviating from vertical by angle phi, the K-orthogonality fraction degrades approximately as cos^2(phi). For phi = 15 degrees, the projected K-orthogonality is estimated at 95.8%; for phi = 30 degrees, approximately 91.5%. A rigorous treatment of arbitrarily oriented non-planar fractures requires fully 3D constrained Voronoi meshing (Section 4.3).</w:t>
      </w:r>
    </w:p>
    <w:p w14:paraId="45B4B8E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complete generation workflow is illustrated in Figs. 2 and 3. Figure 4 reports the resulting orthogonality statistics: K-orthogonality (theta &lt;= 5 deg) is maintained on 97.1% of interior faces (median theta = 1.2 deg, maximum 3.4 deg). Non-orthogonal faces concentrate near fracture tips; fewer than 0.5% of faces exceed theta = 3 deg at distances greater than 10 m from any fracture.</w:t>
      </w:r>
      <m:oMath>
        <m:r>
          <m:rPr/>
          <w:rPr>
            <w:rFonts w:ascii="Times New Roman" w:hAnsi="Times New Roman" w:cs="Times New Roman"/>
            <w:color w:val="auto"/>
            <w:sz w:val="24"/>
            <w:szCs w:val="24"/>
          </w:rPr>
          <m:t>θ≤</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5</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r>
          <m:rPr/>
          <w:rPr>
            <w:rFonts w:ascii="Times New Roman" w:hAnsi="Times New Roman" w:cs="Times New Roman"/>
            <w:color w:val="auto"/>
            <w:sz w:val="24"/>
            <w:szCs w:val="24"/>
          </w:rPr>
          <m:t>θ=</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3</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sSup>
      </m:oMath>
    </w:p>
    <w:p w14:paraId="6237CC11">
      <w:pPr>
        <w:pStyle w:val="34"/>
        <w:rPr>
          <w:color w:val="auto"/>
        </w:rPr>
      </w:pPr>
      <w:r>
        <w:rPr>
          <w:color w:val="auto"/>
        </w:rPr>
        <w:drawing>
          <wp:inline distT="0" distB="0" distL="114300" distR="114300">
            <wp:extent cx="5334000" cy="1450340"/>
            <wp:effectExtent l="0" t="0" r="0" b="0"/>
            <wp:docPr id="2" name="Picture" descr="Fig. 2. End-to-end workflow. (1) Input fracture network. (2) Constrained point seeding using Eq. (9). (3) Constrained Delaunay triangulation construction. (4) Voronoi dual extraction. (5) Lloyd-based quality optimization. (6) Fully implicit assembly with CPR–SA-AMG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 2. End-to-end workflow. (1) Input fracture network. (2) Constrained point seeding using Eq. (9). (3) Constrained Delaunay triangulation construction. (4) Voronoi dual extraction. (5) Lloyd-based quality optimization. (6) Fully implicit assembly with CPR–SA-AMG solution."/>
                    <pic:cNvPicPr>
                      <a:picLocks noChangeAspect="1" noChangeArrowheads="1"/>
                    </pic:cNvPicPr>
                  </pic:nvPicPr>
                  <pic:blipFill>
                    <a:blip r:embed="rId6"/>
                    <a:stretch>
                      <a:fillRect/>
                    </a:stretch>
                  </pic:blipFill>
                  <pic:spPr>
                    <a:xfrm>
                      <a:off x="0" y="0"/>
                      <a:ext cx="5334000" cy="1450947"/>
                    </a:xfrm>
                    <a:prstGeom prst="rect">
                      <a:avLst/>
                    </a:prstGeom>
                    <a:noFill/>
                    <a:ln w="9525">
                      <a:noFill/>
                    </a:ln>
                  </pic:spPr>
                </pic:pic>
              </a:graphicData>
            </a:graphic>
          </wp:inline>
        </w:drawing>
      </w:r>
    </w:p>
    <w:p w14:paraId="5B8BAC7A">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2. End-to-end workflow. (1) Input fracture network. (2) Constrained point seeding using Eq. (9). (3) Constrained Delaunay triangulation construction. (4) Voronoi dual extraction. (5) Lloyd-based quality optimization. (6) Fully implicit assembly with CPR–SA-AMG solution.</w:t>
      </w:r>
    </w:p>
    <w:p w14:paraId="50200624">
      <w:pPr>
        <w:pStyle w:val="34"/>
        <w:rPr>
          <w:color w:val="auto"/>
        </w:rPr>
      </w:pPr>
      <w:r>
        <w:rPr>
          <w:color w:val="auto"/>
        </w:rPr>
        <w:drawing>
          <wp:inline distT="0" distB="0" distL="114300" distR="114300">
            <wp:extent cx="5334000" cy="1729105"/>
            <wp:effectExtent l="0" t="0" r="0" b="0"/>
            <wp:doc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pic:cNvPicPr>
                      <a:picLocks noChangeAspect="1" noChangeArrowheads="1"/>
                    </pic:cNvPicPr>
                  </pic:nvPicPr>
                  <pic:blipFill>
                    <a:blip r:embed="rId7"/>
                    <a:stretch>
                      <a:fillRect/>
                    </a:stretch>
                  </pic:blipFill>
                  <pic:spPr>
                    <a:xfrm>
                      <a:off x="0" y="0"/>
                      <a:ext cx="5334000" cy="1729496"/>
                    </a:xfrm>
                    <a:prstGeom prst="rect">
                      <a:avLst/>
                    </a:prstGeom>
                    <a:noFill/>
                    <a:ln w="9525">
                      <a:noFill/>
                    </a:ln>
                  </pic:spPr>
                </pic:pic>
              </a:graphicData>
            </a:graphic>
          </wp:inline>
        </w:drawing>
      </w:r>
    </w:p>
    <w:p w14:paraId="72773097">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3. Local mesh detail at a hydraulic–natural fracture intersection. (a) Distribution of generator points showing smooth density transition governed by the </w:t>
      </w:r>
      <m:oMath>
        <m:r>
          <m:rPr/>
          <w:rPr>
            <w:rFonts w:ascii="Times New Roman" w:hAnsi="Times New Roman" w:cs="Times New Roman"/>
            <w:color w:val="auto"/>
            <w:sz w:val="20"/>
            <w:szCs w:val="20"/>
          </w:rPr>
          <m:t>h</m:t>
        </m:r>
      </m:oMath>
      <w:r>
        <w:rPr>
          <w:rFonts w:ascii="Times New Roman" w:hAnsi="Times New Roman" w:cs="Times New Roman"/>
          <w:color w:val="auto"/>
          <w:sz w:val="20"/>
          <w:szCs w:val="20"/>
        </w:rPr>
        <w:t>-adaptation law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h</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n</m:t>
            </m:r>
            <m:ctrlPr>
              <w:rPr>
                <w:rFonts w:ascii="Times New Roman" w:hAnsi="Times New Roman" w:cs="Times New Roman"/>
                <w:color w:val="auto"/>
                <w:sz w:val="20"/>
                <w:szCs w:val="20"/>
              </w:rPr>
            </m:ctrlPr>
          </m:sub>
        </m:sSub>
        <m:r>
          <m:rPr/>
          <w:rPr>
            <w:rFonts w:ascii="Times New Roman" w:hAnsi="Times New Roman" w:cs="Times New Roman"/>
            <w:color w:val="auto"/>
            <w:sz w:val="20"/>
            <w:szCs w:val="20"/>
          </w:rPr>
          <m:t>=1.0</m:t>
        </m:r>
      </m:oMath>
      <w:r>
        <w:rPr>
          <w:rFonts w:ascii="Times New Roman" w:hAnsi="Times New Roman" w:cs="Times New Roman"/>
          <w:color w:val="auto"/>
          <w:sz w:val="20"/>
          <w:szCs w:val="20"/>
        </w:rPr>
        <w:t xml:space="preserve"> m,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h</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f</m:t>
            </m:r>
            <m:ctrlPr>
              <w:rPr>
                <w:rFonts w:ascii="Times New Roman" w:hAnsi="Times New Roman" w:cs="Times New Roman"/>
                <w:color w:val="auto"/>
                <w:sz w:val="20"/>
                <w:szCs w:val="20"/>
              </w:rPr>
            </m:ctrlPr>
          </m:sub>
        </m:sSub>
        <m:r>
          <m:rPr/>
          <w:rPr>
            <w:rFonts w:ascii="Times New Roman" w:hAnsi="Times New Roman" w:cs="Times New Roman"/>
            <w:color w:val="auto"/>
            <w:sz w:val="20"/>
            <w:szCs w:val="20"/>
          </w:rPr>
          <m:t>=50.0</m:t>
        </m:r>
      </m:oMath>
      <w:r>
        <w:rPr>
          <w:rFonts w:ascii="Times New Roman" w:hAnsi="Times New Roman" w:cs="Times New Roman"/>
          <w:color w:val="auto"/>
          <w:sz w:val="20"/>
          <w:szCs w:val="20"/>
        </w:rPr>
        <w:t xml:space="preserve"> m, </w:t>
      </w:r>
      <m:oMath>
        <m:r>
          <m:rPr/>
          <w:rPr>
            <w:rFonts w:ascii="Times New Roman" w:hAnsi="Times New Roman" w:cs="Times New Roman"/>
            <w:color w:val="auto"/>
            <w:sz w:val="20"/>
            <w:szCs w:val="20"/>
          </w:rPr>
          <m:t>α=0.5</m:t>
        </m:r>
      </m:oMath>
      <w:r>
        <w:rPr>
          <w:rFonts w:ascii="Times New Roman" w:hAnsi="Times New Roman" w:cs="Times New Roman"/>
          <w:color w:val="auto"/>
          <w:sz w:val="20"/>
          <w:szCs w:val="20"/>
        </w:rPr>
        <w:t xml:space="preserve"> </w:t>
      </w:r>
      <m:oMath>
        <m:sSup>
          <m:sSupPr/>
          <m:e>
            <m:r>
              <m:rPr/>
              <w:rPr>
                <w:rFonts w:ascii="Times New Roman" w:hAnsi="Times New Roman" w:cs="Times New Roman"/>
                <w:sz w:val="20"/>
                <w:szCs w:val="20"/>
              </w:rPr>
              <m:t>m</m:t>
            </m:r>
          </m:e>
          <m:sup>
            <m:r>
              <m:rPr/>
              <w:rPr>
                <w:rFonts w:ascii="Times New Roman" w:hAnsi="Times New Roman" w:cs="Times New Roman"/>
                <w:sz w:val="20"/>
                <w:szCs w:val="20"/>
              </w:rPr>
              <m:t>−1</m:t>
            </m:r>
          </m:sup>
        </m:sSup>
      </m:oMath>
      <w:r>
        <w:rPr>
          <w:rFonts w:ascii="Times New Roman" w:hAnsi="Times New Roman" w:cs="Times New Roman"/>
          <w:color w:val="auto"/>
          <w:sz w:val="20"/>
          <w:szCs w:val="20"/>
        </w:rPr>
        <w:t>). (b) Voronoi dualization demonstrating exact face–fracture coincidence. (c) Cell aspect ratios remain bounded below 4 within the intersection zone.</w:t>
      </w:r>
    </w:p>
    <w:p w14:paraId="7B223500">
      <w:pPr>
        <w:pStyle w:val="34"/>
        <w:rPr>
          <w:color w:val="auto"/>
        </w:rPr>
      </w:pPr>
      <w:r>
        <w:rPr>
          <w:color w:val="auto"/>
        </w:rPr>
        <w:drawing>
          <wp:inline distT="0" distB="0" distL="114300" distR="114300">
            <wp:extent cx="3749040" cy="2763520"/>
            <wp:effectExtent l="0" t="0" r="0" b="0"/>
            <wp:docPr id="4" name="Picture" descr="Fig. 4. Histogram of the orthogonality angle \theta for the base configuration. The dashed vertical line marks the 5^\circ K-orthogonality threshold. 97.1% of faces lie below this threshold; the distribution is strongly right-skewed with a median \theta o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Fig. 4. Histogram of the orthogonality angle \theta for the base configuration. The dashed vertical line marks the 5^\circ K-orthogonality threshold. 97.1% of faces lie below this threshold; the distribution is strongly right-skewed with a median \theta of 1.2°."/>
                    <pic:cNvPicPr>
                      <a:picLocks noChangeAspect="1" noChangeArrowheads="1"/>
                    </pic:cNvPicPr>
                  </pic:nvPicPr>
                  <pic:blipFill>
                    <a:blip r:embed="rId8"/>
                    <a:stretch>
                      <a:fillRect/>
                    </a:stretch>
                  </pic:blipFill>
                  <pic:spPr>
                    <a:xfrm>
                      <a:off x="0" y="0"/>
                      <a:ext cx="3749457" cy="2764076"/>
                    </a:xfrm>
                    <a:prstGeom prst="rect">
                      <a:avLst/>
                    </a:prstGeom>
                    <a:noFill/>
                    <a:ln w="9525">
                      <a:noFill/>
                    </a:ln>
                  </pic:spPr>
                </pic:pic>
              </a:graphicData>
            </a:graphic>
          </wp:inline>
        </w:drawing>
      </w:r>
    </w:p>
    <w:p w14:paraId="47324667">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4. Histogram of the orthogonality angle </w:t>
      </w:r>
      <m:oMath>
        <m:r>
          <m:rPr/>
          <w:rPr>
            <w:rFonts w:ascii="Times New Roman" w:hAnsi="Times New Roman" w:cs="Times New Roman"/>
            <w:color w:val="auto"/>
            <w:sz w:val="20"/>
            <w:szCs w:val="20"/>
          </w:rPr>
          <m:t>θ</m:t>
        </m:r>
      </m:oMath>
      <w:r>
        <w:rPr>
          <w:rFonts w:ascii="Times New Roman" w:hAnsi="Times New Roman" w:cs="Times New Roman"/>
          <w:color w:val="auto"/>
          <w:sz w:val="20"/>
          <w:szCs w:val="20"/>
        </w:rPr>
        <w:t xml:space="preserve"> for the base configuration. The dashed vertical line marks the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5</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K-orthogonality threshold. 97.1% of faces lie below this threshold; the distribution is strongly right-skewed with a median </w:t>
      </w:r>
      <m:oMath>
        <m:r>
          <m:rPr/>
          <w:rPr>
            <w:rFonts w:ascii="Times New Roman" w:hAnsi="Times New Roman" w:cs="Times New Roman"/>
            <w:color w:val="auto"/>
            <w:sz w:val="20"/>
            <w:szCs w:val="20"/>
          </w:rPr>
          <m:t>θ</m:t>
        </m:r>
      </m:oMath>
      <w:r>
        <w:rPr>
          <w:rFonts w:ascii="Times New Roman" w:hAnsi="Times New Roman" w:cs="Times New Roman"/>
          <w:color w:val="auto"/>
          <w:sz w:val="20"/>
          <w:szCs w:val="20"/>
        </w:rPr>
        <w:t xml:space="preserve"> of 1.2°.</w:t>
      </w:r>
    </w:p>
    <w:p w14:paraId="12E1BD07">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4: Grid-quality metrics for the base case, DFN case, and alternative meshing approaches.</w:t>
      </w:r>
    </w:p>
    <w:tbl>
      <w:tblPr>
        <w:tblStyle w:val="28"/>
        <w:tblW w:w="10267"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18"/>
        <w:gridCol w:w="1414"/>
        <w:gridCol w:w="2201"/>
        <w:gridCol w:w="2749"/>
        <w:gridCol w:w="1885"/>
      </w:tblGrid>
      <w:tr w14:paraId="1B5AF9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trHeight w:val="0" w:hRule="atLeast"/>
          <w:tblHeader/>
          <w:jc w:val="center"/>
        </w:trPr>
        <w:tc>
          <w:tcPr>
            <w:tcW w:w="0" w:type="auto"/>
            <w:tcBorders>
              <w:bottom w:val="single" w:color="auto" w:sz="0" w:space="0"/>
            </w:tcBorders>
            <w:vAlign w:val="center"/>
          </w:tcPr>
          <w:p w14:paraId="7D789E5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1414" w:type="dxa"/>
            <w:tcBorders>
              <w:bottom w:val="single" w:color="auto" w:sz="0" w:space="0"/>
            </w:tcBorders>
            <w:vAlign w:val="center"/>
          </w:tcPr>
          <w:p w14:paraId="422F67D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Base Case</w:t>
            </w:r>
          </w:p>
        </w:tc>
        <w:tc>
          <w:tcPr>
            <w:tcW w:w="0" w:type="auto"/>
            <w:tcBorders>
              <w:bottom w:val="single" w:color="auto" w:sz="0" w:space="0"/>
            </w:tcBorders>
            <w:vAlign w:val="center"/>
          </w:tcPr>
          <w:p w14:paraId="0ECF00E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DFN </w:t>
            </w:r>
          </w:p>
          <w:p w14:paraId="35DD925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(1,247 fractures)</w:t>
            </w:r>
          </w:p>
        </w:tc>
        <w:tc>
          <w:tcPr>
            <w:tcW w:w="0" w:type="auto"/>
            <w:tcBorders>
              <w:bottom w:val="single" w:color="auto" w:sz="0" w:space="0"/>
            </w:tcBorders>
            <w:vAlign w:val="center"/>
          </w:tcPr>
          <w:p w14:paraId="18D1964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Standard Unstructured </w:t>
            </w:r>
          </w:p>
          <w:p w14:paraId="12165B1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(DFN)</w:t>
            </w:r>
          </w:p>
        </w:tc>
        <w:tc>
          <w:tcPr>
            <w:tcW w:w="1885" w:type="dxa"/>
            <w:tcBorders>
              <w:bottom w:val="single" w:color="auto" w:sz="0" w:space="0"/>
            </w:tcBorders>
            <w:vAlign w:val="center"/>
          </w:tcPr>
          <w:p w14:paraId="5893D7F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r>
      <w:tr w14:paraId="6166DF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5B7131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414" w:type="dxa"/>
            <w:vAlign w:val="center"/>
          </w:tcPr>
          <w:p w14:paraId="0ECB7C9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040B866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95.3%</w:t>
            </w:r>
          </w:p>
        </w:tc>
        <w:tc>
          <w:tcPr>
            <w:tcW w:w="0" w:type="auto"/>
            <w:vAlign w:val="center"/>
          </w:tcPr>
          <w:p w14:paraId="5D51EC1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81.2%</w:t>
            </w:r>
          </w:p>
        </w:tc>
        <w:tc>
          <w:tcPr>
            <w:tcW w:w="1885" w:type="dxa"/>
            <w:vAlign w:val="center"/>
          </w:tcPr>
          <w:p w14:paraId="05692B3C">
            <w:pPr>
              <w:pStyle w:val="24"/>
              <w:snapToGrid w:val="0"/>
              <w:spacing w:before="0" w:after="0"/>
              <w:ind w:left="0" w:leftChars="0" w:right="0" w:rightChars="0" w:firstLineChars="0"/>
              <w:jc w:val="left"/>
              <w:rPr>
                <w:color w:val="auto"/>
              </w:rPr>
            </w:pPr>
            <w:r>
              <w:rPr>
                <w:rFonts w:ascii="Times New Roman" w:hAnsi="Times New Roman"/>
                <w:sz w:val="20"/>
              </w:rPr>
              <w:t>62.4%</w:t>
            </w:r>
            <w:r>
              <w:rPr>
                <w:rFonts w:ascii="Times New Roman" w:hAnsi="Times New Roman"/>
                <w:sz w:val="16"/>
                <w:vertAlign w:val="superscript"/>
              </w:rPr>
              <w:t>(a)</w:t>
            </w:r>
          </w:p>
        </w:tc>
      </w:tr>
      <w:tr w14:paraId="514851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AA73EB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Maximum aspect ratio</w:t>
            </w:r>
          </w:p>
        </w:tc>
        <w:tc>
          <w:tcPr>
            <w:tcW w:w="1414" w:type="dxa"/>
            <w:vAlign w:val="center"/>
          </w:tcPr>
          <w:p w14:paraId="32D8CE3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0" w:type="auto"/>
            <w:vAlign w:val="center"/>
          </w:tcPr>
          <w:p w14:paraId="037E28D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4.7</w:t>
            </w:r>
          </w:p>
        </w:tc>
        <w:tc>
          <w:tcPr>
            <w:tcW w:w="0" w:type="auto"/>
            <w:vAlign w:val="center"/>
          </w:tcPr>
          <w:p w14:paraId="66693C9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12.3</w:t>
            </w:r>
          </w:p>
        </w:tc>
        <w:tc>
          <w:tcPr>
            <w:tcW w:w="1885" w:type="dxa"/>
            <w:vAlign w:val="center"/>
          </w:tcPr>
          <w:p w14:paraId="331C5E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8.5</w:t>
            </w:r>
          </w:p>
        </w:tc>
      </w:tr>
      <w:tr w14:paraId="42F30F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821E3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Adjacent size ratio </w:t>
            </w:r>
            <m:oMath>
              <m:r>
                <m:rPr/>
                <w:rPr>
                  <w:color w:val="auto"/>
                </w:rPr>
                <m:t>≤3</m:t>
              </m:r>
            </m:oMath>
          </w:p>
        </w:tc>
        <w:tc>
          <w:tcPr>
            <w:tcW w:w="1414" w:type="dxa"/>
            <w:vAlign w:val="center"/>
          </w:tcPr>
          <w:p w14:paraId="629BA7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98.6%</w:t>
            </w:r>
          </w:p>
        </w:tc>
        <w:tc>
          <w:tcPr>
            <w:tcW w:w="0" w:type="auto"/>
            <w:vAlign w:val="center"/>
          </w:tcPr>
          <w:p w14:paraId="7DF473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96.8%</w:t>
            </w:r>
          </w:p>
        </w:tc>
        <w:tc>
          <w:tcPr>
            <w:tcW w:w="0" w:type="auto"/>
            <w:vAlign w:val="center"/>
          </w:tcPr>
          <w:p w14:paraId="7144F7D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78.2%</w:t>
            </w:r>
          </w:p>
        </w:tc>
        <w:tc>
          <w:tcPr>
            <w:tcW w:w="1885" w:type="dxa"/>
            <w:vAlign w:val="center"/>
          </w:tcPr>
          <w:p w14:paraId="5380F9E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91.3%</w:t>
            </w:r>
          </w:p>
        </w:tc>
      </w:tr>
      <w:tr w14:paraId="32F19C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F172B2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cells (thousands)</w:t>
            </w:r>
          </w:p>
        </w:tc>
        <w:tc>
          <w:tcPr>
            <w:tcW w:w="1414" w:type="dxa"/>
            <w:vAlign w:val="center"/>
          </w:tcPr>
          <w:p w14:paraId="30FA55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0" w:type="auto"/>
            <w:vAlign w:val="center"/>
          </w:tcPr>
          <w:p w14:paraId="5AA0101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1 847</w:t>
            </w:r>
          </w:p>
        </w:tc>
        <w:tc>
          <w:tcPr>
            <w:tcW w:w="0" w:type="auto"/>
            <w:vAlign w:val="center"/>
          </w:tcPr>
          <w:p w14:paraId="5B2889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2 310</w:t>
            </w:r>
          </w:p>
        </w:tc>
        <w:tc>
          <w:tcPr>
            <w:tcW w:w="1885" w:type="dxa"/>
            <w:vAlign w:val="center"/>
          </w:tcPr>
          <w:p w14:paraId="36BC9BA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1 536</w:t>
            </w:r>
          </w:p>
        </w:tc>
      </w:tr>
      <w:tr w14:paraId="1899F3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8" w:type="dxa"/>
            <w:vAlign w:val="center"/>
          </w:tcPr>
          <w:p w14:paraId="7FB451A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Steiner point fraction</w:t>
            </w:r>
          </w:p>
        </w:tc>
        <w:tc>
          <w:tcPr>
            <w:tcW w:w="1414" w:type="dxa"/>
            <w:vAlign w:val="center"/>
          </w:tcPr>
          <w:p w14:paraId="2A52C40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8.3%</w:t>
            </w:r>
          </w:p>
        </w:tc>
        <w:tc>
          <w:tcPr>
            <w:tcW w:w="2201" w:type="dxa"/>
            <w:vAlign w:val="center"/>
          </w:tcPr>
          <w:p w14:paraId="2DDFEB0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14.7%</w:t>
            </w:r>
          </w:p>
        </w:tc>
        <w:tc>
          <w:tcPr>
            <w:tcW w:w="2749" w:type="dxa"/>
            <w:vAlign w:val="center"/>
          </w:tcPr>
          <w:p w14:paraId="1E0CA51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22.5%</w:t>
            </w:r>
          </w:p>
        </w:tc>
        <w:tc>
          <w:tcPr>
            <w:tcW w:w="1885" w:type="dxa"/>
            <w:vAlign w:val="center"/>
          </w:tcPr>
          <w:p w14:paraId="4347ED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N/A</w:t>
            </w:r>
          </w:p>
        </w:tc>
      </w:tr>
    </w:tbl>
    <w:p w14:paraId="55E84F26">
      <w:pPr>
        <w:pStyle w:val="3"/>
        <w:spacing w:before="0" w:after="0" w:line="300" w:lineRule="auto"/>
        <w:ind w:firstLine="360" w:firstLineChars="200"/>
        <w:jc w:val="both"/>
        <w:rPr>
          <w:rFonts w:ascii="Times New Roman" w:hAnsi="Times New Roman" w:cs="Times New Roman"/>
          <w:color w:val="auto"/>
          <w:sz w:val="24"/>
          <w:szCs w:val="24"/>
        </w:rPr>
      </w:pPr>
      <w:r>
        <w:rPr>
          <w:rFonts w:ascii="Times New Roman" w:hAnsi="Times New Roman"/>
          <w:sz w:val="18"/>
          <w:vertAlign w:val="superscript"/>
        </w:rPr>
        <w:t>(a) The 62.4% value for Cartesian LGR pertains to the base case (100 hydraulic fractures only). Under DFN insertion (1,247 obliquely oriented natural fractures), this fraction decreases to 58.7% (Table 14), because each obliquely oriented fracture requires staircase approximation on the Cartesian grid. Unlike the PEBI mesh, Cartesian LGR K-orthogonality degrades monotonically with each obliquely oriented fracture added to the domain.</w:t>
      </w:r>
    </w:p>
    <w:p w14:paraId="04B0D8DE">
      <w:pPr>
        <w:pStyle w:val="4"/>
        <w:spacing w:before="120" w:after="60" w:line="360" w:lineRule="auto"/>
        <w:jc w:val="left"/>
        <w:rPr>
          <w:rFonts w:ascii="Times New Roman" w:hAnsi="Times New Roman" w:cs="Times New Roman"/>
          <w:color w:val="auto"/>
          <w:sz w:val="24"/>
          <w:szCs w:val="24"/>
        </w:rPr>
      </w:pPr>
      <w:bookmarkStart w:id="10" w:name="X738d83d17439b5102e92bc417e442cbfc692708"/>
      <w:r>
        <w:rPr>
          <w:rFonts w:ascii="Times New Roman" w:hAnsi="Times New Roman" w:cs="Times New Roman"/>
          <w:b/>
          <w:bCs/>
          <w:color w:val="auto"/>
          <w:sz w:val="24"/>
          <w:szCs w:val="24"/>
        </w:rPr>
        <w:t>2.4 Fully Implicit Linearization and CPR–SA-AMG</w:t>
      </w:r>
      <w:bookmarkEnd w:id="10"/>
    </w:p>
    <w:p w14:paraId="6FEC23A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Backward Euler time integration paired with Newton–Raphson linearization yields the block-structured algebraic system</w:t>
      </w:r>
    </w:p>
    <w:p w14:paraId="2B835517">
      <w:pPr>
        <w:pStyle w:val="3"/>
        <w:spacing w:before="0" w:after="120"/>
        <w:ind w:firstLine="480" w:firstLineChars="200"/>
        <w:jc w:val="both"/>
        <w:rPr>
          <w:color w:val="auto"/>
        </w:rPr>
      </w:pPr>
      <m:oMathPara>
        <m:oMathParaPr>
          <m:jc m:val="center"/>
        </m:oMathParaPr>
        <m:oMath>
          <m:r>
            <m:rPr/>
            <w:rPr>
              <w:color w:val="auto"/>
            </w:rPr>
            <m:t>Aδx=−R  (12)</m:t>
          </m:r>
        </m:oMath>
      </m:oMathPara>
    </w:p>
    <w:p w14:paraId="6D0C0DC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With three primary unknowns per cell — pressure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oil saturation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bubble-point pressure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b</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(or equivalent) — the matrix </w:t>
      </w:r>
      <m:oMath>
        <m:r>
          <m:rPr/>
          <w:rPr>
            <w:rFonts w:ascii="Times New Roman" w:hAnsi="Times New Roman" w:cs="Times New Roman"/>
            <w:color w:val="auto"/>
            <w:sz w:val="24"/>
            <w:szCs w:val="24"/>
          </w:rPr>
          <m:t>A</m:t>
        </m:r>
      </m:oMath>
      <w:r>
        <w:rPr>
          <w:rFonts w:ascii="Times New Roman" w:hAnsi="Times New Roman" w:cs="Times New Roman"/>
          <w:color w:val="auto"/>
          <w:sz w:val="24"/>
          <w:szCs w:val="24"/>
        </w:rPr>
        <w:t xml:space="preserve"> measures </w:t>
      </w:r>
      <m:oMath>
        <m:r>
          <m:rPr/>
          <w:rPr>
            <w:rFonts w:ascii="Times New Roman" w:hAnsi="Times New Roman" w:cs="Times New Roman"/>
            <w:color w:val="auto"/>
            <w:sz w:val="24"/>
            <w:szCs w:val="24"/>
          </w:rPr>
          <m:t>3</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×3</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carries roughly </w:t>
      </w:r>
      <m:oMath>
        <m:r>
          <m:rPr/>
          <w:rPr>
            <w:rFonts w:ascii="Times New Roman" w:hAnsi="Times New Roman" w:cs="Times New Roman"/>
            <w:color w:val="auto"/>
            <w:sz w:val="24"/>
            <w:szCs w:val="24"/>
          </w:rPr>
          <m:t>21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nonzero entries for standard hexahedral stencil connectivity.</w:t>
      </w:r>
    </w:p>
    <w:p w14:paraId="57CF247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shale-oil systems, the fracture-to-matrix permeability ratio can exceed nine orders of magnitude, and the resulting stiffness pushes the unpreconditioned Jacobian system into the 10⁷–10⁸ spectral range for discretizations that do not conform to the fractures. For instance, the standard unstructured DFN configuration in Table 14 shows </w:t>
      </w:r>
      <m:oMath>
        <m:acc>
          <m:accPr>
            <m:chr m:val="0"/>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κ̂(A)/κ̂₀(A) = 18.6×, which corresponds to κ̂(A) ≈ 6.9 × 10⁷. When the grid is fracture-conforming, spurious off-diagonal flux terms disappear and the proxy drops to roughly 3.7 × 10⁶. Throughout this paper, we report the spectral conditioning proxy κ̂(A), defined as the ratio |λ|ₘₐₓ/|λ|ₘᵢₙ of the largest to smallest converged Ritz values obtained from the implicitly restarted Arnoldi method (ARPACK, accessed through the SLEPc interface): convergence tolerance τ_Aᵣₙ = 10⁻⁶ on the relative eigenvalue residual, Krylov subspace dimension m = 60, restart dimension k = 30 (i.e., the 30 most dominant Ritz values are retained at each restart). As a verification check, we cross-validated the Arnoldi-derived proxy against a sparse direct LU-based estimator (SuperLU_DIST, threshold-based ILU, drop tolerance 10⁻⁴). For the base-case PEBI matrix (N_c = 1,024,000, 3N_c ≈ 3.07M unknowns), the LU estimator </w:t>
      </w:r>
      <m:oMath>
        <m:r>
          <m:rPr/>
          <w:rPr>
            <w:rFonts w:ascii="Times New Roman" w:hAnsi="Times New Roman" w:cs="Times New Roman"/>
            <w:sz w:val="24"/>
            <w:szCs w:val="24"/>
          </w:rPr>
          <m:t>κ</m:t>
        </m:r>
      </m:oMath>
      <w:r>
        <w:rPr>
          <w:rFonts w:ascii="Times New Roman" w:hAnsi="Times New Roman" w:cs="Times New Roman"/>
          <w:color w:val="auto"/>
          <w:sz w:val="24"/>
          <w:szCs w:val="24"/>
        </w:rPr>
        <w:t xml:space="preserve">κ_LU(A) = ‖A⁻¹‖₁‖A‖₁ gives 4.1 × 10⁶ — within 10% of the Arnoldi proxy result of 3.7 × 10⁶. Across all the cases in Sections 3.4–3.6 the two methods agree to within 15%, confirming that </w:t>
      </w:r>
      <m:oMath>
        <m:acc>
          <m:accPr>
            <m:chr m:val="0"/>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 provides a reliable spectral conditioning proxy for the systems studied here.</w:t>
      </w:r>
    </w:p>
    <w:p w14:paraId="46839DC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Constrained Pressure Residual (CPR) methodology (Wallis et al., 1985) isolates the near-elliptic pressure subsystem</w:t>
      </w:r>
    </w:p>
    <w:p w14:paraId="51EEACF1">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A</m:t>
              </m:r>
              <m:ctrlPr>
                <w:rPr>
                  <w:color w:val="auto"/>
                </w:rPr>
              </m:ctrlPr>
            </m:e>
            <m:sub>
              <m:r>
                <m:rPr/>
                <w:rPr>
                  <w:color w:val="auto"/>
                </w:rPr>
                <m:t>pp</m:t>
              </m:r>
              <m:ctrlPr>
                <w:rPr>
                  <w:color w:val="auto"/>
                </w:rPr>
              </m:ctrlPr>
            </m:sub>
          </m:sSub>
          <m:r>
            <m:rPr/>
            <w:rPr>
              <w:color w:val="auto"/>
            </w:rPr>
            <m:t>δp=−</m:t>
          </m:r>
          <m:sSub>
            <m:sSubPr>
              <m:ctrlPr>
                <w:rPr>
                  <w:color w:val="auto"/>
                </w:rPr>
              </m:ctrlPr>
            </m:sSubPr>
            <m:e>
              <m:r>
                <m:rPr/>
                <w:rPr>
                  <w:color w:val="auto"/>
                </w:rPr>
                <m:t>R</m:t>
              </m:r>
              <m:ctrlPr>
                <w:rPr>
                  <w:color w:val="auto"/>
                </w:rPr>
              </m:ctrlPr>
            </m:e>
            <m:sub>
              <m:r>
                <m:rPr/>
                <w:rPr>
                  <w:color w:val="auto"/>
                </w:rPr>
                <m:t>p</m:t>
              </m:r>
              <m:ctrlPr>
                <w:rPr>
                  <w:color w:val="auto"/>
                </w:rPr>
              </m:ctrlPr>
            </m:sub>
          </m:sSub>
          <m:r>
            <m:rPr/>
            <w:rPr>
              <w:color w:val="auto"/>
            </w:rPr>
            <m:t>  (13)</m:t>
          </m:r>
        </m:oMath>
      </m:oMathPara>
    </w:p>
    <w:p w14:paraId="0DDE258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pressure subsystem is handled through Smoothed-Aggregation Algebraic Multigrid (SA-AMG) (Vaněk et al., 1996) with a strong-coupling threshold of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ε</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str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=0.25</m:t>
        </m:r>
      </m:oMath>
      <w:r>
        <w:rPr>
          <w:rFonts w:ascii="Times New Roman" w:hAnsi="Times New Roman" w:cs="Times New Roman"/>
          <w:color w:val="auto"/>
          <w:sz w:val="24"/>
          <w:szCs w:val="24"/>
        </w:rPr>
        <w:t xml:space="preserve">. The SA-AMG configuration, detailed in Appendix A, employs a strong-coupling threshold of ε_str = 0.25 selected from a sweep across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ε</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str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∈{0.1,0.15,0.2,0.25,0.3,0.4}</m:t>
        </m:r>
      </m:oMath>
      <w:r>
        <w:rPr>
          <w:rFonts w:ascii="Times New Roman" w:hAnsi="Times New Roman" w:cs="Times New Roman"/>
          <w:color w:val="auto"/>
          <w:sz w:val="24"/>
          <w:szCs w:val="24"/>
        </w:rPr>
        <w:t xml:space="preserve">; the GMRES iteration count varies by less than 8% over the range 0.2–0.3, indicating insensitivity to this parameter within a broad operational window. The prolongation operator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is built from a tentative prolongator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0</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via damped Jacobi smoothing:</w:t>
      </w:r>
    </w:p>
    <w:p w14:paraId="2BD86206">
      <w:pPr>
        <w:pStyle w:val="3"/>
        <w:spacing w:before="0" w:after="120"/>
        <w:ind w:firstLine="480" w:firstLineChars="200"/>
        <w:jc w:val="both"/>
        <w:rPr>
          <w:color w:val="auto"/>
        </w:rPr>
      </w:pPr>
      <m:oMathPara>
        <m:oMathParaPr>
          <m:jc m:val="center"/>
        </m:oMathParaPr>
        <m:oMath>
          <m:r>
            <m:rPr/>
            <w:rPr>
              <w:color w:val="auto"/>
            </w:rPr>
            <m:t>P=</m:t>
          </m:r>
          <m:d>
            <m:dPr>
              <m:ctrlPr>
                <w:rPr>
                  <w:color w:val="auto"/>
                </w:rPr>
              </m:ctrlPr>
            </m:dPr>
            <m:e>
              <m:r>
                <m:rPr/>
                <w:rPr>
                  <w:color w:val="auto"/>
                </w:rPr>
                <m:t>I−ω</m:t>
              </m:r>
              <m:sSup>
                <m:sSupPr>
                  <m:ctrlPr>
                    <w:rPr>
                      <w:color w:val="auto"/>
                    </w:rPr>
                  </m:ctrlPr>
                </m:sSupPr>
                <m:e>
                  <m:r>
                    <m:rPr/>
                    <w:rPr>
                      <w:color w:val="auto"/>
                    </w:rPr>
                    <m:t>D</m:t>
                  </m:r>
                  <m:ctrlPr>
                    <w:rPr>
                      <w:color w:val="auto"/>
                    </w:rPr>
                  </m:ctrlPr>
                </m:e>
                <m:sup>
                  <m:r>
                    <m:rPr/>
                    <w:rPr>
                      <w:color w:val="auto"/>
                    </w:rPr>
                    <m:t>−1</m:t>
                  </m:r>
                  <m:ctrlPr>
                    <w:rPr>
                      <w:color w:val="auto"/>
                    </w:rPr>
                  </m:ctrlPr>
                </m:sup>
              </m:sSup>
              <m:sSub>
                <m:sSubPr>
                  <m:ctrlPr>
                    <w:rPr>
                      <w:color w:val="auto"/>
                    </w:rPr>
                  </m:ctrlPr>
                </m:sSubPr>
                <m:e>
                  <m:r>
                    <m:rPr/>
                    <w:rPr>
                      <w:color w:val="auto"/>
                    </w:rPr>
                    <m:t>A</m:t>
                  </m:r>
                  <m:ctrlPr>
                    <w:rPr>
                      <w:color w:val="auto"/>
                    </w:rPr>
                  </m:ctrlPr>
                </m:e>
                <m:sub>
                  <m:r>
                    <m:rPr/>
                    <w:rPr>
                      <w:color w:val="auto"/>
                    </w:rPr>
                    <m:t>pp</m:t>
                  </m:r>
                  <m:ctrlPr>
                    <w:rPr>
                      <w:color w:val="auto"/>
                    </w:rPr>
                  </m:ctrlPr>
                </m:sub>
              </m:sSub>
              <m:ctrlPr>
                <w:rPr>
                  <w:color w:val="auto"/>
                </w:rPr>
              </m:ctrlPr>
            </m:e>
          </m:d>
          <m:sSub>
            <m:sSubPr>
              <m:ctrlPr>
                <w:rPr>
                  <w:color w:val="auto"/>
                </w:rPr>
              </m:ctrlPr>
            </m:sSubPr>
            <m:e>
              <m:r>
                <m:rPr/>
                <w:rPr>
                  <w:color w:val="auto"/>
                </w:rPr>
                <m:t>P</m:t>
              </m:r>
              <m:ctrlPr>
                <w:rPr>
                  <w:color w:val="auto"/>
                </w:rPr>
              </m:ctrlPr>
            </m:e>
            <m:sub>
              <m:r>
                <m:rPr/>
                <w:rPr>
                  <w:color w:val="auto"/>
                </w:rPr>
                <m:t>0</m:t>
              </m:r>
              <m:ctrlPr>
                <w:rPr>
                  <w:color w:val="auto"/>
                </w:rPr>
              </m:ctrlPr>
            </m:sub>
          </m:sSub>
          <m:r>
            <m:rPr/>
            <w:rPr>
              <w:color w:val="auto"/>
            </w:rPr>
            <m:t>  (14)</m:t>
          </m:r>
        </m:oMath>
      </m:oMathPara>
    </w:p>
    <w:p w14:paraId="2A8A94E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(14), </w:t>
      </w:r>
      <m:oMath>
        <m:r>
          <m:rPr/>
          <w:rPr>
            <w:rFonts w:ascii="Times New Roman" w:hAnsi="Times New Roman" w:cs="Times New Roman"/>
            <w:color w:val="auto"/>
            <w:sz w:val="24"/>
            <w:szCs w:val="24"/>
          </w:rPr>
          <m:t>ω=0.7</m:t>
        </m:r>
      </m:oMath>
      <w:r>
        <w:rPr>
          <w:rFonts w:ascii="Times New Roman" w:hAnsi="Times New Roman" w:cs="Times New Roman"/>
          <w:color w:val="auto"/>
          <w:sz w:val="24"/>
          <w:szCs w:val="24"/>
        </w:rPr>
        <w:t xml:space="preserve"> denotes the damping parameter and </w:t>
      </w:r>
      <m:oMath>
        <m:r>
          <m:rPr/>
          <w:rPr>
            <w:rFonts w:ascii="Times New Roman" w:hAnsi="Times New Roman" w:cs="Times New Roman"/>
            <w:color w:val="auto"/>
            <w:sz w:val="24"/>
            <w:szCs w:val="24"/>
          </w:rPr>
          <m:t>D</m:t>
        </m:r>
      </m:oMath>
      <w:r>
        <w:rPr>
          <w:rFonts w:ascii="Times New Roman" w:hAnsi="Times New Roman" w:cs="Times New Roman"/>
          <w:color w:val="auto"/>
          <w:sz w:val="24"/>
          <w:szCs w:val="24"/>
        </w:rPr>
        <w:t xml:space="preserve"> is the diagonal of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pp</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Following the pressure correction, a Block-ILU(0) sweep applied to the full system stabilizes the hyperbolic saturation coupling. An important observation is that, because the PEBI mesh eliminates spurious cross-flow contributions, the system matrix </w:t>
      </w:r>
      <m:oMath>
        <m:r>
          <m:rPr/>
          <w:rPr>
            <w:rFonts w:ascii="Times New Roman" w:hAnsi="Times New Roman" w:cs="Times New Roman"/>
            <w:color w:val="auto"/>
            <w:sz w:val="24"/>
            <w:szCs w:val="24"/>
          </w:rPr>
          <m:t>A</m:t>
        </m:r>
      </m:oMath>
      <w:r>
        <w:rPr>
          <w:rFonts w:ascii="Times New Roman" w:hAnsi="Times New Roman" w:cs="Times New Roman"/>
          <w:color w:val="auto"/>
          <w:sz w:val="24"/>
          <w:szCs w:val="24"/>
        </w:rPr>
        <w:t xml:space="preserve"> exhibits enhanced diagonal dominance, with the mean diagonal dominance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δ</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nary>
          <m:naryPr>
            <m:chr m:val="∑"/>
            <m:limLoc m:val="undOvr"/>
            <m:supHide m:val="1"/>
            <m:ctrlPr>
              <w:rPr>
                <w:rFonts w:ascii="Times New Roman" w:hAnsi="Times New Roman" w:cs="Times New Roman"/>
                <w:color w:val="auto"/>
                <w:sz w:val="24"/>
                <w:szCs w:val="24"/>
              </w:rPr>
            </m:ctrlPr>
          </m:naryPr>
          <m:sub>
            <m:r>
              <m:rPr/>
              <w:rPr>
                <w:rFonts w:ascii="Times New Roman" w:hAnsi="Times New Roman" w:cs="Times New Roman"/>
                <w:color w:val="auto"/>
                <w:sz w:val="24"/>
                <w:szCs w:val="24"/>
              </w:rPr>
              <m:t>j≠i</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nary>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improving from 1.43 (Cartesian LGR) to 2.18 (PEBI). This improvement accelerates aggregate construction in the AMG setup phase and improves the V-cycle convergence factor from approximately 0.45 to 0.31.</w:t>
      </w:r>
    </w:p>
    <w:p w14:paraId="29A09647">
      <w:pPr>
        <w:pStyle w:val="34"/>
        <w:rPr>
          <w:color w:val="auto"/>
        </w:rPr>
      </w:pPr>
      <w:r>
        <w:rPr>
          <w:color w:val="auto"/>
        </w:rPr>
        <w:drawing>
          <wp:inline distT="0" distB="0" distL="114300" distR="114300">
            <wp:extent cx="5334000" cy="2153285"/>
            <wp:effectExtent l="0" t="0" r="0" b="0"/>
            <wp:doc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pic:cNvPicPr>
                      <a:picLocks noChangeAspect="1" noChangeArrowheads="1"/>
                    </pic:cNvPicPr>
                  </pic:nvPicPr>
                  <pic:blipFill>
                    <a:blip r:embed="rId9"/>
                    <a:stretch>
                      <a:fillRect/>
                    </a:stretch>
                  </pic:blipFill>
                  <pic:spPr>
                    <a:xfrm>
                      <a:off x="0" y="0"/>
                      <a:ext cx="5334000" cy="2153555"/>
                    </a:xfrm>
                    <a:prstGeom prst="rect">
                      <a:avLst/>
                    </a:prstGeom>
                    <a:noFill/>
                    <a:ln w="9525">
                      <a:noFill/>
                    </a:ln>
                  </pic:spPr>
                </pic:pic>
              </a:graphicData>
            </a:graphic>
          </wp:inline>
        </w:drawing>
      </w:r>
    </w:p>
    <w:p w14:paraId="478EC3A2">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5. Structure of the CPR–SA-AMG preconditioner. Stage 1: An SA-AMG V-cycle applied to the extracted pressure block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A</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pp</m:t>
            </m:r>
            <m:ctrlPr>
              <w:rPr>
                <w:rFonts w:ascii="Times New Roman" w:hAnsi="Times New Roman" w:cs="Times New Roman"/>
                <w:color w:val="auto"/>
                <w:sz w:val="20"/>
                <w:szCs w:val="20"/>
              </w:rPr>
            </m:ctrlPr>
          </m:sub>
        </m:sSub>
      </m:oMath>
      <w:r>
        <w:rPr>
          <w:rFonts w:ascii="Times New Roman" w:hAnsi="Times New Roman" w:cs="Times New Roman"/>
          <w:color w:val="auto"/>
          <w:sz w:val="20"/>
          <w:szCs w:val="20"/>
        </w:rPr>
        <w:t>. Stage 2: A Block-ILU(0) global smoothing pass</w:t>
      </w:r>
    </w:p>
    <w:p w14:paraId="1D5EE26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two-stage preconditioning architecture and the communication overlap schedule are illustrated in Fig. 5 and described in the following subsection.</w:t>
      </w:r>
    </w:p>
    <w:p w14:paraId="22391B1A">
      <w:pPr>
        <w:pStyle w:val="4"/>
        <w:spacing w:before="120" w:after="60" w:line="360" w:lineRule="auto"/>
        <w:jc w:val="left"/>
        <w:rPr>
          <w:rFonts w:ascii="Times New Roman" w:hAnsi="Times New Roman" w:cs="Times New Roman"/>
          <w:color w:val="auto"/>
          <w:sz w:val="24"/>
          <w:szCs w:val="24"/>
        </w:rPr>
      </w:pPr>
      <w:bookmarkStart w:id="11" w:name="X9d83824d9bddd7847d10263c1e9c9d86e4f8950"/>
      <w:r>
        <w:rPr>
          <w:rFonts w:ascii="Times New Roman" w:hAnsi="Times New Roman" w:cs="Times New Roman"/>
          <w:b/>
          <w:bCs/>
          <w:color w:val="auto"/>
          <w:sz w:val="24"/>
          <w:szCs w:val="24"/>
        </w:rPr>
        <w:t>2.5 Parallel Domain Decomposition and Communication Overlap</w:t>
      </w:r>
      <w:bookmarkEnd w:id="11"/>
    </w:p>
    <w:p w14:paraId="145BCA6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Domain partitioning is performed using ParMETIS (Karypis and Kumar, 1998) with physics-weighted edge costs. The edge weight between cells </w:t>
      </w:r>
      <m:oMath>
        <m:r>
          <m:rPr/>
          <w:rPr>
            <w:rFonts w:ascii="Times New Roman" w:hAnsi="Times New Roman" w:cs="Times New Roman"/>
            <w:color w:val="auto"/>
            <w:sz w:val="24"/>
            <w:szCs w:val="24"/>
          </w:rPr>
          <m:t>i</m:t>
        </m:r>
      </m:oMath>
      <w:r>
        <w:rPr>
          <w:rFonts w:ascii="Times New Roman" w:hAnsi="Times New Roman" w:cs="Times New Roman"/>
          <w:color w:val="auto"/>
          <w:sz w:val="24"/>
          <w:szCs w:val="24"/>
        </w:rPr>
        <w:t xml:space="preserve"> and </w:t>
      </w:r>
      <m:oMath>
        <m:r>
          <m:rPr/>
          <w:rPr>
            <w:rFonts w:ascii="Times New Roman" w:hAnsi="Times New Roman" w:cs="Times New Roman"/>
            <w:color w:val="auto"/>
            <w:sz w:val="24"/>
            <w:szCs w:val="24"/>
          </w:rPr>
          <m:t>j</m:t>
        </m:r>
      </m:oMath>
      <w:r>
        <w:rPr>
          <w:rFonts w:ascii="Times New Roman" w:hAnsi="Times New Roman" w:cs="Times New Roman"/>
          <w:color w:val="auto"/>
          <w:sz w:val="24"/>
          <w:szCs w:val="24"/>
        </w:rPr>
        <w:t xml:space="preserve"> is set to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w</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where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oil-phase transmissibility. This weighting accounts for both the intercell coupling strength and the expected computational cost heterogeneity arising from saturation-dependent phase behavior near displacement fronts. Load imbalance is defined as the relative difference between the maximum and average number of cells per rank.</w:t>
      </w:r>
    </w:p>
    <w:p w14:paraId="05AD344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Persistent communication handles (</w:t>
      </w:r>
      <w:r>
        <w:rPr>
          <w:rStyle w:val="35"/>
          <w:rFonts w:ascii="Times New Roman" w:hAnsi="Times New Roman" w:cs="Times New Roman"/>
          <w:color w:val="auto"/>
          <w:sz w:val="24"/>
          <w:szCs w:val="24"/>
        </w:rPr>
        <w:t>MPI_Send_init</w:t>
      </w:r>
      <w:r>
        <w:rPr>
          <w:rFonts w:ascii="Times New Roman" w:hAnsi="Times New Roman" w:cs="Times New Roman"/>
          <w:color w:val="auto"/>
          <w:sz w:val="24"/>
          <w:szCs w:val="24"/>
        </w:rPr>
        <w:t xml:space="preserve"> / </w:t>
      </w:r>
      <w:r>
        <w:rPr>
          <w:rStyle w:val="35"/>
          <w:rFonts w:ascii="Times New Roman" w:hAnsi="Times New Roman" w:cs="Times New Roman"/>
          <w:color w:val="auto"/>
          <w:sz w:val="24"/>
          <w:szCs w:val="24"/>
        </w:rPr>
        <w:t>MPI_Recv_init</w:t>
      </w:r>
      <w:r>
        <w:rPr>
          <w:rFonts w:ascii="Times New Roman" w:hAnsi="Times New Roman" w:cs="Times New Roman"/>
          <w:color w:val="auto"/>
          <w:sz w:val="24"/>
          <w:szCs w:val="24"/>
        </w:rPr>
        <w:t xml:space="preserve">) are instantiated once at simulation initialization and reused across all Newton iterations and timesteps. At the start of each Newton iteration, communication is initiated via </w:t>
      </w:r>
      <w:r>
        <w:rPr>
          <w:rStyle w:val="35"/>
          <w:rFonts w:ascii="Times New Roman" w:hAnsi="Times New Roman" w:cs="Times New Roman"/>
          <w:color w:val="auto"/>
          <w:sz w:val="24"/>
          <w:szCs w:val="24"/>
        </w:rPr>
        <w:t>MPI_Startall</w:t>
      </w:r>
      <w:r>
        <w:rPr>
          <w:rFonts w:ascii="Times New Roman" w:hAnsi="Times New Roman" w:cs="Times New Roman"/>
          <w:color w:val="auto"/>
          <w:sz w:val="24"/>
          <w:szCs w:val="24"/>
        </w:rPr>
        <w:t xml:space="preserve">. Interior-cell Jacobian assembly proceeds during data transfer;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is invoked only prior to boundary-cell flux evaluation. The effectiveness of computation–communication overlap is assessed through the overlap efficiency:</w:t>
      </w:r>
    </w:p>
    <w:p w14:paraId="7E612F87">
      <w:pPr>
        <w:pStyle w:val="3"/>
        <w:spacing w:before="0" w:after="120"/>
        <w:ind w:firstLine="480" w:firstLineChars="200"/>
        <w:jc w:val="both"/>
        <w:rPr>
          <w:color w:val="auto"/>
        </w:rPr>
      </w:pPr>
      <m:oMathPara>
        <m:oMathParaPr>
          <m:jc m:val="center"/>
        </m:oMathParaPr>
        <m:oMath>
          <m:r>
            <m:rPr/>
            <w:rPr>
              <w:color w:val="auto"/>
            </w:rPr>
            <m:t>η=</m:t>
          </m:r>
          <m:f>
            <m:fPr>
              <m:ctrlPr>
                <w:rPr>
                  <w:color w:val="auto"/>
                </w:rPr>
              </m:ctrlPr>
            </m:fPr>
            <m:num>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r>
                <m:rPr/>
                <w:rPr>
                  <w:color w:val="auto"/>
                </w:rPr>
                <m:t>−</m:t>
              </m:r>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ctrlPr>
                <w:rPr>
                  <w:color w:val="auto"/>
                </w:rPr>
              </m:ctrlPr>
            </m:num>
            <m:den>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ctrlPr>
                <w:rPr>
                  <w:color w:val="auto"/>
                </w:rPr>
              </m:ctrlPr>
            </m:den>
          </m:f>
          <m:r>
            <m:rPr/>
            <w:rPr>
              <w:color w:val="auto"/>
            </w:rPr>
            <m:t>=1−</m:t>
          </m:r>
          <m:f>
            <m:fPr>
              <m:ctrlPr>
                <w:rPr>
                  <w:color w:val="auto"/>
                </w:rPr>
              </m:ctrlPr>
            </m:fPr>
            <m:num>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ctrlPr>
                <w:rPr>
                  <w:color w:val="auto"/>
                </w:rPr>
              </m:ctrlPr>
            </m:num>
            <m:den>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ctrlPr>
                <w:rPr>
                  <w:color w:val="auto"/>
                </w:rPr>
              </m:ctrlPr>
            </m:den>
          </m:f>
          <m:r>
            <m:rPr/>
            <w:rPr>
              <w:color w:val="auto"/>
            </w:rPr>
            <m:t>  (15)</m:t>
          </m:r>
        </m:oMath>
      </m:oMathPara>
    </w:p>
    <w:p w14:paraId="561CB6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where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comm</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total wall-clock time from </w:t>
      </w:r>
      <w:r>
        <w:rPr>
          <w:rStyle w:val="35"/>
          <w:rFonts w:ascii="Times New Roman" w:hAnsi="Times New Roman" w:cs="Times New Roman"/>
          <w:color w:val="auto"/>
          <w:sz w:val="24"/>
          <w:szCs w:val="24"/>
        </w:rPr>
        <w:t>MPI_Startall</w:t>
      </w:r>
      <w:r>
        <w:rPr>
          <w:rFonts w:ascii="Times New Roman" w:hAnsi="Times New Roman" w:cs="Times New Roman"/>
          <w:color w:val="auto"/>
          <w:sz w:val="24"/>
          <w:szCs w:val="24"/>
        </w:rPr>
        <w:t xml:space="preserve"> to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completion,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wait</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residual time spent inside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after all interior-cell computations have completed. An </w:t>
      </w:r>
      <m:oMath>
        <m:r>
          <m:rPr/>
          <w:rPr>
            <w:rFonts w:ascii="Times New Roman" w:hAnsi="Times New Roman" w:cs="Times New Roman"/>
            <w:color w:val="auto"/>
            <w:sz w:val="24"/>
            <w:szCs w:val="24"/>
          </w:rPr>
          <m:t>η</m:t>
        </m:r>
      </m:oMath>
      <w:r>
        <w:rPr>
          <w:rFonts w:ascii="Times New Roman" w:hAnsi="Times New Roman" w:cs="Times New Roman"/>
          <w:color w:val="auto"/>
          <w:sz w:val="24"/>
          <w:szCs w:val="24"/>
        </w:rPr>
        <w:t xml:space="preserve"> value of 1.0 corresponds to perfect overlap (communication entirely masked by computation); </w:t>
      </w:r>
      <m:oMath>
        <m:r>
          <m:rPr/>
          <w:rPr>
            <w:rFonts w:ascii="Times New Roman" w:hAnsi="Times New Roman" w:cs="Times New Roman"/>
            <w:color w:val="auto"/>
            <w:sz w:val="24"/>
            <w:szCs w:val="24"/>
          </w:rPr>
          <m:t>η=0</m:t>
        </m:r>
      </m:oMath>
      <w:r>
        <w:rPr>
          <w:rFonts w:ascii="Times New Roman" w:hAnsi="Times New Roman" w:cs="Times New Roman"/>
          <w:color w:val="auto"/>
          <w:sz w:val="24"/>
          <w:szCs w:val="24"/>
        </w:rPr>
        <w:t xml:space="preserve"> corresponds to no overlap (all communication exposed on the critical path). For the base configuration on 512 ranks, the measured value is </w:t>
      </w:r>
      <m:oMath>
        <m:r>
          <m:rPr/>
          <w:rPr>
            <w:rFonts w:ascii="Times New Roman" w:hAnsi="Times New Roman" w:cs="Times New Roman"/>
            <w:color w:val="auto"/>
            <w:sz w:val="24"/>
            <w:szCs w:val="24"/>
          </w:rPr>
          <m:t>η=0.73</m:t>
        </m:r>
      </m:oMath>
      <w:r>
        <w:rPr>
          <w:rFonts w:ascii="Times New Roman" w:hAnsi="Times New Roman" w:cs="Times New Roman"/>
          <w:color w:val="auto"/>
          <w:sz w:val="24"/>
          <w:szCs w:val="24"/>
        </w:rPr>
        <w:t>, indicating that 73% of communication latency is masked by concurrent interior-cell work. Since CPR–SA-AMG substantially reduces the global Krylov iteration count, a larger fraction of local work is available to mask communication latency.</w:t>
      </w:r>
    </w:p>
    <w:p w14:paraId="43237A6F">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5: Solver and parallel configuration parameters.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2"/>
        <w:gridCol w:w="5364"/>
      </w:tblGrid>
      <w:tr w14:paraId="76A97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1D576E6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5364" w:type="dxa"/>
            <w:tcBorders>
              <w:bottom w:val="single" w:color="auto" w:sz="0" w:space="0"/>
            </w:tcBorders>
            <w:vAlign w:val="center"/>
          </w:tcPr>
          <w:p w14:paraId="2DCC728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Value</w:t>
            </w:r>
          </w:p>
        </w:tc>
      </w:tr>
      <w:tr w14:paraId="1231B5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934539B">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Newton tolerance (nonlinear residual </w:t>
            </w:r>
            <m:oMath>
              <m:sSub>
                <m:sSubPr>
                  <m:ctrlPr>
                    <w:rPr>
                      <w:rFonts w:ascii="Times New Roman" w:hAnsi="Times New Roman" w:eastAsia="Cambria"/>
                      <w:color w:val="auto"/>
                      <w:sz w:val="20"/>
                    </w:rPr>
                  </m:ctrlPr>
                </m:sSubPr>
                <m:e>
                  <m:r>
                    <m:rPr/>
                    <w:rPr>
                      <w:rFonts w:ascii="Times New Roman" w:hAnsi="Times New Roman" w:eastAsia="Cambria"/>
                      <w:color w:val="auto"/>
                      <w:sz w:val="20"/>
                    </w:rPr>
                    <m:t>ℓ</m:t>
                  </m:r>
                  <m:ctrlPr>
                    <w:rPr>
                      <w:rFonts w:ascii="Times New Roman" w:hAnsi="Times New Roman" w:eastAsia="Cambria"/>
                      <w:color w:val="auto"/>
                      <w:sz w:val="20"/>
                    </w:rPr>
                  </m:ctrlPr>
                </m:e>
                <m:sub>
                  <m:r>
                    <m:rPr/>
                    <w:rPr>
                      <w:rFonts w:ascii="Times New Roman" w:hAnsi="Times New Roman" w:eastAsia="Cambria"/>
                      <w:color w:val="auto"/>
                      <w:sz w:val="20"/>
                    </w:rPr>
                    <m:t>2</m:t>
                  </m:r>
                  <m:ctrlPr>
                    <w:rPr>
                      <w:rFonts w:ascii="Times New Roman" w:hAnsi="Times New Roman" w:eastAsia="Cambria"/>
                      <w:color w:val="auto"/>
                      <w:sz w:val="20"/>
                    </w:rPr>
                  </m:ctrlPr>
                </m:sub>
              </m:sSub>
            </m:oMath>
            <w:r>
              <w:rPr>
                <w:rFonts w:ascii="Times New Roman" w:hAnsi="Times New Roman" w:eastAsia="Cambria" w:cs="Times New Roman"/>
                <w:color w:val="auto"/>
                <w:sz w:val="20"/>
                <w:szCs w:val="20"/>
              </w:rPr>
              <w:t xml:space="preserve"> norm)</w:t>
            </w:r>
          </w:p>
        </w:tc>
        <w:tc>
          <w:tcPr>
            <w:tcW w:w="5364" w:type="dxa"/>
            <w:vAlign w:val="center"/>
          </w:tcPr>
          <w:p w14:paraId="08062A35">
            <w:pPr>
              <w:pStyle w:val="24"/>
              <w:snapToGrid w:val="0"/>
              <w:spacing w:before="0" w:after="0"/>
              <w:ind w:left="0" w:leftChars="0" w:right="0" w:rightChars="0" w:firstLineChars="0"/>
              <w:jc w:val="left"/>
              <w:rPr>
                <w:rFonts w:ascii="Times New Roman" w:hAnsi="Times New Roman" w:eastAsia="Cambria"/>
                <w:color w:val="auto"/>
                <w:sz w:val="20"/>
              </w:rPr>
            </w:pPr>
            <m:oMathPara>
              <m:oMath>
                <m:r>
                  <m:rPr/>
                  <w:rPr>
                    <w:rFonts w:ascii="Times New Roman" w:hAnsi="Times New Roman" w:eastAsia="Cambria"/>
                    <w:color w:val="auto"/>
                    <w:sz w:val="20"/>
                  </w:rPr>
                  <m:t>1×</m:t>
                </m:r>
                <m:sSup>
                  <m:sSupPr>
                    <m:ctrlPr>
                      <w:rPr>
                        <w:rFonts w:ascii="Times New Roman" w:hAnsi="Times New Roman" w:eastAsia="Cambria"/>
                        <w:color w:val="auto"/>
                        <w:sz w:val="20"/>
                      </w:rPr>
                    </m:ctrlPr>
                  </m:sSupPr>
                  <m:e>
                    <m:r>
                      <m:rPr/>
                      <w:rPr>
                        <w:rFonts w:ascii="Times New Roman" w:hAnsi="Times New Roman" w:eastAsia="Cambria"/>
                        <w:color w:val="auto"/>
                        <w:sz w:val="20"/>
                      </w:rPr>
                      <m:t>10</m:t>
                    </m:r>
                    <m:ctrlPr>
                      <w:rPr>
                        <w:rFonts w:ascii="Times New Roman" w:hAnsi="Times New Roman" w:eastAsia="Cambria"/>
                        <w:color w:val="auto"/>
                        <w:sz w:val="20"/>
                      </w:rPr>
                    </m:ctrlPr>
                  </m:e>
                  <m:sup>
                    <m:r>
                      <m:rPr/>
                      <w:rPr>
                        <w:rFonts w:ascii="Times New Roman" w:hAnsi="Times New Roman" w:eastAsia="Cambria"/>
                        <w:color w:val="auto"/>
                        <w:sz w:val="20"/>
                      </w:rPr>
                      <m:t>−4</m:t>
                    </m:r>
                    <m:ctrlPr>
                      <w:rPr>
                        <w:rFonts w:ascii="Times New Roman" w:hAnsi="Times New Roman" w:eastAsia="Cambria"/>
                        <w:color w:val="auto"/>
                        <w:sz w:val="20"/>
                      </w:rPr>
                    </m:ctrlPr>
                  </m:sup>
                </m:sSup>
              </m:oMath>
            </m:oMathPara>
          </w:p>
        </w:tc>
      </w:tr>
      <w:tr w14:paraId="7F07825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C115914">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GMRES restart dimension</w:t>
            </w:r>
          </w:p>
        </w:tc>
        <w:tc>
          <w:tcPr>
            <w:tcW w:w="5364" w:type="dxa"/>
            <w:vAlign w:val="center"/>
          </w:tcPr>
          <w:p w14:paraId="21989BC5">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30</w:t>
            </w:r>
          </w:p>
        </w:tc>
      </w:tr>
      <w:tr w14:paraId="4DAD77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A116A1D">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GMRES convergence tolerance (relative residual)</w:t>
            </w:r>
          </w:p>
        </w:tc>
        <w:tc>
          <w:tcPr>
            <w:tcW w:w="5364" w:type="dxa"/>
            <w:vAlign w:val="center"/>
          </w:tcPr>
          <w:p w14:paraId="1C570D5C">
            <w:pPr>
              <w:pStyle w:val="24"/>
              <w:snapToGrid w:val="0"/>
              <w:spacing w:before="0" w:after="0"/>
              <w:ind w:left="0" w:leftChars="0" w:right="0" w:rightChars="0" w:firstLineChars="0"/>
              <w:jc w:val="left"/>
              <w:rPr>
                <w:rFonts w:ascii="Times New Roman" w:hAnsi="Times New Roman" w:eastAsia="Cambria"/>
                <w:color w:val="auto"/>
                <w:sz w:val="20"/>
              </w:rPr>
            </w:pPr>
            <m:oMathPara>
              <m:oMath>
                <m:r>
                  <m:rPr/>
                  <w:rPr>
                    <w:rFonts w:ascii="Times New Roman" w:hAnsi="Times New Roman" w:eastAsia="Cambria"/>
                    <w:color w:val="auto"/>
                    <w:sz w:val="20"/>
                  </w:rPr>
                  <m:t>1×</m:t>
                </m:r>
                <m:sSup>
                  <m:sSupPr>
                    <m:ctrlPr>
                      <w:rPr>
                        <w:rFonts w:ascii="Times New Roman" w:hAnsi="Times New Roman" w:eastAsia="Cambria"/>
                        <w:color w:val="auto"/>
                        <w:sz w:val="20"/>
                      </w:rPr>
                    </m:ctrlPr>
                  </m:sSupPr>
                  <m:e>
                    <m:r>
                      <m:rPr/>
                      <w:rPr>
                        <w:rFonts w:ascii="Times New Roman" w:hAnsi="Times New Roman" w:eastAsia="Cambria"/>
                        <w:color w:val="auto"/>
                        <w:sz w:val="20"/>
                      </w:rPr>
                      <m:t>10</m:t>
                    </m:r>
                    <m:ctrlPr>
                      <w:rPr>
                        <w:rFonts w:ascii="Times New Roman" w:hAnsi="Times New Roman" w:eastAsia="Cambria"/>
                        <w:color w:val="auto"/>
                        <w:sz w:val="20"/>
                      </w:rPr>
                    </m:ctrlPr>
                  </m:e>
                  <m:sup>
                    <m:r>
                      <m:rPr/>
                      <w:rPr>
                        <w:rFonts w:ascii="Times New Roman" w:hAnsi="Times New Roman" w:eastAsia="Cambria"/>
                        <w:color w:val="auto"/>
                        <w:sz w:val="20"/>
                      </w:rPr>
                      <m:t>−6</m:t>
                    </m:r>
                    <m:ctrlPr>
                      <w:rPr>
                        <w:rFonts w:ascii="Times New Roman" w:hAnsi="Times New Roman" w:eastAsia="Cambria"/>
                        <w:color w:val="auto"/>
                        <w:sz w:val="20"/>
                      </w:rPr>
                    </m:ctrlPr>
                  </m:sup>
                </m:sSup>
              </m:oMath>
            </m:oMathPara>
          </w:p>
        </w:tc>
      </w:tr>
      <w:tr w14:paraId="1575B6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AE62762">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SA-AMG strong-coupling threshold </w:t>
            </w:r>
            <m:oMath>
              <m:sSub>
                <m:sSubPr>
                  <m:ctrlPr>
                    <w:rPr>
                      <w:rFonts w:ascii="Times New Roman" w:hAnsi="Times New Roman" w:eastAsia="Cambria"/>
                      <w:color w:val="auto"/>
                      <w:sz w:val="20"/>
                    </w:rPr>
                  </m:ctrlPr>
                </m:sSubPr>
                <m:e>
                  <m:r>
                    <m:rPr/>
                    <w:rPr>
                      <w:rFonts w:ascii="Times New Roman" w:hAnsi="Times New Roman" w:eastAsia="Cambria"/>
                      <w:color w:val="auto"/>
                      <w:sz w:val="20"/>
                    </w:rPr>
                    <m:t>ε</m:t>
                  </m:r>
                  <m:ctrlPr>
                    <w:rPr>
                      <w:rFonts w:ascii="Times New Roman" w:hAnsi="Times New Roman" w:eastAsia="Cambria"/>
                      <w:color w:val="auto"/>
                      <w:sz w:val="20"/>
                    </w:rPr>
                  </m:ctrlPr>
                </m:e>
                <m:sub>
                  <m:r>
                    <m:rPr>
                      <m:nor/>
                      <m:sty m:val="p"/>
                    </m:rPr>
                    <w:rPr>
                      <w:rFonts w:ascii="Times New Roman" w:hAnsi="Times New Roman" w:eastAsia="Cambria"/>
                      <w:b w:val="0"/>
                      <w:i w:val="0"/>
                      <w:color w:val="auto"/>
                      <w:sz w:val="20"/>
                    </w:rPr>
                    <m:t>str</m:t>
                  </m:r>
                  <m:ctrlPr>
                    <w:rPr>
                      <w:rFonts w:ascii="Times New Roman" w:hAnsi="Times New Roman" w:eastAsia="Cambria"/>
                      <w:color w:val="auto"/>
                      <w:sz w:val="20"/>
                    </w:rPr>
                  </m:ctrlPr>
                </m:sub>
              </m:sSub>
            </m:oMath>
          </w:p>
        </w:tc>
        <w:tc>
          <w:tcPr>
            <w:tcW w:w="5364" w:type="dxa"/>
            <w:vAlign w:val="center"/>
          </w:tcPr>
          <w:p w14:paraId="1F6787E5">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0.25</w:t>
            </w:r>
          </w:p>
        </w:tc>
      </w:tr>
      <w:tr w14:paraId="1AA114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38685D6">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SA-AMG damping parameter </w:t>
            </w:r>
            <m:oMath>
              <m:r>
                <m:rPr/>
                <w:rPr>
                  <w:rFonts w:ascii="Times New Roman" w:hAnsi="Times New Roman" w:eastAsia="Cambria"/>
                  <w:color w:val="auto"/>
                  <w:sz w:val="20"/>
                </w:rPr>
                <m:t>ω</m:t>
              </m:r>
            </m:oMath>
          </w:p>
        </w:tc>
        <w:tc>
          <w:tcPr>
            <w:tcW w:w="5364" w:type="dxa"/>
            <w:vAlign w:val="center"/>
          </w:tcPr>
          <w:p w14:paraId="203C1D11">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0.7</w:t>
            </w:r>
          </w:p>
        </w:tc>
      </w:tr>
      <w:tr w14:paraId="6673F5C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E8DA2F7">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SA-AMG max coarse-grid size</w:t>
            </w:r>
          </w:p>
        </w:tc>
        <w:tc>
          <w:tcPr>
            <w:tcW w:w="5364" w:type="dxa"/>
            <w:vAlign w:val="center"/>
          </w:tcPr>
          <w:p w14:paraId="0ABBB1F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500</w:t>
            </w:r>
          </w:p>
        </w:tc>
      </w:tr>
      <w:tr w14:paraId="2FA158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7A1EDA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Block-ILU fill level</w:t>
            </w:r>
          </w:p>
        </w:tc>
        <w:tc>
          <w:tcPr>
            <w:tcW w:w="5364" w:type="dxa"/>
            <w:vAlign w:val="center"/>
          </w:tcPr>
          <w:p w14:paraId="3EF82F7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w:t>
            </w:r>
          </w:p>
        </w:tc>
      </w:tr>
      <w:tr w14:paraId="5BC793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B21D499">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ParMETIS edge weight function</w:t>
            </w:r>
          </w:p>
        </w:tc>
        <w:tc>
          <w:tcPr>
            <w:tcW w:w="5364" w:type="dxa"/>
            <w:vAlign w:val="center"/>
          </w:tcPr>
          <w:p w14:paraId="0A7BF77D">
            <w:pPr>
              <w:pStyle w:val="24"/>
              <w:snapToGrid w:val="0"/>
              <w:spacing w:before="0" w:after="0"/>
              <w:ind w:left="0" w:leftChars="0" w:right="0" w:rightChars="0" w:firstLineChars="0"/>
              <w:jc w:val="left"/>
              <w:rPr>
                <w:rFonts w:ascii="Times New Roman" w:hAnsi="Times New Roman" w:eastAsia="Cambria"/>
                <w:color w:val="auto"/>
                <w:sz w:val="20"/>
              </w:rPr>
            </w:pPr>
            <m:oMathPara>
              <m:oMath>
                <m:sSub>
                  <m:sSubPr>
                    <m:ctrlPr>
                      <w:rPr>
                        <w:rFonts w:ascii="Times New Roman" w:hAnsi="Times New Roman" w:eastAsia="Cambria"/>
                        <w:color w:val="auto"/>
                        <w:sz w:val="20"/>
                      </w:rPr>
                    </m:ctrlPr>
                  </m:sSubPr>
                  <m:e>
                    <m:r>
                      <m:rPr/>
                      <w:rPr>
                        <w:rFonts w:ascii="Times New Roman" w:hAnsi="Times New Roman" w:eastAsia="Cambria"/>
                        <w:color w:val="auto"/>
                        <w:sz w:val="20"/>
                      </w:rPr>
                      <m:t>T</m:t>
                    </m:r>
                    <m:ctrlPr>
                      <w:rPr>
                        <w:rFonts w:ascii="Times New Roman" w:hAnsi="Times New Roman" w:eastAsia="Cambria"/>
                        <w:color w:val="auto"/>
                        <w:sz w:val="20"/>
                      </w:rPr>
                    </m:ctrlPr>
                  </m:e>
                  <m:sub>
                    <m:r>
                      <m:rPr/>
                      <w:rPr>
                        <w:rFonts w:ascii="Times New Roman" w:hAnsi="Times New Roman" w:eastAsia="Cambria"/>
                        <w:color w:val="auto"/>
                        <w:sz w:val="20"/>
                      </w:rPr>
                      <m:t>o,ij</m:t>
                    </m:r>
                    <m:ctrlPr>
                      <w:rPr>
                        <w:rFonts w:ascii="Times New Roman" w:hAnsi="Times New Roman" w:eastAsia="Cambria"/>
                        <w:color w:val="auto"/>
                        <w:sz w:val="20"/>
                      </w:rPr>
                    </m:ctrlPr>
                  </m:sub>
                </m:sSub>
                <m:r>
                  <m:rPr/>
                  <w:rPr>
                    <w:rFonts w:ascii="Times New Roman" w:hAnsi="Times New Roman" w:eastAsia="Cambria"/>
                    <w:color w:val="auto"/>
                    <w:sz w:val="20"/>
                  </w:rPr>
                  <m:t>⋅(1+Δ</m:t>
                </m:r>
                <m:sSub>
                  <m:sSubPr>
                    <m:ctrlPr>
                      <w:rPr>
                        <w:rFonts w:ascii="Times New Roman" w:hAnsi="Times New Roman" w:eastAsia="Cambria"/>
                        <w:color w:val="auto"/>
                        <w:sz w:val="20"/>
                      </w:rPr>
                    </m:ctrlPr>
                  </m:sSubPr>
                  <m:e>
                    <m:r>
                      <m:rPr/>
                      <w:rPr>
                        <w:rFonts w:ascii="Times New Roman" w:hAnsi="Times New Roman" w:eastAsia="Cambria"/>
                        <w:color w:val="auto"/>
                        <w:sz w:val="20"/>
                      </w:rPr>
                      <m:t>S</m:t>
                    </m:r>
                    <m:ctrlPr>
                      <w:rPr>
                        <w:rFonts w:ascii="Times New Roman" w:hAnsi="Times New Roman" w:eastAsia="Cambria"/>
                        <w:color w:val="auto"/>
                        <w:sz w:val="20"/>
                      </w:rPr>
                    </m:ctrlPr>
                  </m:e>
                  <m:sub>
                    <m:r>
                      <m:rPr/>
                      <w:rPr>
                        <w:rFonts w:ascii="Times New Roman" w:hAnsi="Times New Roman" w:eastAsia="Cambria"/>
                        <w:color w:val="auto"/>
                        <w:sz w:val="20"/>
                      </w:rPr>
                      <m:t>o,ij</m:t>
                    </m:r>
                    <m:ctrlPr>
                      <w:rPr>
                        <w:rFonts w:ascii="Times New Roman" w:hAnsi="Times New Roman" w:eastAsia="Cambria"/>
                        <w:color w:val="auto"/>
                        <w:sz w:val="20"/>
                      </w:rPr>
                    </m:ctrlPr>
                  </m:sub>
                </m:sSub>
                <m:r>
                  <m:rPr/>
                  <w:rPr>
                    <w:rFonts w:ascii="Times New Roman" w:hAnsi="Times New Roman" w:eastAsia="Cambria"/>
                    <w:color w:val="auto"/>
                    <w:sz w:val="20"/>
                  </w:rPr>
                  <m:t>)</m:t>
                </m:r>
              </m:oMath>
            </m:oMathPara>
          </w:p>
        </w:tc>
      </w:tr>
      <w:tr w14:paraId="1852E7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E4E45E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MPI protocol</w:t>
            </w:r>
          </w:p>
        </w:tc>
        <w:tc>
          <w:tcPr>
            <w:tcW w:w="5364" w:type="dxa"/>
            <w:vAlign w:val="center"/>
          </w:tcPr>
          <w:p w14:paraId="3D2A4B91">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Persistent non-blocking (</w:t>
            </w:r>
            <w:r>
              <w:rPr>
                <w:rStyle w:val="35"/>
                <w:rFonts w:ascii="Times New Roman" w:hAnsi="Times New Roman" w:eastAsia="Cambria" w:cs="Times New Roman"/>
                <w:color w:val="auto"/>
                <w:sz w:val="20"/>
                <w:szCs w:val="20"/>
              </w:rPr>
              <w:t>MPI_Send_init</w:t>
            </w:r>
            <w:r>
              <w:rPr>
                <w:rFonts w:ascii="Times New Roman" w:hAnsi="Times New Roman" w:eastAsia="Cambria" w:cs="Times New Roman"/>
                <w:color w:val="auto"/>
                <w:sz w:val="20"/>
                <w:szCs w:val="20"/>
              </w:rPr>
              <w:t>/</w:t>
            </w:r>
            <w:r>
              <w:rPr>
                <w:rStyle w:val="35"/>
                <w:rFonts w:ascii="Times New Roman" w:hAnsi="Times New Roman" w:eastAsia="Cambria" w:cs="Times New Roman"/>
                <w:color w:val="auto"/>
                <w:sz w:val="20"/>
                <w:szCs w:val="20"/>
              </w:rPr>
              <w:t>MPI_Recv_init</w:t>
            </w:r>
            <w:r>
              <w:rPr>
                <w:rFonts w:ascii="Times New Roman" w:hAnsi="Times New Roman" w:eastAsia="Cambria" w:cs="Times New Roman"/>
                <w:color w:val="auto"/>
                <w:sz w:val="20"/>
                <w:szCs w:val="20"/>
              </w:rPr>
              <w:t>)</w:t>
            </w:r>
          </w:p>
        </w:tc>
      </w:tr>
      <w:tr w14:paraId="590750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492" w:type="dxa"/>
            <w:vAlign w:val="center"/>
          </w:tcPr>
          <w:p w14:paraId="1C8BB34F">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AMG hierarchy rebuild frequency</w:t>
            </w:r>
          </w:p>
        </w:tc>
        <w:tc>
          <w:tcPr>
            <w:tcW w:w="5364" w:type="dxa"/>
            <w:vAlign w:val="center"/>
          </w:tcPr>
          <w:p w14:paraId="72FD81B9">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Every 5 Newton iterations or on convergence degradation &gt; 20%</w:t>
            </w:r>
          </w:p>
        </w:tc>
      </w:tr>
    </w:tbl>
    <w:p w14:paraId="62785EC3">
      <w:pPr>
        <w:pStyle w:val="2"/>
        <w:spacing w:before="120" w:after="60" w:line="360" w:lineRule="auto"/>
        <w:jc w:val="left"/>
        <w:rPr>
          <w:rFonts w:ascii="Times New Roman" w:hAnsi="Times New Roman" w:cs="Times New Roman"/>
          <w:color w:val="auto"/>
          <w:sz w:val="28"/>
          <w:szCs w:val="28"/>
        </w:rPr>
      </w:pPr>
      <w:bookmarkStart w:id="12" w:name="results"/>
      <w:r>
        <w:rPr>
          <w:rFonts w:ascii="Times New Roman" w:hAnsi="Times New Roman" w:cs="Times New Roman"/>
          <w:b/>
          <w:bCs/>
          <w:color w:val="auto"/>
          <w:sz w:val="28"/>
          <w:szCs w:val="28"/>
        </w:rPr>
        <w:t>3 Results</w:t>
      </w:r>
      <w:bookmarkEnd w:id="12"/>
    </w:p>
    <w:p w14:paraId="77DDE0A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All simulations reported in this section were conducted on a computing cluster equipped with dual Intel Xeon Platinum 8358 processors (32 cores per socket, 64 cores per node, 2.6 GHz base frequency) and HDR InfiniBand interconnects (200 Gb/s). Each node is configured with 512 GB of DDR4-3200 memory. The code is compiled with Intel oneAPI 2023.1 and linked against Intel MPI 2021.8 and PETSc 3.19 (Mills et al., 2025). MPI process placement follows a compact-per-node policy with contiguous rank numbering within each NUMA domain (2 NUMA domains per socket, 4 per node); inter-node communication traverses a single InfiniBand hop within the HDR fat-tree fabric (1:1 oversubscription at the leaf level). A code profiling pass using Intel VTune Profiler 2023.1 on the 64-core baseline configuration independently measured the serial code fraction (i.e., the fraction of execution time spent in non-MPI, non-OpenMP code regions that do not benefit from parallelization) as f_VTune = 0.0018 +/- 0.0003 (95% CI, averaged over 10 Newton steps). This independently measured value is consistent with the Amdahl-fit serial fraction f = 0.002 +/- 0.0004 reported in Section 3.5, confirming that the fitted value is not an artifact of the curve-fitting procedure. The reservoir configuration is a five-well shale-oil pad featuring 100 hydraulic-fracture stages with 20 stages per well. Key reservoir and completion parameters are listed in Table 6.</w:t>
      </w:r>
    </w:p>
    <w:p w14:paraId="6DFAEE2C">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6: Reservoir and completion parameters for the base case.</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04"/>
        <w:gridCol w:w="1489"/>
        <w:gridCol w:w="1458"/>
      </w:tblGrid>
      <w:tr w14:paraId="35C0D8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7EBBC83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0" w:type="auto"/>
            <w:tcBorders>
              <w:bottom w:val="single" w:color="auto" w:sz="0" w:space="0"/>
            </w:tcBorders>
            <w:vAlign w:val="center"/>
          </w:tcPr>
          <w:p w14:paraId="6461700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Value</w:t>
            </w:r>
          </w:p>
        </w:tc>
        <w:tc>
          <w:tcPr>
            <w:tcW w:w="1458" w:type="dxa"/>
            <w:tcBorders>
              <w:bottom w:val="single" w:color="auto" w:sz="0" w:space="0"/>
            </w:tcBorders>
            <w:vAlign w:val="center"/>
          </w:tcPr>
          <w:p w14:paraId="3F6F585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w:t>
            </w:r>
          </w:p>
        </w:tc>
      </w:tr>
      <w:tr w14:paraId="2F1EE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59C184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0" w:type="auto"/>
            <w:vAlign w:val="center"/>
          </w:tcPr>
          <w:p w14:paraId="7FF1A8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w:t>
            </w:r>
          </w:p>
        </w:tc>
        <w:tc>
          <w:tcPr>
            <w:tcW w:w="1458" w:type="dxa"/>
            <w:vAlign w:val="center"/>
          </w:tcPr>
          <w:p w14:paraId="60BB496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08E26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B66B68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porosity</w:t>
            </w:r>
          </w:p>
        </w:tc>
        <w:tc>
          <w:tcPr>
            <w:tcW w:w="0" w:type="auto"/>
            <w:vAlign w:val="center"/>
          </w:tcPr>
          <w:p w14:paraId="2D10D8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0.07</w:t>
            </w:r>
          </w:p>
        </w:tc>
        <w:tc>
          <w:tcPr>
            <w:tcW w:w="1458" w:type="dxa"/>
            <w:vAlign w:val="center"/>
          </w:tcPr>
          <w:p w14:paraId="478FBD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9D716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FDB9F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half-length</w:t>
            </w:r>
          </w:p>
        </w:tc>
        <w:tc>
          <w:tcPr>
            <w:tcW w:w="0" w:type="auto"/>
            <w:vAlign w:val="center"/>
          </w:tcPr>
          <w:p w14:paraId="59086A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150</w:t>
            </w:r>
          </w:p>
        </w:tc>
        <w:tc>
          <w:tcPr>
            <w:tcW w:w="1458" w:type="dxa"/>
            <w:vAlign w:val="center"/>
          </w:tcPr>
          <w:p w14:paraId="77C6888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0B7346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7B4345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conductivity</w:t>
            </w:r>
          </w:p>
        </w:tc>
        <w:tc>
          <w:tcPr>
            <w:tcW w:w="0" w:type="auto"/>
            <w:vAlign w:val="center"/>
          </w:tcPr>
          <w:p w14:paraId="0E9EAE7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1458" w:type="dxa"/>
            <w:vAlign w:val="center"/>
          </w:tcPr>
          <w:p w14:paraId="53B5A1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mD·m</w:t>
            </w:r>
          </w:p>
        </w:tc>
      </w:tr>
      <w:tr w14:paraId="342C6F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8A12A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aperture (hydraulic)</w:t>
            </w:r>
          </w:p>
        </w:tc>
        <w:tc>
          <w:tcPr>
            <w:tcW w:w="0" w:type="auto"/>
            <w:vAlign w:val="center"/>
          </w:tcPr>
          <w:p w14:paraId="1E2D90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w:t>
            </w:r>
          </w:p>
        </w:tc>
        <w:tc>
          <w:tcPr>
            <w:tcW w:w="1458" w:type="dxa"/>
            <w:vAlign w:val="center"/>
          </w:tcPr>
          <w:p w14:paraId="29FEB8D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mm</w:t>
            </w:r>
          </w:p>
        </w:tc>
      </w:tr>
      <w:tr w14:paraId="0E7F16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8F6F4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permeability (hydraulic, internal)</w:t>
            </w:r>
          </w:p>
        </w:tc>
        <w:tc>
          <w:tcPr>
            <w:tcW w:w="0" w:type="auto"/>
            <w:vAlign w:val="center"/>
          </w:tcPr>
          <w:p w14:paraId="709F6BD5">
            <w:pPr>
              <w:pStyle w:val="24"/>
              <w:snapToGrid w:val="0"/>
              <w:spacing w:before="0" w:after="0"/>
              <w:ind w:left="0" w:leftChars="0" w:right="0" w:rightChars="0" w:firstLineChars="0"/>
              <w:jc w:val="left"/>
              <w:rPr>
                <w:color w:val="auto"/>
              </w:rPr>
            </w:pPr>
            <m:oMathPara>
              <m:oMath>
                <m:r>
                  <m:rPr/>
                  <w:rPr>
                    <w:color w:val="auto"/>
                  </w:rPr>
                  <m:t>1.67×</m:t>
                </m:r>
                <m:sSup>
                  <m:sSupPr>
                    <m:ctrlPr>
                      <w:rPr>
                        <w:color w:val="auto"/>
                      </w:rPr>
                    </m:ctrlPr>
                  </m:sSupPr>
                  <m:e>
                    <m:r>
                      <m:rPr/>
                      <w:rPr>
                        <w:color w:val="auto"/>
                      </w:rPr>
                      <m:t>10</m:t>
                    </m:r>
                    <m:ctrlPr>
                      <w:rPr>
                        <w:color w:val="auto"/>
                      </w:rPr>
                    </m:ctrlPr>
                  </m:e>
                  <m:sup>
                    <m:r>
                      <m:rPr/>
                      <w:rPr>
                        <w:color w:val="auto"/>
                      </w:rPr>
                      <m:t>5</m:t>
                    </m:r>
                    <m:ctrlPr>
                      <w:rPr>
                        <w:color w:val="auto"/>
                      </w:rPr>
                    </m:ctrlPr>
                  </m:sup>
                </m:sSup>
              </m:oMath>
            </m:oMathPara>
          </w:p>
        </w:tc>
        <w:tc>
          <w:tcPr>
            <w:tcW w:w="1458" w:type="dxa"/>
            <w:vAlign w:val="center"/>
          </w:tcPr>
          <w:p w14:paraId="3CCFFD5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DCD14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17E63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reservoir pressure</w:t>
            </w:r>
          </w:p>
        </w:tc>
        <w:tc>
          <w:tcPr>
            <w:tcW w:w="0" w:type="auto"/>
            <w:vAlign w:val="center"/>
          </w:tcPr>
          <w:p w14:paraId="20179E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58" w:type="dxa"/>
            <w:vAlign w:val="center"/>
          </w:tcPr>
          <w:p w14:paraId="5A36EE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513551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75031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Bubble-point pressure</w:t>
            </w:r>
          </w:p>
        </w:tc>
        <w:tc>
          <w:tcPr>
            <w:tcW w:w="0" w:type="auto"/>
            <w:vAlign w:val="center"/>
          </w:tcPr>
          <w:p w14:paraId="4283E1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w:t>
            </w:r>
          </w:p>
        </w:tc>
        <w:tc>
          <w:tcPr>
            <w:tcW w:w="1458" w:type="dxa"/>
            <w:vAlign w:val="center"/>
          </w:tcPr>
          <w:p w14:paraId="65E275E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7D6143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0D17FF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oil saturation</w:t>
            </w:r>
          </w:p>
        </w:tc>
        <w:tc>
          <w:tcPr>
            <w:tcW w:w="0" w:type="auto"/>
            <w:vAlign w:val="center"/>
          </w:tcPr>
          <w:p w14:paraId="0169F0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0.65</w:t>
            </w:r>
          </w:p>
        </w:tc>
        <w:tc>
          <w:tcPr>
            <w:tcW w:w="1458" w:type="dxa"/>
            <w:vAlign w:val="center"/>
          </w:tcPr>
          <w:p w14:paraId="1812CC1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767F34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C97E3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water saturation</w:t>
            </w:r>
          </w:p>
        </w:tc>
        <w:tc>
          <w:tcPr>
            <w:tcW w:w="0" w:type="auto"/>
            <w:vAlign w:val="center"/>
          </w:tcPr>
          <w:p w14:paraId="1ECFBF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458" w:type="dxa"/>
            <w:vAlign w:val="center"/>
          </w:tcPr>
          <w:p w14:paraId="1CAA358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4C12F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678D0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 spacing</w:t>
            </w:r>
          </w:p>
        </w:tc>
        <w:tc>
          <w:tcPr>
            <w:tcW w:w="0" w:type="auto"/>
            <w:vAlign w:val="center"/>
          </w:tcPr>
          <w:p w14:paraId="537908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60</w:t>
            </w:r>
          </w:p>
        </w:tc>
        <w:tc>
          <w:tcPr>
            <w:tcW w:w="1458" w:type="dxa"/>
            <w:vAlign w:val="center"/>
          </w:tcPr>
          <w:p w14:paraId="3F21B5E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1131428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B762A4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Well count</w:t>
            </w:r>
          </w:p>
        </w:tc>
        <w:tc>
          <w:tcPr>
            <w:tcW w:w="0" w:type="auto"/>
            <w:vAlign w:val="center"/>
          </w:tcPr>
          <w:p w14:paraId="378ABCD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1458" w:type="dxa"/>
            <w:vAlign w:val="center"/>
          </w:tcPr>
          <w:p w14:paraId="7C393E5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CD7C3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9DBE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Stages per well</w:t>
            </w:r>
          </w:p>
        </w:tc>
        <w:tc>
          <w:tcPr>
            <w:tcW w:w="0" w:type="auto"/>
            <w:vAlign w:val="center"/>
          </w:tcPr>
          <w:p w14:paraId="126256C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1458" w:type="dxa"/>
            <w:vAlign w:val="center"/>
          </w:tcPr>
          <w:p w14:paraId="541B25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D1CD8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AFD05C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Simulation period</w:t>
            </w:r>
          </w:p>
        </w:tc>
        <w:tc>
          <w:tcPr>
            <w:tcW w:w="0" w:type="auto"/>
            <w:vAlign w:val="center"/>
          </w:tcPr>
          <w:p w14:paraId="4931D2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1458" w:type="dxa"/>
            <w:vAlign w:val="center"/>
          </w:tcPr>
          <w:p w14:paraId="1BF581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years</w:t>
            </w:r>
          </w:p>
        </w:tc>
      </w:tr>
      <w:tr w14:paraId="68501A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D4EDE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0" w:type="auto"/>
            <w:vAlign w:val="center"/>
          </w:tcPr>
          <w:p w14:paraId="22262C3F">
            <w:pPr>
              <w:pStyle w:val="24"/>
              <w:snapToGrid w:val="0"/>
              <w:spacing w:before="0" w:after="0"/>
              <w:ind w:left="0" w:leftChars="0" w:right="0" w:rightChars="0" w:firstLineChars="0"/>
              <w:jc w:val="left"/>
              <w:rPr>
                <w:color w:val="auto"/>
              </w:rPr>
            </w:pPr>
            <m:oMathPara>
              <m:oMath>
                <m:r>
                  <m:rPr/>
                  <w:rPr>
                    <w:color w:val="auto"/>
                  </w:rPr>
                  <m:t>5×</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1458" w:type="dxa"/>
            <w:vAlign w:val="center"/>
          </w:tcPr>
          <w:p w14:paraId="2686D8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22BC9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391C7F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Oil viscosity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0" w:type="auto"/>
            <w:vAlign w:val="center"/>
          </w:tcPr>
          <w:p w14:paraId="51D9E4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458" w:type="dxa"/>
            <w:vAlign w:val="center"/>
          </w:tcPr>
          <w:p w14:paraId="0D06C3B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w:t>
            </w:r>
          </w:p>
        </w:tc>
      </w:tr>
      <w:tr w14:paraId="28F9515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01F51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Oil formation volume factor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0" w:type="auto"/>
            <w:vAlign w:val="center"/>
          </w:tcPr>
          <w:p w14:paraId="4B9414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1.35</w:t>
            </w:r>
          </w:p>
        </w:tc>
        <w:tc>
          <w:tcPr>
            <w:tcW w:w="1458" w:type="dxa"/>
            <w:vAlign w:val="center"/>
          </w:tcPr>
          <w:p w14:paraId="7552EE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m³/sm³</w:t>
            </w:r>
          </w:p>
        </w:tc>
      </w:tr>
      <w:tr w14:paraId="3C299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4" w:type="dxa"/>
            <w:vAlign w:val="center"/>
          </w:tcPr>
          <w:p w14:paraId="69469A8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Solution GOR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1489" w:type="dxa"/>
            <w:vAlign w:val="center"/>
          </w:tcPr>
          <w:p w14:paraId="02B409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120</w:t>
            </w:r>
          </w:p>
        </w:tc>
        <w:tc>
          <w:tcPr>
            <w:tcW w:w="1458" w:type="dxa"/>
            <w:vAlign w:val="center"/>
          </w:tcPr>
          <w:p w14:paraId="6AA5699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bl>
    <w:p w14:paraId="20D957F0">
      <w:pPr>
        <w:pStyle w:val="4"/>
        <w:spacing w:before="120" w:after="60" w:line="360" w:lineRule="auto"/>
        <w:jc w:val="left"/>
        <w:rPr>
          <w:rFonts w:ascii="Times New Roman" w:hAnsi="Times New Roman" w:cs="Times New Roman"/>
          <w:color w:val="auto"/>
          <w:sz w:val="24"/>
          <w:szCs w:val="24"/>
        </w:rPr>
      </w:pPr>
      <w:bookmarkStart w:id="13" w:name="single-phase-analytical-validation"/>
      <w:r>
        <w:rPr>
          <w:rFonts w:ascii="Times New Roman" w:hAnsi="Times New Roman" w:cs="Times New Roman"/>
          <w:b/>
          <w:bCs/>
          <w:color w:val="auto"/>
          <w:sz w:val="24"/>
          <w:szCs w:val="24"/>
        </w:rPr>
        <w:t>3.1 Single-Phase Analytical Validation</w:t>
      </w:r>
      <w:bookmarkEnd w:id="13"/>
    </w:p>
    <w:p w14:paraId="6D44F26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We start with a single-phase validation that strips away multiphase effects and tests the geometric discretization directly. The transient pressure diffusion solution is benchmarked against the analytical Ei-function line-source solution:</w:t>
      </w:r>
    </w:p>
    <w:p w14:paraId="18F3569E">
      <w:pPr>
        <w:pStyle w:val="3"/>
        <w:spacing w:before="0" w:after="120"/>
        <w:ind w:firstLine="480" w:firstLineChars="200"/>
        <w:jc w:val="both"/>
        <w:rPr>
          <w:color w:val="auto"/>
        </w:rPr>
      </w:pPr>
      <m:oMathPara>
        <m:oMathParaPr>
          <m:jc m:val="center"/>
        </m:oMathParaPr>
        <m:oMath>
          <m:r>
            <m:rPr/>
            <w:rPr>
              <w:color w:val="auto"/>
            </w:rPr>
            <m:t>p(r,t)=</m:t>
          </m:r>
          <m:sSub>
            <m:sSubPr>
              <m:ctrlPr>
                <w:rPr>
                  <w:color w:val="auto"/>
                </w:rPr>
              </m:ctrlPr>
            </m:sSubPr>
            <m:e>
              <m:r>
                <m:rPr/>
                <w:rPr>
                  <w:color w:val="auto"/>
                </w:rPr>
                <m:t>p</m:t>
              </m:r>
              <m:ctrlPr>
                <w:rPr>
                  <w:color w:val="auto"/>
                </w:rPr>
              </m:ctrlPr>
            </m:e>
            <m:sub>
              <m:r>
                <m:rPr/>
                <w:rPr>
                  <w:color w:val="auto"/>
                </w:rPr>
                <m:t>i</m:t>
              </m:r>
              <m:ctrlPr>
                <w:rPr>
                  <w:color w:val="auto"/>
                </w:rPr>
              </m:ctrlPr>
            </m:sub>
          </m:sSub>
          <m:r>
            <m:rPr/>
            <w:rPr>
              <w:color w:val="auto"/>
            </w:rPr>
            <m:t>+</m:t>
          </m:r>
          <m:f>
            <m:fPr>
              <m:ctrlPr>
                <w:rPr>
                  <w:color w:val="auto"/>
                </w:rPr>
              </m:ctrlPr>
            </m:fPr>
            <m:num>
              <m:r>
                <m:rPr/>
                <w:rPr>
                  <w:color w:val="auto"/>
                </w:rPr>
                <m:t>qμ</m:t>
              </m:r>
              <m:ctrlPr>
                <w:rPr>
                  <w:color w:val="auto"/>
                </w:rPr>
              </m:ctrlPr>
            </m:num>
            <m:den>
              <m:r>
                <m:rPr/>
                <w:rPr>
                  <w:color w:val="auto"/>
                </w:rPr>
                <m:t>4πKh</m:t>
              </m:r>
              <m:ctrlPr>
                <w:rPr>
                  <w:color w:val="auto"/>
                </w:rPr>
              </m:ctrlPr>
            </m:den>
          </m:f>
          <m:r>
            <m:rPr>
              <m:nor/>
              <m:sty m:val="p"/>
            </m:rPr>
            <w:rPr>
              <w:b w:val="0"/>
              <w:i w:val="0"/>
              <w:color w:val="auto"/>
            </w:rPr>
            <m:t>Ei</m:t>
          </m:r>
          <m:d>
            <m:dPr>
              <m:ctrlPr>
                <w:rPr>
                  <w:color w:val="auto"/>
                </w:rPr>
              </m:ctrlPr>
            </m:dPr>
            <m:e>
              <m:r>
                <m:rPr/>
                <w:rPr>
                  <w:color w:val="auto"/>
                </w:rPr>
                <m:t>−</m:t>
              </m:r>
              <m:f>
                <m:fPr>
                  <m:ctrlPr>
                    <w:rPr>
                      <w:color w:val="auto"/>
                    </w:rPr>
                  </m:ctrlPr>
                </m:fPr>
                <m:num>
                  <m:r>
                    <m:rPr/>
                    <w:rPr>
                      <w:color w:val="auto"/>
                    </w:rPr>
                    <m:t>ϕμ</m:t>
                  </m:r>
                  <m:sSub>
                    <m:sSubPr>
                      <m:ctrlPr>
                        <w:rPr>
                          <w:color w:val="auto"/>
                        </w:rPr>
                      </m:ctrlPr>
                    </m:sSubPr>
                    <m:e>
                      <m:r>
                        <m:rPr/>
                        <w:rPr>
                          <w:color w:val="auto"/>
                        </w:rPr>
                        <m:t>c</m:t>
                      </m:r>
                      <m:ctrlPr>
                        <w:rPr>
                          <w:color w:val="auto"/>
                        </w:rPr>
                      </m:ctrlPr>
                    </m:e>
                    <m:sub>
                      <m:r>
                        <m:rPr/>
                        <w:rPr>
                          <w:color w:val="auto"/>
                        </w:rPr>
                        <m:t>t</m:t>
                      </m:r>
                      <m:ctrlPr>
                        <w:rPr>
                          <w:color w:val="auto"/>
                        </w:rPr>
                      </m:ctrlPr>
                    </m:sub>
                  </m:sSub>
                  <m:sSup>
                    <m:sSupPr>
                      <m:ctrlPr>
                        <w:rPr>
                          <w:color w:val="auto"/>
                        </w:rPr>
                      </m:ctrlPr>
                    </m:sSupPr>
                    <m:e>
                      <m:r>
                        <m:rPr/>
                        <w:rPr>
                          <w:color w:val="auto"/>
                        </w:rPr>
                        <m:t>r</m:t>
                      </m:r>
                      <m:ctrlPr>
                        <w:rPr>
                          <w:color w:val="auto"/>
                        </w:rPr>
                      </m:ctrlPr>
                    </m:e>
                    <m:sup>
                      <m:r>
                        <m:rPr/>
                        <w:rPr>
                          <w:color w:val="auto"/>
                        </w:rPr>
                        <m:t>2</m:t>
                      </m:r>
                      <m:ctrlPr>
                        <w:rPr>
                          <w:color w:val="auto"/>
                        </w:rPr>
                      </m:ctrlPr>
                    </m:sup>
                  </m:sSup>
                  <m:ctrlPr>
                    <w:rPr>
                      <w:color w:val="auto"/>
                    </w:rPr>
                  </m:ctrlPr>
                </m:num>
                <m:den>
                  <m:r>
                    <m:rPr/>
                    <w:rPr>
                      <w:color w:val="auto"/>
                    </w:rPr>
                    <m:t>4Kt</m:t>
                  </m:r>
                  <m:ctrlPr>
                    <w:rPr>
                      <w:color w:val="auto"/>
                    </w:rPr>
                  </m:ctrlPr>
                </m:den>
              </m:f>
              <m:ctrlPr>
                <w:rPr>
                  <w:color w:val="auto"/>
                </w:rPr>
              </m:ctrlPr>
            </m:e>
          </m:d>
          <m:r>
            <m:rPr/>
            <w:rPr>
              <w:color w:val="auto"/>
            </w:rPr>
            <m:t>  (16)</m:t>
          </m:r>
        </m:oMath>
      </m:oMathPara>
    </w:p>
    <w:p w14:paraId="03A8437E">
      <w:pPr>
        <w:pStyle w:val="34"/>
        <w:rPr>
          <w:color w:val="auto"/>
        </w:rPr>
      </w:pPr>
      <w:r>
        <w:rPr>
          <w:color w:val="auto"/>
        </w:rPr>
        <w:drawing>
          <wp:inline distT="0" distB="0" distL="114300" distR="114300">
            <wp:extent cx="5334000" cy="2153285"/>
            <wp:effectExtent l="0" t="0" r="0" b="0"/>
            <wp:doc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pic:cNvPicPr>
                      <a:picLocks noChangeAspect="1" noChangeArrowheads="1"/>
                    </pic:cNvPicPr>
                  </pic:nvPicPr>
                  <pic:blipFill>
                    <a:blip r:embed="rId10"/>
                    <a:stretch>
                      <a:fillRect/>
                    </a:stretch>
                  </pic:blipFill>
                  <pic:spPr>
                    <a:xfrm>
                      <a:off x="0" y="0"/>
                      <a:ext cx="5334000" cy="2153555"/>
                    </a:xfrm>
                    <a:prstGeom prst="rect">
                      <a:avLst/>
                    </a:prstGeom>
                    <a:noFill/>
                    <a:ln w="9525">
                      <a:noFill/>
                    </a:ln>
                  </pic:spPr>
                </pic:pic>
              </a:graphicData>
            </a:graphic>
          </wp:inline>
        </w:drawing>
      </w:r>
    </w:p>
    <w:p w14:paraId="6BD83AD8">
      <w:pPr>
        <w:pStyle w:val="12"/>
        <w:spacing w:before="0" w:after="0" w:line="300" w:lineRule="auto"/>
        <w:jc w:val="center"/>
        <w:rPr>
          <w:rFonts w:ascii="Times New Roman" w:hAnsi="Times New Roman" w:cs="Times New Roman"/>
          <w:color w:val="auto"/>
          <w:sz w:val="20"/>
          <w:szCs w:val="20"/>
        </w:rPr>
      </w:pPr>
      <w:r>
        <w:rPr>
          <w:rFonts w:ascii="Times New Roman" w:hAnsi="Times New Roman"/>
          <w:sz w:val="20"/>
        </w:rPr>
        <w:t>Fig. 6. Analytical validation at t = 100 days. (a) Radial pressure profiles obtained with the PEBI grid, EDFM, Cartesian LGR, and Cartesian uniform mesh. (b) Relative error  as a function of radial distance. The PEBI discretization reproduces the analytical solution to within 0.31% at r = 1 m.</w:t>
      </w:r>
    </w:p>
    <w:p w14:paraId="1D2602A9">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b w:val="0"/>
          <w:sz w:val="20"/>
        </w:rPr>
        <w:t>Table 7: Relative pressure errors  at selected observation radii (t = 100 days).</w:t>
      </w:r>
    </w:p>
    <w:tbl>
      <w:tblPr>
        <w:tblStyle w:val="28"/>
        <w:tblW w:w="8899"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53"/>
        <w:gridCol w:w="2165"/>
        <w:gridCol w:w="1762"/>
        <w:gridCol w:w="1285"/>
        <w:gridCol w:w="1834"/>
      </w:tblGrid>
      <w:tr w14:paraId="7C67B1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D7262BE">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Radial Distance</w:t>
            </w:r>
          </w:p>
        </w:tc>
        <w:tc>
          <w:tcPr>
            <w:tcW w:w="0" w:type="auto"/>
            <w:tcBorders>
              <w:bottom w:val="single" w:color="auto" w:sz="0" w:space="0"/>
            </w:tcBorders>
            <w:vAlign w:val="center"/>
          </w:tcPr>
          <w:p w14:paraId="7F0FFA9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Uniform</w:t>
            </w:r>
          </w:p>
        </w:tc>
        <w:tc>
          <w:tcPr>
            <w:tcW w:w="0" w:type="auto"/>
            <w:tcBorders>
              <w:bottom w:val="single" w:color="auto" w:sz="0" w:space="0"/>
            </w:tcBorders>
            <w:vAlign w:val="center"/>
          </w:tcPr>
          <w:p w14:paraId="2B69FBC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c>
          <w:tcPr>
            <w:tcW w:w="997" w:type="dxa"/>
            <w:tcBorders>
              <w:bottom w:val="single" w:color="auto" w:sz="0" w:space="0"/>
            </w:tcBorders>
            <w:vAlign w:val="center"/>
          </w:tcPr>
          <w:p w14:paraId="428E236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EDFM</w:t>
            </w:r>
          </w:p>
        </w:tc>
        <w:tc>
          <w:tcPr>
            <w:tcW w:w="1888" w:type="dxa"/>
            <w:tcBorders>
              <w:bottom w:val="single" w:color="auto" w:sz="0" w:space="0"/>
            </w:tcBorders>
            <w:vAlign w:val="center"/>
          </w:tcPr>
          <w:p w14:paraId="560C01A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PEBI</w:t>
            </w:r>
          </w:p>
        </w:tc>
      </w:tr>
      <w:tr w14:paraId="229785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4A81F4E">
            <w:pPr>
              <w:pStyle w:val="24"/>
              <w:snapToGrid w:val="0"/>
              <w:spacing w:before="0" w:after="0"/>
              <w:ind w:left="0" w:leftChars="0" w:right="0" w:rightChars="0" w:firstLineChars="0"/>
              <w:jc w:val="left"/>
              <w:rPr>
                <w:color w:val="auto"/>
              </w:rPr>
            </w:pPr>
            <m:oMath>
              <m:r>
                <m:rPr/>
                <w:rPr>
                  <w:color w:val="auto"/>
                </w:rPr>
                <m:t>r=1</m:t>
              </m:r>
            </m:oMath>
            <w:r>
              <w:rPr>
                <w:rFonts w:ascii="Times New Roman" w:hAnsi="Times New Roman" w:cs="Times New Roman"/>
                <w:color w:val="auto"/>
                <w:sz w:val="20"/>
                <w:szCs w:val="20"/>
              </w:rPr>
              <w:t xml:space="preserve"> m</w:t>
            </w:r>
          </w:p>
        </w:tc>
        <w:tc>
          <w:tcPr>
            <w:tcW w:w="0" w:type="auto"/>
            <w:vAlign w:val="center"/>
          </w:tcPr>
          <w:p w14:paraId="7FE0F45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1.87%</w:t>
            </w:r>
          </w:p>
        </w:tc>
        <w:tc>
          <w:tcPr>
            <w:tcW w:w="0" w:type="auto"/>
            <w:vAlign w:val="center"/>
          </w:tcPr>
          <w:p w14:paraId="5D7DFF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0.92%</w:t>
            </w:r>
          </w:p>
        </w:tc>
        <w:tc>
          <w:tcPr>
            <w:tcW w:w="997" w:type="dxa"/>
            <w:vAlign w:val="center"/>
          </w:tcPr>
          <w:p w14:paraId="768C3B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0.66%</w:t>
            </w:r>
          </w:p>
        </w:tc>
        <w:tc>
          <w:tcPr>
            <w:tcW w:w="1888" w:type="dxa"/>
            <w:vAlign w:val="center"/>
          </w:tcPr>
          <w:p w14:paraId="3C433A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r>
      <w:tr w14:paraId="5BA74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F9A4812">
            <w:pPr>
              <w:pStyle w:val="24"/>
              <w:snapToGrid w:val="0"/>
              <w:spacing w:before="0" w:after="0"/>
              <w:ind w:left="0" w:leftChars="0" w:right="0" w:rightChars="0" w:firstLineChars="0"/>
              <w:jc w:val="left"/>
              <w:rPr>
                <w:color w:val="auto"/>
              </w:rPr>
            </w:pPr>
            <m:oMath>
              <m:r>
                <m:rPr/>
                <w:rPr>
                  <w:color w:val="auto"/>
                </w:rPr>
                <m:t>r=10</m:t>
              </m:r>
            </m:oMath>
            <w:r>
              <w:rPr>
                <w:rFonts w:ascii="Times New Roman" w:hAnsi="Times New Roman" w:cs="Times New Roman"/>
                <w:color w:val="auto"/>
                <w:sz w:val="20"/>
                <w:szCs w:val="20"/>
              </w:rPr>
              <w:t xml:space="preserve"> m</w:t>
            </w:r>
          </w:p>
        </w:tc>
        <w:tc>
          <w:tcPr>
            <w:tcW w:w="0" w:type="auto"/>
            <w:vAlign w:val="center"/>
          </w:tcPr>
          <w:p w14:paraId="7AE5BB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0.95%</w:t>
            </w:r>
          </w:p>
        </w:tc>
        <w:tc>
          <w:tcPr>
            <w:tcW w:w="0" w:type="auto"/>
            <w:vAlign w:val="center"/>
          </w:tcPr>
          <w:p w14:paraId="6EC63A0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0.48%</w:t>
            </w:r>
          </w:p>
        </w:tc>
        <w:tc>
          <w:tcPr>
            <w:tcW w:w="997" w:type="dxa"/>
            <w:vAlign w:val="center"/>
          </w:tcPr>
          <w:p w14:paraId="659A95F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888" w:type="dxa"/>
            <w:vAlign w:val="center"/>
          </w:tcPr>
          <w:p w14:paraId="098200B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0.18%</w:t>
            </w:r>
          </w:p>
        </w:tc>
      </w:tr>
      <w:tr w14:paraId="7949055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48" w:type="dxa"/>
            <w:vAlign w:val="center"/>
          </w:tcPr>
          <w:p w14:paraId="497930D9">
            <w:pPr>
              <w:pStyle w:val="24"/>
              <w:snapToGrid w:val="0"/>
              <w:spacing w:before="0" w:after="0"/>
              <w:ind w:left="0" w:leftChars="0" w:right="0" w:rightChars="0" w:firstLineChars="0"/>
              <w:jc w:val="left"/>
              <w:rPr>
                <w:color w:val="auto"/>
              </w:rPr>
            </w:pPr>
            <m:oMath>
              <m:r>
                <m:rPr/>
                <w:rPr>
                  <w:color w:val="auto"/>
                </w:rPr>
                <m:t>r=50</m:t>
              </m:r>
            </m:oMath>
            <w:r>
              <w:rPr>
                <w:rFonts w:ascii="Times New Roman" w:hAnsi="Times New Roman" w:cs="Times New Roman"/>
                <w:color w:val="auto"/>
                <w:sz w:val="20"/>
                <w:szCs w:val="20"/>
              </w:rPr>
              <w:t xml:space="preserve"> m</w:t>
            </w:r>
          </w:p>
        </w:tc>
        <w:tc>
          <w:tcPr>
            <w:tcW w:w="2267" w:type="dxa"/>
            <w:vAlign w:val="center"/>
          </w:tcPr>
          <w:p w14:paraId="52218D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0.61%</w:t>
            </w:r>
          </w:p>
        </w:tc>
        <w:tc>
          <w:tcPr>
            <w:tcW w:w="1799" w:type="dxa"/>
            <w:vAlign w:val="center"/>
          </w:tcPr>
          <w:p w14:paraId="019B12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c>
          <w:tcPr>
            <w:tcW w:w="997" w:type="dxa"/>
            <w:vAlign w:val="center"/>
          </w:tcPr>
          <w:p w14:paraId="509ACE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0.24%</w:t>
            </w:r>
          </w:p>
        </w:tc>
        <w:tc>
          <w:tcPr>
            <w:tcW w:w="1888" w:type="dxa"/>
            <w:vAlign w:val="center"/>
          </w:tcPr>
          <w:p w14:paraId="0DD7D1F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0.12%</w:t>
            </w:r>
          </w:p>
        </w:tc>
      </w:tr>
    </w:tbl>
    <w:p w14:paraId="557907DC">
      <w:pPr>
        <w:pStyle w:val="12"/>
        <w:spacing w:before="0" w:after="0" w:line="360" w:lineRule="auto"/>
        <w:ind w:firstLineChars="200"/>
        <w:jc w:val="both"/>
        <w:rPr>
          <w:rFonts w:ascii="Times New Roman" w:hAnsi="Times New Roman" w:cs="Times New Roman"/>
          <w:color w:val="auto"/>
          <w:sz w:val="20"/>
          <w:szCs w:val="20"/>
        </w:rPr>
      </w:pPr>
      <w:r>
        <w:rPr>
          <w:rFonts w:ascii="Times New Roman" w:hAnsi="Times New Roman" w:cs="Times New Roman"/>
          <w:color w:val="auto"/>
          <w:sz w:val="24"/>
          <w:szCs w:val="20"/>
        </w:rPr>
        <w:t>Figure 6 and Table 7 confirm that the accuracy advantage is concentrated near the source region. At r = 1 m, the PEBI grid reduces pressure error by 53.0% relative to EDFM (0.66% vs. 0.31%), by 66.3% relative to Cartesian LGR (0.92% vs. 0.31%), and by 83.4% relative to the uniform Cartesian mesh (1.87% vs. 0.31%). This elimination of geometric flux distortion provides the foundation for the algebraic and parallel performance gains that follow.</w:t>
      </w:r>
    </w:p>
    <w:p w14:paraId="4AD8CB9D">
      <w:pPr>
        <w:pStyle w:val="3"/>
        <w:spacing w:before="0" w:after="0" w:line="360" w:lineRule="auto"/>
        <w:ind w:firstLine="480" w:firstLineChars="200"/>
        <w:jc w:val="both"/>
        <w:rPr>
          <w:rFonts w:ascii="Times New Roman" w:hAnsi="Times New Roman"/>
          <w:sz w:val="24"/>
        </w:rPr>
      </w:pPr>
      <w:r>
        <w:rPr>
          <w:rFonts w:ascii="Times New Roman" w:hAnsi="Times New Roman"/>
          <w:sz w:val="24"/>
        </w:rPr>
        <w:t>We assessed temporal convergence of the numerical scheme by varying the maximum timestep Δt_max from 0.1 to 30 days (note: Δt_max denotes the timestep size, distinct from the physical validation time of t = 100 days used in Fig. 6). The Newton–Raphson procedure landed within three to five iterations per step across every configuration, with the average nonlinear residual falling below. Below a maximum step of 5 days the solutions were timestep-independent, so all production forecasts in this paper use a conservative cap of 1 day.</w:t>
      </w:r>
      <w:r>
        <w:rPr>
          <w:rFonts w:ascii="Times New Roman" w:hAnsi="Times New Roman"/>
          <w:sz w:val="24"/>
        </w:rPr>
        <w:br w:type="textWrapping"/>
      </w:r>
    </w:p>
    <w:p w14:paraId="63BE536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assess spatial convergence of the PEBI discretization, a systematic grid refinement study was performed on the Ei-function validation case. Four PEBI meshes were generated with near-fracture spacing h_n varied systematically from 2.0 m to 0.25 m (factor-of-two refinement per level), while the far-field spacing h_f and transition parameter alpha were held fixed at 50.0 m and 0.5 m^{-1}, respectively, yielding cell counts of approximately 0.56M, 1.02M, 2.18M, and 4.51M. The near-fracture pressure error epsilon_p at r = 1 m and t = 100 days decreases monotonically: 0.61% (h_n = 2.0 m), 0.31% (h_n = 1.0 m), 0.16% (h_n = 0.5 m), and 0.09% (h_n = 0.25 m). Fitting the error model epsilon_p proportional to h_n^q yields an observed convergence order of q = 0.94 +/- 0.08 (R^2 = 0.991), consistent with the first-order accuracy expected from TP</w:t>
      </w:r>
      <w:bookmarkStart w:id="31" w:name="_GoBack"/>
      <w:bookmarkEnd w:id="31"/>
      <w:r>
        <w:rPr>
          <w:rFonts w:ascii="Times New Roman" w:hAnsi="Times New Roman"/>
          <w:sz w:val="24"/>
        </w:rPr>
        <w:t>FA on K-orthogonal PEBI grids. The K-orthogonality fraction (theta &lt;= 5 degrees) remains between 96.8% and 97.8% across all four mesh resolutions, confirming that mesh quality does not degrade with refinement. At the finest resolution (h_n = 0.25 m), the 0.09% error approaches the residual attributable to far-field boundary effects and double-precision round-off, indicating diminishing returns beyond this resolution for engineering accuracy requirements. These results establish that the PEBI discretization is consistent and converges monotonically under mesh refinement. The base resolution (h_n = 1.0 m, 1.02M cells) is selected as the working mesh for all multiphase and field-scale simulations reported in Sections 3.2-3.8, representing a Pareto-optimal balance between accuracy (0.31%) and computational cost. Table S0 (Supplementary Material) tabulates the complete convergence data for all four resolutions.</w:t>
      </w:r>
    </w:p>
    <w:p w14:paraId="18DFC9D2">
      <w:pPr>
        <w:pStyle w:val="4"/>
        <w:spacing w:before="120" w:after="60" w:line="360" w:lineRule="auto"/>
        <w:jc w:val="left"/>
        <w:rPr>
          <w:rFonts w:ascii="Times New Roman" w:hAnsi="Times New Roman" w:cs="Times New Roman"/>
          <w:color w:val="auto"/>
          <w:sz w:val="24"/>
          <w:szCs w:val="24"/>
        </w:rPr>
      </w:pPr>
      <w:bookmarkStart w:id="14" w:name="Xebdddf27695d5e7daebd9a35cc9f4aeca445515"/>
      <w:r>
        <w:rPr>
          <w:rFonts w:ascii="Times New Roman" w:hAnsi="Times New Roman" w:cs="Times New Roman"/>
          <w:b/>
          <w:bCs/>
          <w:color w:val="auto"/>
          <w:sz w:val="24"/>
          <w:szCs w:val="24"/>
        </w:rPr>
        <w:t>3.2 Multiphase Validation: Buckley–Leverett Displacement</w:t>
      </w:r>
      <w:bookmarkEnd w:id="14"/>
    </w:p>
    <w:p w14:paraId="38132C7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validate multiphase behavior, a one-dimensional Buckley-Leverett waterflood was simulated. A horizontal domain (300 m) was initialized at irreducible water saturation (S_wc = 0.20) with constant-rate water injection at the left boundary. Corey-type relative permeability functions were used with exponents n_w = n_o = 2.0.</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=0.20</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rw</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ctrlPr>
              <w:rPr>
                <w:rFonts w:ascii="Times New Roman" w:hAnsi="Times New Roman" w:cs="Times New Roman"/>
                <w:color w:val="auto"/>
                <w:sz w:val="24"/>
                <w:szCs w:val="24"/>
              </w:rPr>
            </m:ctrlPr>
          </m:sup>
        </m:s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ro</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ro</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ctrlPr>
              <w:rPr>
                <w:rFonts w:ascii="Times New Roman" w:hAnsi="Times New Roman" w:cs="Times New Roman"/>
                <w:color w:val="auto"/>
                <w:sz w:val="24"/>
                <w:szCs w:val="24"/>
              </w:rPr>
            </m:ctrlPr>
          </m:sup>
        </m:s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w</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=2.0</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=2.0</m:t>
        </m:r>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rw</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=0.3</m:t>
        </m:r>
        <m:sSubSup>
          <m:sSubSupPr>
            <m:ctrlPr>
              <w:rPr>
                <w:rFonts w:ascii="Times New Roman" w:hAnsi="Times New Roman" w:cs="Times New Roman"/>
                <w:color w:val="auto"/>
                <w:sz w:val="24"/>
                <w:szCs w:val="24"/>
              </w:rPr>
            </m:ctrlPr>
          </m:sSubSup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ro</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0</m:t>
            </m:r>
            <m:ctrlPr>
              <w:rPr>
                <w:rFonts w:ascii="Times New Roman" w:hAnsi="Times New Roman" w:cs="Times New Roman"/>
                <w:color w:val="auto"/>
                <w:sz w:val="24"/>
                <w:szCs w:val="24"/>
              </w:rPr>
            </m:ctrlPr>
          </m:sup>
        </m:sSubSup>
        <m:r>
          <m:rPr/>
          <w:rPr>
            <w:rFonts w:ascii="Times New Roman" w:hAnsi="Times New Roman" w:cs="Times New Roman"/>
            <w:color w:val="auto"/>
            <w:sz w:val="24"/>
            <w:szCs w:val="24"/>
          </w:rPr>
          <m:t>=0.8</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=0.25</m:t>
        </m:r>
      </m:oMath>
    </w:p>
    <w:p w14:paraId="4FECEB2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At </w:t>
      </w:r>
      <m:oMath>
        <m:r>
          <m:rPr/>
          <w:rPr>
            <w:rFonts w:ascii="Times New Roman" w:hAnsi="Times New Roman" w:cs="Times New Roman"/>
            <w:color w:val="auto"/>
            <w:sz w:val="24"/>
            <w:szCs w:val="24"/>
          </w:rPr>
          <m:t>t=500</m:t>
        </m:r>
      </m:oMath>
      <w:r>
        <w:rPr>
          <w:rFonts w:ascii="Times New Roman" w:hAnsi="Times New Roman" w:cs="Times New Roman"/>
          <w:color w:val="auto"/>
          <w:sz w:val="24"/>
          <w:szCs w:val="24"/>
        </w:rPr>
        <w:t xml:space="preserve"> days (approximately 0.4 pore volumes injected), the simulated water saturation profile matches the semi-analytical Buckley–Leverett solution with a root-mean-square error of 0.0074 saturation units. The shock-front position is captured to within 2.1 m (0.7% of domain length), and no grid-orientation effects are observed, consistent with the K-orthogonal property of the PEBI mesh.</w:t>
      </w:r>
    </w:p>
    <w:p w14:paraId="45FF57C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validate on a more geologically complex benchmark, the proposed PEBI framework was applied to the SPE 10 Comparative Solution Project (Christie and Blunt, 2001). SPE 10 comprises a geostatistically generated 1,122,000-cell grid with permeability spanning over 8 orders of magnitude. We re-computed a fully implicit solution on the standard Cartesian grid using our own black-oil simulator with identical PVT, relative permeability, and well controls as the PEBI simulation. Since the reservoir pressure remained above the bubble point throughout the 2,000-day forecast, no free gas evolved and the system reduced to the standard two-phase SPE 10 problem.</w:t>
      </w:r>
      <m:oMath>
        <m:r>
          <m:rPr/>
          <w:rPr>
            <w:rFonts w:ascii="Times New Roman" w:hAnsi="Times New Roman" w:cs="Times New Roman"/>
            <w:color w:val="auto"/>
            <w:sz w:val="24"/>
            <w:szCs w:val="24"/>
          </w:rPr>
          <m:t>60×220×851,122,00018.24×</m:t>
        </m:r>
        <m:sSup>
          <m:sSupPr>
            <m:ctrlPr>
              <w:rPr>
                <w:rFonts w:ascii="Times New Roman" w:hAnsi="Times New Roman" w:cs="Times New Roman"/>
                <w:color w:val="auto"/>
                <w:sz w:val="24"/>
                <w:szCs w:val="24"/>
              </w:rPr>
            </m:ctrlPr>
          </m:sSupPr>
          <m:e>
            <m:r>
              <m:rPr/>
              <w:rPr>
                <w:rFonts w:ascii="Times New Roman" w:hAnsi="Times New Roman" w:cs="Times New Roman"/>
                <w:color w:val="auto"/>
                <w:sz w:val="24"/>
                <w:szCs w:val="24"/>
              </w:rPr>
              <m:t>10</m:t>
            </m:r>
            <m:ctrlPr>
              <w:rPr>
                <w:rFonts w:ascii="Times New Roman" w:hAnsi="Times New Roman" w:cs="Times New Roman"/>
                <w:color w:val="auto"/>
                <w:sz w:val="24"/>
                <w:szCs w:val="24"/>
              </w:rPr>
            </m:ctrlPr>
          </m:e>
          <m:sup>
            <m:r>
              <m:rPr/>
              <w:rPr>
                <w:rFonts w:ascii="Times New Roman" w:hAnsi="Times New Roman" w:cs="Times New Roman"/>
                <w:color w:val="auto"/>
                <w:sz w:val="24"/>
                <w:szCs w:val="24"/>
              </w:rPr>
              <m:t>6</m:t>
            </m:r>
            <m:ctrlPr>
              <w:rPr>
                <w:rFonts w:ascii="Times New Roman" w:hAnsi="Times New Roman" w:cs="Times New Roman"/>
                <w:color w:val="auto"/>
                <w:sz w:val="24"/>
                <w:szCs w:val="24"/>
              </w:rPr>
            </m:ctrlPr>
          </m:sup>
        </m:sSup>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=120</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b</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=1,8002,140</m:t>
        </m:r>
      </m:oMath>
    </w:p>
    <w:p w14:paraId="0CA9DB4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PEBI evaluation, a conforming mesh of 524,000 cells (approximately 47% of reference) was built with generators placed along major permeability boundaries identified through connected-component analysis. Permeability-informed seeding exploits prior knowledge of the permeability field, constituting an informational advantage over the uniform-resolution Cartesian reference. A permeability-unaware PEBI control mesh (identical 0.52M cells, uniform seeding) yields cumulative oil deviation of 1.9%, approximately twice the 0.93% of the permeability-aware mesh. We therefore classify the SPE 10 comparison conservatively as an illustrative benchmark rather than a controlled validation.</w:t>
      </w:r>
      <m:oMath>
        <m:sSub>
          <m:sSubPr>
            <m:ctrlPr>
              <w:rPr>
                <w:rFonts w:ascii="Times New Roman" w:hAnsi="Times New Roman" w:cs="Times New Roman"/>
                <w:color w:val="auto"/>
                <w:sz w:val="24"/>
                <w:szCs w:val="24"/>
              </w:rPr>
            </m:ctrlPr>
          </m:sSubPr>
          <m:e>
            <m:r>
              <m:rPr>
                <m:nor/>
                <m:sty m:val="p"/>
              </m:rPr>
              <w:rPr>
                <w:rFonts w:ascii="Times New Roman" w:hAnsi="Times New Roman" w:cs="Times New Roman"/>
                <w:b w:val="0"/>
                <w:i w:val="0"/>
                <w:color w:val="auto"/>
                <w:sz w:val="24"/>
                <w:szCs w:val="24"/>
              </w:rPr>
              <m:t>log</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10</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(K)</m:t>
        </m:r>
        <m:r>
          <m:rPr>
            <m:nor/>
            <m:sty m:val="p"/>
          </m:rPr>
          <w:rPr>
            <w:rFonts w:ascii="Times New Roman" w:hAnsi="Times New Roman" w:cs="Times New Roman"/>
            <w:b w:val="0"/>
            <w:i w:val="0"/>
            <w:color w:val="auto"/>
            <w:sz w:val="24"/>
            <w:szCs w:val="24"/>
          </w:rPr>
          <m:t>tanh</m:t>
        </m:r>
      </m:oMath>
    </w:p>
    <w:p w14:paraId="176300A0">
      <w:pPr>
        <w:pStyle w:val="3"/>
        <w:spacing w:before="0" w:after="120"/>
        <w:ind w:firstLine="480" w:firstLineChars="200"/>
        <w:jc w:val="both"/>
        <w:rPr>
          <w:color w:val="auto"/>
        </w:rPr>
      </w:pPr>
    </w:p>
    <w:p w14:paraId="21BB42D1">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8: SPE 10 benchmarking results — PEBI grid vs. reference Cartesian solution.</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04"/>
        <w:gridCol w:w="2403"/>
        <w:gridCol w:w="1923"/>
        <w:gridCol w:w="1926"/>
      </w:tblGrid>
      <w:tr w14:paraId="2D3284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w14:paraId="11EEA7DB">
            <w:pPr>
              <w:pStyle w:val="24"/>
              <w:keepNext/>
              <w:snapToGrid w:val="0"/>
              <w:spacing w:before="0" w:after="0"/>
              <w:jc w:val="left"/>
              <w:rPr>
                <w:color w:val="auto"/>
              </w:rPr>
            </w:pPr>
            <w:r>
              <w:rPr>
                <w:rFonts w:ascii="Times New Roman" w:hAnsi="Times New Roman" w:cs="Times New Roman"/>
                <w:b/>
                <w:bCs/>
                <w:color w:val="auto"/>
                <w:sz w:val="20"/>
                <w:szCs w:val="20"/>
              </w:rPr>
              <w:t>Metric</w:t>
            </w:r>
          </w:p>
        </w:tc>
        <w:tc>
          <w:tcPr>
            <w:tcW w:w="0" w:type="auto"/>
            <w:tcBorders>
              <w:bottom w:val="single" w:color="auto" w:sz="0" w:space="0"/>
            </w:tcBorders>
            <w:vAlign w:val="bottom"/>
          </w:tcPr>
          <w:p w14:paraId="64E24DEE">
            <w:pPr>
              <w:pStyle w:val="24"/>
              <w:keepNext/>
              <w:snapToGrid w:val="0"/>
              <w:spacing w:before="0" w:after="0"/>
              <w:jc w:val="left"/>
              <w:rPr>
                <w:color w:val="auto"/>
              </w:rPr>
            </w:pPr>
            <w:r>
              <w:rPr>
                <w:rFonts w:ascii="Times New Roman" w:hAnsi="Times New Roman" w:cs="Times New Roman"/>
                <w:b/>
                <w:bCs/>
                <w:color w:val="auto"/>
                <w:sz w:val="20"/>
                <w:szCs w:val="20"/>
              </w:rPr>
              <w:t>Reference (1.12 M Cartesian)</w:t>
            </w:r>
          </w:p>
        </w:tc>
        <w:tc>
          <w:tcPr>
            <w:tcW w:w="0" w:type="auto"/>
            <w:tcBorders>
              <w:bottom w:val="single" w:color="auto" w:sz="0" w:space="0"/>
            </w:tcBorders>
            <w:vAlign w:val="bottom"/>
          </w:tcPr>
          <w:p w14:paraId="2C3DAF9B">
            <w:pPr>
              <w:pStyle w:val="24"/>
              <w:keepNext/>
              <w:snapToGrid w:val="0"/>
              <w:spacing w:before="0" w:after="0"/>
              <w:jc w:val="left"/>
              <w:rPr>
                <w:color w:val="auto"/>
              </w:rPr>
            </w:pPr>
            <w:r>
              <w:rPr>
                <w:rFonts w:ascii="Times New Roman" w:hAnsi="Times New Roman" w:cs="Times New Roman"/>
                <w:b/>
                <w:bCs/>
                <w:color w:val="auto"/>
                <w:sz w:val="20"/>
                <w:szCs w:val="20"/>
              </w:rPr>
              <w:t>PEBI (0.52 M cells)</w:t>
            </w:r>
          </w:p>
        </w:tc>
        <w:tc>
          <w:tcPr>
            <w:tcW w:w="1926" w:type="dxa"/>
            <w:tcBorders>
              <w:bottom w:val="single" w:color="auto" w:sz="0" w:space="0"/>
            </w:tcBorders>
            <w:vAlign w:val="bottom"/>
          </w:tcPr>
          <w:p w14:paraId="65C4431F">
            <w:pPr>
              <w:pStyle w:val="24"/>
              <w:keepNext/>
              <w:snapToGrid w:val="0"/>
              <w:spacing w:before="0" w:after="0"/>
              <w:jc w:val="left"/>
              <w:rPr>
                <w:color w:val="auto"/>
              </w:rPr>
            </w:pPr>
            <w:r>
              <w:rPr>
                <w:rFonts w:ascii="Times New Roman" w:hAnsi="Times New Roman" w:cs="Times New Roman"/>
                <w:b/>
                <w:bCs/>
                <w:color w:val="auto"/>
                <w:sz w:val="20"/>
                <w:szCs w:val="20"/>
              </w:rPr>
              <w:t>Deviation</w:t>
            </w:r>
          </w:p>
        </w:tc>
      </w:tr>
      <w:tr w14:paraId="76F845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62DA899C">
            <w:pPr>
              <w:pStyle w:val="24"/>
              <w:keepNext/>
              <w:snapToGrid w:val="0"/>
              <w:spacing w:before="0" w:after="0"/>
              <w:jc w:val="left"/>
              <w:rPr>
                <w:color w:val="auto"/>
              </w:rPr>
            </w:pPr>
            <w:r>
              <w:rPr>
                <w:rFonts w:ascii="Times New Roman" w:hAnsi="Times New Roman" w:cs="Times New Roman"/>
                <w:color w:val="auto"/>
                <w:sz w:val="20"/>
                <w:szCs w:val="20"/>
              </w:rPr>
              <w:t>Cumulative oil (10⁶ sm³)</w:t>
            </w:r>
          </w:p>
        </w:tc>
        <w:tc>
          <w:tcPr>
            <w:tcW w:w="0" w:type="auto"/>
          </w:tcPr>
          <w:p w14:paraId="3E382ECD">
            <w:pPr>
              <w:pStyle w:val="24"/>
              <w:keepNext/>
              <w:snapToGrid w:val="0"/>
              <w:spacing w:before="0" w:after="0"/>
              <w:jc w:val="left"/>
              <w:rPr>
                <w:color w:val="auto"/>
              </w:rPr>
            </w:pPr>
            <w:r>
              <w:rPr>
                <w:rFonts w:ascii="Times New Roman" w:hAnsi="Times New Roman" w:cs="Times New Roman"/>
                <w:color w:val="auto"/>
                <w:sz w:val="20"/>
                <w:szCs w:val="20"/>
              </w:rPr>
              <w:t>18.24</w:t>
            </w:r>
          </w:p>
        </w:tc>
        <w:tc>
          <w:tcPr>
            <w:tcW w:w="0" w:type="auto"/>
          </w:tcPr>
          <w:p w14:paraId="5B9F5CDA">
            <w:pPr>
              <w:pStyle w:val="24"/>
              <w:keepNext/>
              <w:snapToGrid w:val="0"/>
              <w:spacing w:before="0" w:after="0"/>
              <w:jc w:val="left"/>
              <w:rPr>
                <w:color w:val="auto"/>
              </w:rPr>
            </w:pPr>
            <w:r>
              <w:rPr>
                <w:rFonts w:ascii="Times New Roman" w:hAnsi="Times New Roman" w:cs="Times New Roman"/>
                <w:color w:val="auto"/>
                <w:sz w:val="20"/>
                <w:szCs w:val="20"/>
              </w:rPr>
              <w:t>18.41</w:t>
            </w:r>
          </w:p>
        </w:tc>
        <w:tc>
          <w:tcPr>
            <w:tcW w:w="1926" w:type="dxa"/>
          </w:tcPr>
          <w:p w14:paraId="0C759F5B">
            <w:pPr>
              <w:pStyle w:val="24"/>
              <w:keepNext/>
              <w:snapToGrid w:val="0"/>
              <w:spacing w:before="0" w:after="0"/>
              <w:jc w:val="left"/>
              <w:rPr>
                <w:color w:val="auto"/>
              </w:rPr>
            </w:pPr>
            <w:r>
              <w:rPr>
                <w:rFonts w:ascii="Times New Roman" w:hAnsi="Times New Roman" w:cs="Times New Roman"/>
                <w:color w:val="auto"/>
                <w:sz w:val="20"/>
                <w:szCs w:val="20"/>
              </w:rPr>
              <w:t>+0.93%</w:t>
            </w:r>
          </w:p>
        </w:tc>
      </w:tr>
      <w:tr w14:paraId="6FB8A2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34AF7DC4">
            <w:pPr>
              <w:pStyle w:val="24"/>
              <w:keepNext/>
              <w:snapToGrid w:val="0"/>
              <w:spacing w:before="0" w:after="0"/>
              <w:jc w:val="left"/>
              <w:rPr>
                <w:color w:val="auto"/>
              </w:rPr>
            </w:pPr>
            <w:r>
              <w:rPr>
                <w:rFonts w:ascii="Times New Roman" w:hAnsi="Times New Roman" w:cs="Times New Roman"/>
                <w:color w:val="auto"/>
                <w:sz w:val="20"/>
                <w:szCs w:val="20"/>
              </w:rPr>
              <w:t>Water breakthrough time (days)</w:t>
            </w:r>
          </w:p>
        </w:tc>
        <w:tc>
          <w:tcPr>
            <w:tcW w:w="0" w:type="auto"/>
          </w:tcPr>
          <w:p w14:paraId="5174D9CF">
            <w:pPr>
              <w:pStyle w:val="24"/>
              <w:keepNext/>
              <w:snapToGrid w:val="0"/>
              <w:spacing w:before="0" w:after="0"/>
              <w:jc w:val="left"/>
              <w:rPr>
                <w:color w:val="auto"/>
              </w:rPr>
            </w:pPr>
            <w:r>
              <w:rPr>
                <w:rFonts w:ascii="Times New Roman" w:hAnsi="Times New Roman" w:cs="Times New Roman"/>
                <w:color w:val="auto"/>
                <w:sz w:val="20"/>
                <w:szCs w:val="20"/>
              </w:rPr>
              <w:t>287</w:t>
            </w:r>
          </w:p>
        </w:tc>
        <w:tc>
          <w:tcPr>
            <w:tcW w:w="0" w:type="auto"/>
          </w:tcPr>
          <w:p w14:paraId="369FC729">
            <w:pPr>
              <w:pStyle w:val="24"/>
              <w:keepNext/>
              <w:snapToGrid w:val="0"/>
              <w:spacing w:before="0" w:after="0"/>
              <w:jc w:val="left"/>
              <w:rPr>
                <w:color w:val="auto"/>
              </w:rPr>
            </w:pPr>
            <w:r>
              <w:rPr>
                <w:rFonts w:ascii="Times New Roman" w:hAnsi="Times New Roman" w:cs="Times New Roman"/>
                <w:color w:val="auto"/>
                <w:sz w:val="20"/>
                <w:szCs w:val="20"/>
              </w:rPr>
              <w:t>294</w:t>
            </w:r>
          </w:p>
        </w:tc>
        <w:tc>
          <w:tcPr>
            <w:tcW w:w="1926" w:type="dxa"/>
          </w:tcPr>
          <w:p w14:paraId="760F79C7">
            <w:pPr>
              <w:pStyle w:val="24"/>
              <w:keepNext/>
              <w:snapToGrid w:val="0"/>
              <w:spacing w:before="0" w:after="0"/>
              <w:jc w:val="left"/>
              <w:rPr>
                <w:color w:val="auto"/>
              </w:rPr>
            </w:pPr>
            <w:r>
              <w:rPr>
                <w:rFonts w:ascii="Times New Roman" w:hAnsi="Times New Roman" w:cs="Times New Roman"/>
                <w:color w:val="auto"/>
                <w:sz w:val="20"/>
                <w:szCs w:val="20"/>
              </w:rPr>
              <w:t>+2.4%</w:t>
            </w:r>
          </w:p>
        </w:tc>
      </w:tr>
      <w:tr w14:paraId="190C19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7A9FAEDB">
            <w:pPr>
              <w:pStyle w:val="24"/>
              <w:keepNext/>
              <w:snapToGrid w:val="0"/>
              <w:spacing w:before="0" w:after="0"/>
              <w:jc w:val="left"/>
              <w:rPr>
                <w:color w:val="auto"/>
              </w:rPr>
            </w:pPr>
            <w:r>
              <w:rPr>
                <w:rFonts w:ascii="Times New Roman" w:hAnsi="Times New Roman" w:cs="Times New Roman"/>
                <w:color w:val="auto"/>
                <w:sz w:val="20"/>
                <w:szCs w:val="20"/>
              </w:rPr>
              <w:t>Final water cut</w:t>
            </w:r>
          </w:p>
        </w:tc>
        <w:tc>
          <w:tcPr>
            <w:tcW w:w="0" w:type="auto"/>
          </w:tcPr>
          <w:p w14:paraId="7D5D89E5">
            <w:pPr>
              <w:pStyle w:val="24"/>
              <w:keepNext/>
              <w:snapToGrid w:val="0"/>
              <w:spacing w:before="0" w:after="0"/>
              <w:jc w:val="left"/>
              <w:rPr>
                <w:color w:val="auto"/>
              </w:rPr>
            </w:pPr>
            <w:r>
              <w:rPr>
                <w:rFonts w:ascii="Times New Roman" w:hAnsi="Times New Roman" w:cs="Times New Roman"/>
                <w:color w:val="auto"/>
                <w:sz w:val="20"/>
                <w:szCs w:val="20"/>
              </w:rPr>
              <w:t>0.783</w:t>
            </w:r>
          </w:p>
        </w:tc>
        <w:tc>
          <w:tcPr>
            <w:tcW w:w="0" w:type="auto"/>
          </w:tcPr>
          <w:p w14:paraId="02FDD2D8">
            <w:pPr>
              <w:pStyle w:val="24"/>
              <w:keepNext/>
              <w:snapToGrid w:val="0"/>
              <w:spacing w:before="0" w:after="0"/>
              <w:jc w:val="left"/>
              <w:rPr>
                <w:color w:val="auto"/>
              </w:rPr>
            </w:pPr>
            <w:r>
              <w:rPr>
                <w:rFonts w:ascii="Times New Roman" w:hAnsi="Times New Roman" w:cs="Times New Roman"/>
                <w:color w:val="auto"/>
                <w:sz w:val="20"/>
                <w:szCs w:val="20"/>
              </w:rPr>
              <w:t>0.791</w:t>
            </w:r>
          </w:p>
        </w:tc>
        <w:tc>
          <w:tcPr>
            <w:tcW w:w="1926" w:type="dxa"/>
          </w:tcPr>
          <w:p w14:paraId="7D9DC8BF">
            <w:pPr>
              <w:pStyle w:val="24"/>
              <w:keepNext/>
              <w:snapToGrid w:val="0"/>
              <w:spacing w:before="0" w:after="0"/>
              <w:jc w:val="left"/>
              <w:rPr>
                <w:color w:val="auto"/>
              </w:rPr>
            </w:pPr>
            <w:r>
              <w:rPr>
                <w:rFonts w:ascii="Times New Roman" w:hAnsi="Times New Roman" w:cs="Times New Roman"/>
                <w:color w:val="auto"/>
                <w:sz w:val="20"/>
                <w:szCs w:val="20"/>
              </w:rPr>
              <w:t>+1.0%</w:t>
            </w:r>
          </w:p>
        </w:tc>
      </w:tr>
      <w:tr w14:paraId="456411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07BABD71">
            <w:pPr>
              <w:pStyle w:val="24"/>
              <w:keepNext/>
              <w:snapToGrid w:val="0"/>
              <w:spacing w:before="0" w:after="0"/>
              <w:jc w:val="left"/>
              <w:rPr>
                <w:color w:val="auto"/>
              </w:rPr>
            </w:pPr>
            <w:r>
              <w:rPr>
                <w:rFonts w:ascii="Times New Roman" w:hAnsi="Times New Roman" w:cs="Times New Roman"/>
                <w:color w:val="auto"/>
                <w:sz w:val="20"/>
                <w:szCs w:val="20"/>
              </w:rPr>
              <w:t>Mean saturation error (RMS)</w:t>
            </w:r>
          </w:p>
        </w:tc>
        <w:tc>
          <w:tcPr>
            <w:tcW w:w="0" w:type="auto"/>
          </w:tcPr>
          <w:p w14:paraId="727C56B3">
            <w:pPr>
              <w:pStyle w:val="24"/>
              <w:keepNext/>
              <w:snapToGrid w:val="0"/>
              <w:spacing w:before="0" w:after="0"/>
              <w:jc w:val="left"/>
              <w:rPr>
                <w:color w:val="auto"/>
              </w:rPr>
            </w:pPr>
            <w:r>
              <w:rPr>
                <w:rFonts w:ascii="Times New Roman" w:hAnsi="Times New Roman" w:cs="Times New Roman"/>
                <w:color w:val="auto"/>
                <w:sz w:val="20"/>
                <w:szCs w:val="20"/>
              </w:rPr>
              <w:t>—</w:t>
            </w:r>
          </w:p>
        </w:tc>
        <w:tc>
          <w:tcPr>
            <w:tcW w:w="0" w:type="auto"/>
          </w:tcPr>
          <w:p w14:paraId="542B02A8">
            <w:pPr>
              <w:pStyle w:val="24"/>
              <w:keepNext/>
              <w:snapToGrid w:val="0"/>
              <w:spacing w:before="0" w:after="0"/>
              <w:jc w:val="left"/>
              <w:rPr>
                <w:color w:val="auto"/>
              </w:rPr>
            </w:pPr>
            <w:r>
              <w:rPr>
                <w:rFonts w:ascii="Times New Roman" w:hAnsi="Times New Roman" w:cs="Times New Roman"/>
                <w:color w:val="auto"/>
                <w:sz w:val="20"/>
                <w:szCs w:val="20"/>
              </w:rPr>
              <w:t>0.0182</w:t>
            </w:r>
          </w:p>
        </w:tc>
        <w:tc>
          <w:tcPr>
            <w:tcW w:w="1926" w:type="dxa"/>
          </w:tcPr>
          <w:p w14:paraId="5975EDDE">
            <w:pPr>
              <w:pStyle w:val="24"/>
              <w:keepNext/>
              <w:snapToGrid w:val="0"/>
              <w:spacing w:before="0" w:after="0"/>
              <w:jc w:val="left"/>
              <w:rPr>
                <w:color w:val="auto"/>
              </w:rPr>
            </w:pPr>
            <w:r>
              <w:rPr>
                <w:rFonts w:ascii="Times New Roman" w:hAnsi="Times New Roman" w:cs="Times New Roman"/>
                <w:color w:val="auto"/>
                <w:sz w:val="20"/>
                <w:szCs w:val="20"/>
              </w:rPr>
              <w:t>—</w:t>
            </w:r>
          </w:p>
        </w:tc>
      </w:tr>
      <w:tr w14:paraId="08F6AD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604" w:type="dxa"/>
          </w:tcPr>
          <w:p w14:paraId="0A677B30">
            <w:pPr>
              <w:pStyle w:val="24"/>
              <w:keepNext/>
              <w:snapToGrid w:val="0"/>
              <w:spacing w:before="0" w:after="0"/>
              <w:jc w:val="left"/>
              <w:rPr>
                <w:color w:val="auto"/>
              </w:rPr>
            </w:pPr>
            <w:r>
              <w:rPr>
                <w:rFonts w:ascii="Times New Roman" w:hAnsi="Times New Roman" w:cs="Times New Roman"/>
                <w:color w:val="auto"/>
                <w:sz w:val="20"/>
                <w:szCs w:val="20"/>
              </w:rPr>
              <w:t>GMRES iterations (CPR–SA-AMG)</w:t>
            </w:r>
          </w:p>
        </w:tc>
        <w:tc>
          <w:tcPr>
            <w:tcW w:w="2403" w:type="dxa"/>
          </w:tcPr>
          <w:p w14:paraId="078FC0C0">
            <w:pPr>
              <w:pStyle w:val="24"/>
              <w:keepNext/>
              <w:snapToGrid w:val="0"/>
              <w:spacing w:before="0" w:after="0"/>
              <w:jc w:val="left"/>
              <w:rPr>
                <w:color w:val="auto"/>
              </w:rPr>
            </w:pPr>
            <w:r>
              <w:rPr>
                <w:rFonts w:ascii="Times New Roman" w:hAnsi="Times New Roman" w:cs="Times New Roman"/>
                <w:color w:val="auto"/>
                <w:sz w:val="20"/>
                <w:szCs w:val="20"/>
              </w:rPr>
              <w:t>26</w:t>
            </w:r>
          </w:p>
        </w:tc>
        <w:tc>
          <w:tcPr>
            <w:tcW w:w="1923" w:type="dxa"/>
          </w:tcPr>
          <w:p w14:paraId="4801A01E">
            <w:pPr>
              <w:pStyle w:val="24"/>
              <w:keepNext/>
              <w:snapToGrid w:val="0"/>
              <w:spacing w:before="0" w:after="0"/>
              <w:jc w:val="left"/>
              <w:rPr>
                <w:color w:val="auto"/>
              </w:rPr>
            </w:pPr>
            <w:r>
              <w:rPr>
                <w:rFonts w:ascii="Times New Roman" w:hAnsi="Times New Roman" w:cs="Times New Roman"/>
                <w:color w:val="auto"/>
                <w:sz w:val="20"/>
                <w:szCs w:val="20"/>
              </w:rPr>
              <w:t>23</w:t>
            </w:r>
          </w:p>
        </w:tc>
        <w:tc>
          <w:tcPr>
            <w:tcW w:w="1926" w:type="dxa"/>
          </w:tcPr>
          <w:p w14:paraId="4BC64D1C">
            <w:pPr>
              <w:pStyle w:val="24"/>
              <w:keepNext/>
              <w:snapToGrid w:val="0"/>
              <w:spacing w:before="0" w:after="0"/>
              <w:jc w:val="left"/>
              <w:rPr>
                <w:color w:val="auto"/>
              </w:rPr>
            </w:pPr>
            <w:r>
              <w:rPr>
                <w:rFonts w:ascii="Times New Roman" w:hAnsi="Times New Roman" w:cs="Times New Roman"/>
                <w:color w:val="auto"/>
                <w:sz w:val="20"/>
                <w:szCs w:val="20"/>
              </w:rPr>
              <w:t>−11.5%</w:t>
            </w:r>
          </w:p>
        </w:tc>
      </w:tr>
    </w:tbl>
    <w:p w14:paraId="1EB7333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PEBI solution tracks the reference oil production to within 1% at 47% cell count, with CPR-SA-AMG requiring 23 GMRES iterations (vs. 26 for the Cartesian reference). Water breakthrough is captured within seven days (2.4% of 287 days), confirming the absence of grid-orientation artifacts in the K-orthogonal PEBI mesh.</w:t>
      </w:r>
    </w:p>
    <w:p w14:paraId="61A6ED1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permeability-unaware PEBI control yields cumulative oil deviation of 1.9%, approximately twice the 0.93% of the permeability-aware mesh. This indicates that K-orthogonality alone accounts for roughly half the accuracy gain, with permeability-informed mesh concentration contributing the remaining half. A fully controlled isolation experiment comparing PEBI against Cartesian LGR at identical near-feature resolution is reserved for future work (Section 4.3).</w:t>
      </w:r>
      <m:oMath>
        <m:r>
          <m:rPr>
            <m:nor/>
            <m:sty m:val="p"/>
          </m:rPr>
          <w:rPr>
            <w:rFonts w:ascii="Times New Roman" w:hAnsi="Times New Roman" w:cs="Times New Roman"/>
            <w:b w:val="0"/>
            <w:i w:val="0"/>
            <w:color w:val="auto"/>
            <w:sz w:val="24"/>
            <w:szCs w:val="24"/>
          </w:rPr>
          <m:t>tanh</m:t>
        </m:r>
        <m:r>
          <m:rPr/>
          <w:rPr>
            <w:rFonts w:ascii="Times New Roman" w:hAnsi="Times New Roman" w:cs="Times New Roman"/>
            <w:color w:val="auto"/>
            <w:sz w:val="24"/>
            <w:szCs w:val="24"/>
          </w:rPr>
          <m:t>h(x)≡</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m:sty m:val="p"/>
            <m:scr m:val="script"/>
          </m:rPr>
          <w:rPr>
            <w:rFonts w:ascii="Times New Roman" w:hAnsi="Times New Roman" w:cs="Times New Roman"/>
            <w:color w:val="auto"/>
            <w:sz w:val="24"/>
            <w:szCs w:val="24"/>
          </w:rPr>
          <m:t>ℱ</m:t>
        </m:r>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oMath>
    </w:p>
    <w:p w14:paraId="0998C02F">
      <w:pPr>
        <w:pStyle w:val="4"/>
        <w:spacing w:before="120" w:after="60" w:line="360" w:lineRule="auto"/>
        <w:jc w:val="left"/>
        <w:rPr>
          <w:rFonts w:ascii="Times New Roman" w:hAnsi="Times New Roman" w:cs="Times New Roman"/>
          <w:color w:val="auto"/>
          <w:sz w:val="24"/>
          <w:szCs w:val="24"/>
        </w:rPr>
      </w:pPr>
      <w:bookmarkStart w:id="15" w:name="X558459d6e720ec4015ef96a3d731f33ebdd9ec3"/>
      <w:r>
        <w:rPr>
          <w:rFonts w:ascii="Times New Roman" w:hAnsi="Times New Roman" w:cs="Times New Roman"/>
          <w:b/>
          <w:bCs/>
          <w:color w:val="auto"/>
          <w:sz w:val="24"/>
          <w:szCs w:val="24"/>
        </w:rPr>
        <w:t>3.3 Comparison with Commercial Simulator and EDFM</w:t>
      </w:r>
      <w:bookmarkEnd w:id="15"/>
    </w:p>
    <w:p w14:paraId="462A4667">
      <w:pPr>
        <w:pStyle w:val="34"/>
        <w:rPr>
          <w:color w:val="auto"/>
        </w:rPr>
      </w:pPr>
      <w:r>
        <w:rPr>
          <w:color w:val="auto"/>
        </w:rPr>
        <w:drawing>
          <wp:inline distT="0" distB="0" distL="114300" distR="114300">
            <wp:extent cx="5334000" cy="2153285"/>
            <wp:effectExtent l="0" t="0" r="0" b="0"/>
            <wp:doc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pic:cNvPicPr>
                      <a:picLocks noChangeAspect="1" noChangeArrowheads="1"/>
                    </pic:cNvPicPr>
                  </pic:nvPicPr>
                  <pic:blipFill>
                    <a:blip r:embed="rId11"/>
                    <a:stretch>
                      <a:fillRect/>
                    </a:stretch>
                  </pic:blipFill>
                  <pic:spPr>
                    <a:xfrm>
                      <a:off x="0" y="0"/>
                      <a:ext cx="5334000" cy="2153555"/>
                    </a:xfrm>
                    <a:prstGeom prst="rect">
                      <a:avLst/>
                    </a:prstGeom>
                    <a:noFill/>
                    <a:ln w="9525">
                      <a:noFill/>
                    </a:ln>
                  </pic:spPr>
                </pic:pic>
              </a:graphicData>
            </a:graphic>
          </wp:inline>
        </w:drawing>
      </w:r>
    </w:p>
    <w:p w14:paraId="0919E341">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7. Comparison of production forecasts across three simulation approaches. (a) Cumulative oil, gas, and water production; field-level deviations between PEBI and Eclipse remain below 1.5%. (b) Near-fracture pressure profiles at </w:t>
      </w:r>
      <m:oMath>
        <m:r>
          <m:rPr/>
          <w:rPr>
            <w:rFonts w:ascii="Times New Roman" w:hAnsi="Times New Roman" w:cs="Times New Roman"/>
            <w:color w:val="auto"/>
            <w:sz w:val="20"/>
            <w:szCs w:val="20"/>
          </w:rPr>
          <m:t>t=1,000</m:t>
        </m:r>
      </m:oMath>
      <w:r>
        <w:rPr>
          <w:rFonts w:ascii="Times New Roman" w:hAnsi="Times New Roman" w:cs="Times New Roman"/>
          <w:color w:val="auto"/>
          <w:sz w:val="20"/>
          <w:szCs w:val="20"/>
        </w:rPr>
        <w:t xml:space="preserve"> days</w:t>
      </w:r>
    </w:p>
    <w:p w14:paraId="14DD4233">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9: Comparison of PEBI, EDFM, and Eclipse on key diagnostic metrics.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42"/>
        <w:gridCol w:w="2142"/>
        <w:gridCol w:w="1285"/>
        <w:gridCol w:w="1987"/>
      </w:tblGrid>
      <w:tr w14:paraId="7D980F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3590" w:type="dxa"/>
            <w:tcBorders>
              <w:bottom w:val="single" w:color="auto" w:sz="0" w:space="0"/>
            </w:tcBorders>
            <w:vAlign w:val="center"/>
          </w:tcPr>
          <w:p w14:paraId="5241402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2187" w:type="dxa"/>
            <w:tcBorders>
              <w:bottom w:val="single" w:color="auto" w:sz="0" w:space="0"/>
            </w:tcBorders>
            <w:vAlign w:val="center"/>
          </w:tcPr>
          <w:p w14:paraId="12B1FB5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Eclipse </w:t>
            </w:r>
          </w:p>
          <w:p w14:paraId="37F1E50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c>
          <w:tcPr>
            <w:tcW w:w="1053" w:type="dxa"/>
            <w:tcBorders>
              <w:bottom w:val="single" w:color="auto" w:sz="0" w:space="0"/>
            </w:tcBorders>
            <w:vAlign w:val="center"/>
          </w:tcPr>
          <w:p w14:paraId="3203D71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EDFM</w:t>
            </w:r>
          </w:p>
        </w:tc>
        <w:tc>
          <w:tcPr>
            <w:tcW w:w="2026" w:type="dxa"/>
            <w:tcBorders>
              <w:bottom w:val="single" w:color="auto" w:sz="0" w:space="0"/>
            </w:tcBorders>
            <w:vAlign w:val="center"/>
          </w:tcPr>
          <w:p w14:paraId="72B1B4F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PEBI</w:t>
            </w:r>
          </w:p>
        </w:tc>
      </w:tr>
      <w:tr w14:paraId="0038F0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21304F5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Cumulative oil deviation vs. PEBI</w:t>
            </w:r>
          </w:p>
        </w:tc>
        <w:tc>
          <w:tcPr>
            <w:tcW w:w="2187" w:type="dxa"/>
            <w:vAlign w:val="center"/>
          </w:tcPr>
          <w:p w14:paraId="6850A6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w:t>
            </w:r>
          </w:p>
        </w:tc>
        <w:tc>
          <w:tcPr>
            <w:tcW w:w="1053" w:type="dxa"/>
            <w:vAlign w:val="center"/>
          </w:tcPr>
          <w:p w14:paraId="4AB850A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2026" w:type="dxa"/>
            <w:vAlign w:val="center"/>
          </w:tcPr>
          <w:p w14:paraId="4609063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721762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74396CB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Near-fracture pressure error (</w:t>
            </w:r>
            <m:oMath>
              <m:r>
                <m:rPr/>
                <w:rPr>
                  <w:color w:val="auto"/>
                </w:rPr>
                <m:t>r=1</m:t>
              </m:r>
            </m:oMath>
            <w:r>
              <w:rPr>
                <w:rFonts w:ascii="Times New Roman" w:hAnsi="Times New Roman" w:cs="Times New Roman"/>
                <w:color w:val="auto"/>
                <w:sz w:val="20"/>
                <w:szCs w:val="20"/>
              </w:rPr>
              <w:t xml:space="preserve"> m)</w:t>
            </w:r>
          </w:p>
        </w:tc>
        <w:tc>
          <w:tcPr>
            <w:tcW w:w="2187" w:type="dxa"/>
            <w:vAlign w:val="center"/>
          </w:tcPr>
          <w:p w14:paraId="2897E3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0.92%</w:t>
            </w:r>
          </w:p>
        </w:tc>
        <w:tc>
          <w:tcPr>
            <w:tcW w:w="1053" w:type="dxa"/>
            <w:vAlign w:val="center"/>
          </w:tcPr>
          <w:p w14:paraId="6F03346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0.66%</w:t>
            </w:r>
          </w:p>
        </w:tc>
        <w:tc>
          <w:tcPr>
            <w:tcW w:w="2026" w:type="dxa"/>
            <w:vAlign w:val="center"/>
          </w:tcPr>
          <w:p w14:paraId="0FDC9D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r>
      <w:tr w14:paraId="3A0FF1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7A89F79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per Newton step (CPR–SA-AMG)</w:t>
            </w:r>
          </w:p>
        </w:tc>
        <w:tc>
          <w:tcPr>
            <w:tcW w:w="2187" w:type="dxa"/>
            <w:vAlign w:val="center"/>
          </w:tcPr>
          <w:p w14:paraId="4983CB6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1053" w:type="dxa"/>
            <w:vAlign w:val="center"/>
          </w:tcPr>
          <w:p w14:paraId="0593C5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w:t>
            </w:r>
          </w:p>
        </w:tc>
        <w:tc>
          <w:tcPr>
            <w:tcW w:w="2026" w:type="dxa"/>
            <w:vAlign w:val="center"/>
          </w:tcPr>
          <w:p w14:paraId="76F649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6A7DC3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64257F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Peak pressure-drop error vs. semi-analytical</w:t>
            </w:r>
          </w:p>
        </w:tc>
        <w:tc>
          <w:tcPr>
            <w:tcW w:w="2187" w:type="dxa"/>
            <w:vAlign w:val="center"/>
          </w:tcPr>
          <w:p w14:paraId="54F553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18.5%</w:t>
            </w:r>
          </w:p>
        </w:tc>
        <w:tc>
          <w:tcPr>
            <w:tcW w:w="1053" w:type="dxa"/>
            <w:vAlign w:val="center"/>
          </w:tcPr>
          <w:p w14:paraId="5D52EC3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12.1%</w:t>
            </w:r>
          </w:p>
        </w:tc>
        <w:tc>
          <w:tcPr>
            <w:tcW w:w="2026" w:type="dxa"/>
            <w:vAlign w:val="center"/>
          </w:tcPr>
          <w:p w14:paraId="42BCF38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bl>
    <w:p w14:paraId="78A54E2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As Fig. 7 and Table 9 demonstrate, agreement in cumulative production is a necessary but not sufficient condition for solution accuracy. Within 5 m of the fracture tips, the PEBI method reduces the peak pressure-drop error by 79.5% relative to Eclipse LGR and by 68.6% relative to EDFM</w:t>
      </w:r>
    </w:p>
    <w:p w14:paraId="05494547">
      <w:pPr>
        <w:pStyle w:val="4"/>
      </w:pPr>
      <w:r>
        <w:rPr>
          <w:rFonts w:ascii="Times New Roman" w:hAnsi="Times New Roman"/>
          <w:b/>
          <w:sz w:val="24"/>
        </w:rPr>
        <w:t>3.4 Linear-Solver Performance</w:t>
      </w:r>
    </w:p>
    <w:p w14:paraId="0484C15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performance of the tested preconditioners on the 32-million-cell model at 512 cores is summarized in Table 10.</w:t>
      </w:r>
    </w:p>
    <w:p w14:paraId="33E8DAAC">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10: Linear-solver performance per Newton step (32 M cells, 512 cores).</w:t>
      </w:r>
    </w:p>
    <w:tbl>
      <w:tblPr>
        <w:tblStyle w:val="28"/>
        <w:tblW w:w="9367"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13"/>
        <w:gridCol w:w="2223"/>
        <w:gridCol w:w="1500"/>
        <w:gridCol w:w="2046"/>
        <w:gridCol w:w="1585"/>
      </w:tblGrid>
      <w:tr w14:paraId="01A65F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016" w:type="dxa"/>
            <w:tcBorders>
              <w:bottom w:val="single" w:color="auto" w:sz="0" w:space="0"/>
            </w:tcBorders>
            <w:vAlign w:val="center"/>
          </w:tcPr>
          <w:p w14:paraId="0949335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Preconditioner</w:t>
            </w:r>
          </w:p>
        </w:tc>
        <w:tc>
          <w:tcPr>
            <w:tcW w:w="2260" w:type="dxa"/>
            <w:tcBorders>
              <w:bottom w:val="single" w:color="auto" w:sz="0" w:space="0"/>
            </w:tcBorders>
            <w:vAlign w:val="center"/>
          </w:tcPr>
          <w:p w14:paraId="64EF334D">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c>
          <w:tcPr>
            <w:tcW w:w="0" w:type="auto"/>
            <w:tcBorders>
              <w:bottom w:val="single" w:color="auto" w:sz="0" w:space="0"/>
            </w:tcBorders>
            <w:vAlign w:val="center"/>
          </w:tcPr>
          <w:p w14:paraId="5D19CE3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Solve Time </w:t>
            </w:r>
          </w:p>
          <w:p w14:paraId="499D219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6CB65CF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Setup Overhead</w:t>
            </w:r>
          </w:p>
        </w:tc>
        <w:tc>
          <w:tcPr>
            <w:tcW w:w="1490" w:type="dxa"/>
            <w:tcBorders>
              <w:bottom w:val="single" w:color="auto" w:sz="0" w:space="0"/>
            </w:tcBorders>
            <w:vAlign w:val="center"/>
          </w:tcPr>
          <w:p w14:paraId="75C68F1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Memory </w:t>
            </w:r>
          </w:p>
          <w:p w14:paraId="79867D7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(GB/rank)</w:t>
            </w:r>
          </w:p>
        </w:tc>
      </w:tr>
      <w:tr w14:paraId="09BC68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738D870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None (diagonal scaling)</w:t>
            </w:r>
          </w:p>
        </w:tc>
        <w:tc>
          <w:tcPr>
            <w:tcW w:w="2260" w:type="dxa"/>
            <w:vAlign w:val="center"/>
          </w:tcPr>
          <w:p w14:paraId="771DB8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&gt;1 000 (no convergence within limit)</w:t>
            </w:r>
          </w:p>
        </w:tc>
        <w:tc>
          <w:tcPr>
            <w:tcW w:w="0" w:type="auto"/>
            <w:vAlign w:val="center"/>
          </w:tcPr>
          <w:p w14:paraId="15B1AC5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c>
          <w:tcPr>
            <w:tcW w:w="0" w:type="auto"/>
            <w:vAlign w:val="center"/>
          </w:tcPr>
          <w:p w14:paraId="7941A69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c>
          <w:tcPr>
            <w:tcW w:w="1490" w:type="dxa"/>
            <w:vAlign w:val="center"/>
          </w:tcPr>
          <w:p w14:paraId="5ABB0D2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9D91F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0D4FFA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2260" w:type="dxa"/>
            <w:vAlign w:val="center"/>
          </w:tcPr>
          <w:p w14:paraId="472F15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7BDD12D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8.47</w:t>
            </w:r>
          </w:p>
        </w:tc>
        <w:tc>
          <w:tcPr>
            <w:tcW w:w="0" w:type="auto"/>
            <w:vAlign w:val="center"/>
          </w:tcPr>
          <w:p w14:paraId="524628F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w:t>
            </w:r>
          </w:p>
        </w:tc>
        <w:tc>
          <w:tcPr>
            <w:tcW w:w="1490" w:type="dxa"/>
            <w:vAlign w:val="center"/>
          </w:tcPr>
          <w:p w14:paraId="639AF38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4C884E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32CC71D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BoomerAMG (HYPRE)</w:t>
            </w:r>
          </w:p>
        </w:tc>
        <w:tc>
          <w:tcPr>
            <w:tcW w:w="2260" w:type="dxa"/>
            <w:vAlign w:val="center"/>
          </w:tcPr>
          <w:p w14:paraId="1025B64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c>
          <w:tcPr>
            <w:tcW w:w="0" w:type="auto"/>
            <w:vAlign w:val="center"/>
          </w:tcPr>
          <w:p w14:paraId="602770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777F17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14.5%</w:t>
            </w:r>
          </w:p>
        </w:tc>
        <w:tc>
          <w:tcPr>
            <w:tcW w:w="1490" w:type="dxa"/>
            <w:vAlign w:val="center"/>
          </w:tcPr>
          <w:p w14:paraId="66256A2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0E86AD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07A41D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2260" w:type="dxa"/>
            <w:vAlign w:val="center"/>
          </w:tcPr>
          <w:p w14:paraId="3C5AB1E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1516" w:type="dxa"/>
            <w:vAlign w:val="center"/>
          </w:tcPr>
          <w:p w14:paraId="1B6EAD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2085" w:type="dxa"/>
            <w:vAlign w:val="center"/>
          </w:tcPr>
          <w:p w14:paraId="5371BC3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w:t>
            </w:r>
          </w:p>
        </w:tc>
        <w:tc>
          <w:tcPr>
            <w:tcW w:w="1490" w:type="dxa"/>
            <w:vAlign w:val="center"/>
          </w:tcPr>
          <w:p w14:paraId="04E282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w:t>
            </w:r>
          </w:p>
        </w:tc>
      </w:tr>
    </w:tbl>
    <w:p w14:paraId="457A7A18">
      <w:pPr>
        <w:pStyle w:val="34"/>
        <w:rPr>
          <w:color w:val="auto"/>
        </w:rPr>
      </w:pPr>
      <w:r>
        <w:rPr>
          <w:color w:val="auto"/>
        </w:rPr>
        <w:drawing>
          <wp:inline distT="0" distB="0" distL="114300" distR="114300">
            <wp:extent cx="5334000" cy="2153285"/>
            <wp:effectExtent l="0" t="0" r="0" b="0"/>
            <wp:doc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pic:cNvPicPr>
                      <a:picLocks noChangeAspect="1" noChangeArrowheads="1"/>
                    </pic:cNvPicPr>
                  </pic:nvPicPr>
                  <pic:blipFill>
                    <a:blip r:embed="rId12"/>
                    <a:stretch>
                      <a:fillRect/>
                    </a:stretch>
                  </pic:blipFill>
                  <pic:spPr>
                    <a:xfrm>
                      <a:off x="0" y="0"/>
                      <a:ext cx="5334000" cy="2153555"/>
                    </a:xfrm>
                    <a:prstGeom prst="rect">
                      <a:avLst/>
                    </a:prstGeom>
                    <a:noFill/>
                    <a:ln w="9525">
                      <a:noFill/>
                    </a:ln>
                  </pic:spPr>
                </pic:pic>
              </a:graphicData>
            </a:graphic>
          </wp:inline>
        </w:drawing>
      </w:r>
    </w:p>
    <w:p w14:paraId="1B35113E">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8. Linear-solver diagnostics. (a) GMRES residual convergence history. CPR–SA-AMG reaches a residual reduction of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10</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−6</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within 21 iterations, whereas Block-ILU(0) stagnates above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10</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−1</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for more than 200 iterations. BoomerAMG converges in 28 iterations. (b) Per-Newton-step wall-clock time decomposition; the exposed MPI waiting period is compressed to 10.8% of the total solve time under CPR–SA-AMG.</w:t>
      </w:r>
    </w:p>
    <w:p w14:paraId="14F06C8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As Fig. 8 illustrates, CPR-SA-AMG achieves a 14.9-fold reduction in GMRES iteration count (mean 21.0 +/- 2.3, n = 3,650 Newton steps) and a 72.7% decrease in solve time relative to Block-ILU(0). The SA-AMG setup overhead accounts for only 5.1% of total solution time, substantially below the 14.5% required by BoomerAMG (Henson and Yang, 2002; Falgout et al., 2006). This advantage traces to the PEBI-generated Jacobian, whose enhanced diagonal dominance (mean delta = 2.18 vs. 1.43 for Cartesian LGR) supports more efficient aggregate construction. The 21 vs. 28 iteration edge over BoomerAMG is consistent across all timesteps (paired t-test p &lt; 0.001).</w:t>
      </w:r>
    </w:p>
    <w:p w14:paraId="738AEC7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isolate the effect of the PEBI mesh on solver performance, two single-factor decomposition experiments were conducted:</w:t>
      </w:r>
    </w:p>
    <w:p w14:paraId="4B178951">
      <w:pPr>
        <w:pStyle w:val="3"/>
        <w:numPr>
          <w:ilvl w:val="0"/>
          <w:numId w:val="2"/>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Mesh-isolation experiment (CPR-SA-AMG on Cartesian LGR): Running the identical CPR-SA-AMG solver on a Cartesian LGR grid covering the same spatial domain with matched total cell count (32 million cells) yields 38 GMRES iterations and a solve time of 3.87 s, 67.5% slower than the PEBI configuration. The increase from 21 to 38 iterations is attributable to the degraded diagonal dominance of the Cartesian LGR Jacobian (delta = 1.43 vs. 2.18 for PEBI).</w:t>
      </w:r>
      <m:oMath>
        <m:r>
          <m:rPr>
            <m:nor/>
            <m:sty m:val="p"/>
          </m:rPr>
          <w:rPr>
            <w:rFonts w:ascii="Times New Roman" w:hAnsi="Times New Roman" w:cs="Times New Roman"/>
            <w:b w:val="0"/>
            <w:i w:val="0"/>
            <w:color w:val="auto"/>
            <w:sz w:val="24"/>
            <w:szCs w:val="24"/>
          </w:rPr>
          <m:t>tanh</m:t>
        </m:r>
        <m:sSub>
          <m:sSubPr>
            <m:ctrlPr>
              <w:rPr>
                <w:rFonts w:ascii="Times New Roman" w:hAnsi="Times New Roman" w:cs="Times New Roman"/>
                <w:color w:val="auto"/>
                <w:sz w:val="24"/>
                <w:szCs w:val="24"/>
              </w:rPr>
            </m:ctrlPr>
          </m:sSubPr>
          <m:e>
            <m:acc>
              <m:accPr>
                <m:chr m:val="‾"/>
                <m:ctrlPr>
                  <w:rPr>
                    <w:rFonts w:ascii="Times New Roman" w:hAnsi="Times New Roman" w:cs="Times New Roman"/>
                    <w:color w:val="auto"/>
                    <w:sz w:val="24"/>
                    <w:szCs w:val="24"/>
                  </w:rPr>
                </m:ctrlPr>
              </m:accPr>
              <m:e>
                <m:r>
                  <m:rPr/>
                  <w:rPr>
                    <w:rFonts w:ascii="Times New Roman" w:hAnsi="Times New Roman" w:cs="Times New Roman"/>
                    <w:color w:val="auto"/>
                    <w:sz w:val="24"/>
                    <w:szCs w:val="24"/>
                  </w:rPr>
                  <m:t>δ</m:t>
                </m:r>
                <m:ctrlPr>
                  <w:rPr>
                    <w:rFonts w:ascii="Times New Roman" w:hAnsi="Times New Roman" w:cs="Times New Roman"/>
                    <w:color w:val="auto"/>
                    <w:sz w:val="24"/>
                    <w:szCs w:val="24"/>
                  </w:rPr>
                </m:ctrlPr>
              </m:e>
            </m:acc>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=1.43</m:t>
        </m:r>
      </m:oMath>
    </w:p>
    <w:p w14:paraId="096048E4">
      <w:pPr>
        <w:pStyle w:val="3"/>
        <w:numPr>
          <w:ilvl w:val="0"/>
          <w:numId w:val="2"/>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Solver-isolation experiment (Block-ILU(0) on PEBI): Retaining the PEBI mesh but degrading the preconditioner to Block-ILU(0) yields 312 GMRES iterations and a solve time of 8.47 s—a 3.67× increase over CPR–SA-AMG on the same PEBI grid. This isolates the preconditioner effect while holding the mesh constant.</w:t>
      </w:r>
    </w:p>
    <w:p w14:paraId="3A9ACBA0">
      <w:pPr>
        <w:pStyle w:val="12"/>
        <w:spacing w:before="0" w:after="0" w:line="300" w:lineRule="auto"/>
      </w:pPr>
      <w:r>
        <w:rPr>
          <w:rFonts w:ascii="Times New Roman" w:hAnsi="Times New Roman"/>
          <w:i/>
          <w:sz w:val="20"/>
        </w:rPr>
        <w:t>Table 11: Single-factor decomposition of solver performance (32 M cells, 512 cores).</w:t>
      </w:r>
    </w:p>
    <w:tbl>
      <w:tblPr>
        <w:tblStyle w:val="28"/>
        <w:tblW w:w="9278"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8"/>
        <w:gridCol w:w="1452"/>
        <w:gridCol w:w="1974"/>
        <w:gridCol w:w="1593"/>
        <w:gridCol w:w="1225"/>
        <w:gridCol w:w="1046"/>
      </w:tblGrid>
      <w:tr w14:paraId="473FD0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60" w:type="dxa"/>
            <w:tcBorders>
              <w:bottom w:val="single" w:color="auto" w:sz="0" w:space="0"/>
            </w:tcBorders>
            <w:vAlign w:val="center"/>
          </w:tcPr>
          <w:p w14:paraId="269F0026">
            <w:pPr>
              <w:pStyle w:val="24"/>
              <w:snapToGrid w:val="0"/>
              <w:spacing w:before="0" w:after="0"/>
              <w:ind w:left="0" w:leftChars="0" w:right="0" w:rightChars="0" w:firstLineChars="0"/>
              <w:jc w:val="left"/>
              <w:rPr>
                <w:b/>
                <w:color w:val="auto"/>
              </w:rPr>
            </w:pPr>
            <w:r>
              <w:rPr>
                <w:rFonts w:hint="eastAsia" w:ascii="Times New Roman" w:hAnsi="Times New Roman" w:eastAsia="宋体" w:cs="Times New Roman"/>
                <w:b/>
                <w:bCs/>
                <w:color w:val="auto"/>
                <w:sz w:val="20"/>
                <w:szCs w:val="20"/>
                <w:lang w:eastAsia="zh-CN"/>
              </w:rPr>
              <w:t>Single-factor decomposition of solver performance (32 M cells, 512 cores).</w:t>
            </w:r>
            <w:r>
              <w:rPr>
                <w:rFonts w:ascii="Times New Roman" w:hAnsi="Times New Roman" w:cs="Times New Roman"/>
                <w:b/>
                <w:bCs/>
                <w:color w:val="auto"/>
                <w:sz w:val="20"/>
                <w:szCs w:val="20"/>
              </w:rPr>
              <w:t>Configuration</w:t>
            </w:r>
          </w:p>
        </w:tc>
        <w:tc>
          <w:tcPr>
            <w:tcW w:w="1029" w:type="dxa"/>
            <w:tcBorders>
              <w:bottom w:val="single" w:color="auto" w:sz="0" w:space="0"/>
            </w:tcBorders>
            <w:vAlign w:val="center"/>
          </w:tcPr>
          <w:p w14:paraId="4C0AE76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Mesh</w:t>
            </w:r>
          </w:p>
        </w:tc>
        <w:tc>
          <w:tcPr>
            <w:tcW w:w="0" w:type="auto"/>
            <w:tcBorders>
              <w:bottom w:val="single" w:color="auto" w:sz="0" w:space="0"/>
            </w:tcBorders>
            <w:vAlign w:val="center"/>
          </w:tcPr>
          <w:p w14:paraId="1A28498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Preconditioner</w:t>
            </w:r>
          </w:p>
        </w:tc>
        <w:tc>
          <w:tcPr>
            <w:tcW w:w="0" w:type="auto"/>
            <w:tcBorders>
              <w:bottom w:val="single" w:color="auto" w:sz="0" w:space="0"/>
            </w:tcBorders>
            <w:vAlign w:val="center"/>
          </w:tcPr>
          <w:p w14:paraId="1234522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c>
          <w:tcPr>
            <w:tcW w:w="0" w:type="auto"/>
            <w:tcBorders>
              <w:bottom w:val="single" w:color="auto" w:sz="0" w:space="0"/>
            </w:tcBorders>
            <w:vAlign w:val="center"/>
          </w:tcPr>
          <w:p w14:paraId="7B2B67F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Solve Time </w:t>
            </w:r>
          </w:p>
          <w:p w14:paraId="48841941">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783" w:type="dxa"/>
            <w:tcBorders>
              <w:bottom w:val="single" w:color="auto" w:sz="0" w:space="0"/>
            </w:tcBorders>
            <w:vAlign w:val="center"/>
          </w:tcPr>
          <w:p w14:paraId="563C79D2">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acc>
                      <m:accPr>
                        <m:chr m:val="‾"/>
                        <m:ctrlPr>
                          <w:rPr>
                            <w:rFonts w:ascii="Times New Roman" w:hAnsi="Times New Roman"/>
                            <w:b/>
                            <w:color w:val="auto"/>
                          </w:rPr>
                        </m:ctrlPr>
                      </m:accPr>
                      <m:e>
                        <m:r>
                          <m:rPr>
                            <m:sty m:val="bi"/>
                          </m:rPr>
                          <w:rPr>
                            <w:rFonts w:hint="default" w:ascii="Times New Roman" w:hAnsi="Times New Roman"/>
                            <w:color w:val="auto"/>
                          </w:rPr>
                          <m:t>δ</m:t>
                        </m:r>
                        <m:ctrlPr>
                          <w:rPr>
                            <w:rFonts w:ascii="Times New Roman" w:hAnsi="Times New Roman"/>
                            <w:b/>
                            <w:color w:val="auto"/>
                          </w:rPr>
                        </m:ctrlPr>
                      </m:e>
                    </m:acc>
                    <m:ctrlPr>
                      <w:rPr>
                        <w:rFonts w:ascii="Times New Roman" w:hAnsi="Times New Roman"/>
                        <w:b/>
                        <w:color w:val="auto"/>
                      </w:rPr>
                    </m:ctrlPr>
                  </m:e>
                  <m:sub>
                    <m:r>
                      <m:rPr>
                        <m:sty m:val="bi"/>
                      </m:rPr>
                      <w:rPr>
                        <w:rFonts w:hint="default" w:ascii="Times New Roman" w:hAnsi="Times New Roman"/>
                        <w:color w:val="auto"/>
                      </w:rPr>
                      <m:t>i</m:t>
                    </m:r>
                    <m:ctrlPr>
                      <w:rPr>
                        <w:rFonts w:ascii="Times New Roman" w:hAnsi="Times New Roman"/>
                        <w:b/>
                        <w:color w:val="auto"/>
                      </w:rPr>
                    </m:ctrlPr>
                  </m:sub>
                </m:sSub>
              </m:oMath>
            </m:oMathPara>
          </w:p>
        </w:tc>
      </w:tr>
      <w:tr w14:paraId="1FEEA6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4CEA43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 (Proposed)</w:t>
            </w:r>
          </w:p>
        </w:tc>
        <w:tc>
          <w:tcPr>
            <w:tcW w:w="1029" w:type="dxa"/>
            <w:vAlign w:val="center"/>
          </w:tcPr>
          <w:p w14:paraId="350338B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0" w:type="auto"/>
            <w:vAlign w:val="center"/>
          </w:tcPr>
          <w:p w14:paraId="5A020A6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0" w:type="auto"/>
            <w:vAlign w:val="center"/>
          </w:tcPr>
          <w:p w14:paraId="793C48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0" w:type="auto"/>
            <w:vAlign w:val="center"/>
          </w:tcPr>
          <w:p w14:paraId="3672B97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783" w:type="dxa"/>
            <w:vAlign w:val="center"/>
          </w:tcPr>
          <w:p w14:paraId="6385A1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r>
      <w:tr w14:paraId="444B49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02CB9F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 (Mesh isolation)</w:t>
            </w:r>
          </w:p>
        </w:tc>
        <w:tc>
          <w:tcPr>
            <w:tcW w:w="1029" w:type="dxa"/>
            <w:vAlign w:val="center"/>
          </w:tcPr>
          <w:p w14:paraId="3C0E377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Cartesian LGR</w:t>
            </w:r>
          </w:p>
        </w:tc>
        <w:tc>
          <w:tcPr>
            <w:tcW w:w="0" w:type="auto"/>
            <w:vAlign w:val="center"/>
          </w:tcPr>
          <w:p w14:paraId="227C03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0" w:type="auto"/>
            <w:vAlign w:val="center"/>
          </w:tcPr>
          <w:p w14:paraId="7AA59C3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0" w:type="auto"/>
            <w:vAlign w:val="center"/>
          </w:tcPr>
          <w:p w14:paraId="3D8A943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w:t>
            </w:r>
          </w:p>
        </w:tc>
        <w:tc>
          <w:tcPr>
            <w:tcW w:w="783" w:type="dxa"/>
            <w:vAlign w:val="center"/>
          </w:tcPr>
          <w:p w14:paraId="329D36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1.43</w:t>
            </w:r>
          </w:p>
        </w:tc>
      </w:tr>
      <w:tr w14:paraId="493C9C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50442C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 (Solver isolation)</w:t>
            </w:r>
          </w:p>
        </w:tc>
        <w:tc>
          <w:tcPr>
            <w:tcW w:w="1029" w:type="dxa"/>
            <w:vAlign w:val="center"/>
          </w:tcPr>
          <w:p w14:paraId="4FAD7C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0" w:type="auto"/>
            <w:vAlign w:val="center"/>
          </w:tcPr>
          <w:p w14:paraId="4655A1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0" w:type="auto"/>
            <w:vAlign w:val="center"/>
          </w:tcPr>
          <w:p w14:paraId="26A154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6117D70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8.47</w:t>
            </w:r>
          </w:p>
        </w:tc>
        <w:tc>
          <w:tcPr>
            <w:tcW w:w="783" w:type="dxa"/>
            <w:vAlign w:val="center"/>
          </w:tcPr>
          <w:p w14:paraId="41896FF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r>
      <w:tr w14:paraId="0A462E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0870BB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 (Baseline)</w:t>
            </w:r>
          </w:p>
        </w:tc>
        <w:tc>
          <w:tcPr>
            <w:tcW w:w="1029" w:type="dxa"/>
            <w:vAlign w:val="center"/>
          </w:tcPr>
          <w:p w14:paraId="5479BB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Cartesian LGR</w:t>
            </w:r>
          </w:p>
        </w:tc>
        <w:tc>
          <w:tcPr>
            <w:tcW w:w="1897" w:type="dxa"/>
            <w:vAlign w:val="center"/>
          </w:tcPr>
          <w:p w14:paraId="045836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2227" w:type="dxa"/>
            <w:vAlign w:val="center"/>
          </w:tcPr>
          <w:p w14:paraId="55D09C5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1482" w:type="dxa"/>
            <w:vAlign w:val="center"/>
          </w:tcPr>
          <w:p w14:paraId="025A9E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&gt;8.47</w:t>
            </w:r>
          </w:p>
        </w:tc>
        <w:tc>
          <w:tcPr>
            <w:tcW w:w="783" w:type="dxa"/>
            <w:vAlign w:val="center"/>
          </w:tcPr>
          <w:p w14:paraId="02042A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1.43</w:t>
            </w:r>
          </w:p>
        </w:tc>
      </w:tr>
    </w:tbl>
    <w:p w14:paraId="522E19C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Multi-point flux approximation methods (MPFA-O, MPFA-H, AvgMPFA) restore flux consistency on non-K-orthogonal grids at the cost of enlarged flux stencils (7-27 points in 2D). A direct comparison between PEBI+TPFA and an MPFA-type scheme on an identical unstructured grid would quantify the trade-off between mesh-generation effort and stencil complexity; such a comparison is reserved for future work (Section 4.3). Based on the diagonal dominance analysis, the mesh-isolation experiment (Table 11, Configuration B) provides a lower bound on the geometric contribution: K-orthogonality alone accounts for approximately a 1.81x reduction in GMRES iterations relative to a non-K-orthogonal grid of equivalent cell count under identical CPR-SA-AMG preconditioning.</w:t>
      </w:r>
    </w:p>
    <w:p w14:paraId="5BD977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factorial analysis reveals that both the mesh contribution (B - A = +17 iterations, +1.56 s) and the solver contribution (C - A = +291 iterations, +6.16 s) are substantial, but the solver improvement accounts for the larger share of total speedup. Importantly, the mesh improvement is a prerequisite for maximizing the solver benefit: the PEBI mesh reduces the diagonal dominance deficit, enabling SA-AMG to achieve a convergence factor of 0.31 versus 0.45 on Cartesian LGR. Eclipse-100 (Schlumberger, 2023) employs Nested Factorization (NF) rather than AMG-type preconditioning, so the Cartesian LGR + CPR-SA-AMG configuration (Configuration B) serves as the closest available proxy for Eclipse + CPR-SA-AMG.</w:t>
      </w:r>
    </w:p>
    <w:p w14:paraId="28D808B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Memory breakdown (per rank, PEBI + CPR-SA-AMG): Jacobian matrix 0.9 GB, AMG hierarchy (5 levels) 1.4 GB, Krylov subspace vectors 0.5 GB, MPI buffers 0.2 GB, other 0.2 GB. Total: 3.2 GB/rank.</w:t>
      </w:r>
    </w:p>
    <w:p w14:paraId="58933A7E">
      <w:pPr>
        <w:pStyle w:val="4"/>
        <w:spacing w:before="120" w:after="60" w:line="360" w:lineRule="auto"/>
        <w:jc w:val="left"/>
        <w:rPr>
          <w:rFonts w:ascii="Times New Roman" w:hAnsi="Times New Roman" w:cs="Times New Roman"/>
          <w:color w:val="auto"/>
          <w:sz w:val="24"/>
          <w:szCs w:val="24"/>
        </w:rPr>
      </w:pPr>
      <w:bookmarkStart w:id="16" w:name="parallel-scalability"/>
      <w:r>
        <w:rPr>
          <w:rFonts w:ascii="Times New Roman" w:hAnsi="Times New Roman" w:cs="Times New Roman"/>
          <w:b/>
          <w:bCs/>
          <w:color w:val="auto"/>
          <w:sz w:val="24"/>
          <w:szCs w:val="24"/>
        </w:rPr>
        <w:t>3.5 Parallel Scalability</w:t>
      </w:r>
      <w:bookmarkEnd w:id="16"/>
    </w:p>
    <w:p w14:paraId="15797BA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Strong-scaling performance is evaluated by varying the number of MPI ranks from 64 to 1,024 while keeping the 32-million-cell problem size fixed. Weak-scaling performance is evaluated by increasing both the problem size and the number of MPI ranks proportionally, maintaining a constant workload of 62,500 cells per rank.</w:t>
      </w:r>
    </w:p>
    <w:p w14:paraId="27B36C65">
      <w:pPr>
        <w:pStyle w:val="34"/>
        <w:rPr>
          <w:color w:val="auto"/>
        </w:rPr>
      </w:pPr>
      <w:r>
        <w:rPr>
          <w:color w:val="auto"/>
        </w:rPr>
        <w:drawing>
          <wp:inline distT="0" distB="0" distL="114300" distR="114300">
            <wp:extent cx="5334000" cy="2153285"/>
            <wp:effectExtent l="0" t="0" r="0" b="0"/>
            <wp:doc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pic:cNvPicPr>
                      <a:picLocks noChangeAspect="1" noChangeArrowheads="1"/>
                    </pic:cNvPicPr>
                  </pic:nvPicPr>
                  <pic:blipFill>
                    <a:blip r:embed="rId13"/>
                    <a:stretch>
                      <a:fillRect/>
                    </a:stretch>
                  </pic:blipFill>
                  <pic:spPr>
                    <a:xfrm>
                      <a:off x="0" y="0"/>
                      <a:ext cx="5334000" cy="2153555"/>
                    </a:xfrm>
                    <a:prstGeom prst="rect">
                      <a:avLst/>
                    </a:prstGeom>
                    <a:noFill/>
                    <a:ln w="9525">
                      <a:noFill/>
                    </a:ln>
                  </pic:spPr>
                </pic:pic>
              </a:graphicData>
            </a:graphic>
          </wp:inline>
        </w:drawing>
      </w:r>
    </w:p>
    <w:p w14:paraId="0F2E3700">
      <w:pPr>
        <w:pStyle w:val="12"/>
        <w:spacing w:before="0" w:after="0" w:line="300" w:lineRule="auto"/>
        <w:jc w:val="center"/>
        <w:rPr>
          <w:rFonts w:ascii="Times New Roman" w:hAnsi="Times New Roman" w:cs="Times New Roman"/>
          <w:color w:val="auto"/>
          <w:sz w:val="20"/>
          <w:szCs w:val="20"/>
        </w:rPr>
      </w:pPr>
      <w:r>
        <w:rPr>
          <w:rFonts w:ascii="Times New Roman" w:hAnsi="Times New Roman"/>
          <w:sz w:val="20"/>
        </w:rPr>
        <w:t>Fig. 9. Parallel scaling characteristics. (a) Strong-scaling speedup: measured (solid curve), ideal linear (dashed), and Amdahl fit (dotted, serial fraction f = 0.002)</w:t>
      </w:r>
    </w:p>
    <w:p w14:paraId="20099AB9">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12: Strong-scaling data and communication analysis.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96"/>
        <w:gridCol w:w="1191"/>
        <w:gridCol w:w="1430"/>
        <w:gridCol w:w="1552"/>
        <w:gridCol w:w="2074"/>
        <w:gridCol w:w="1413"/>
      </w:tblGrid>
      <w:tr w14:paraId="5A8FF0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999" w:type="dxa"/>
            <w:tcBorders>
              <w:bottom w:val="single" w:color="auto" w:sz="0" w:space="0"/>
            </w:tcBorders>
            <w:vAlign w:val="center"/>
          </w:tcPr>
          <w:p w14:paraId="7B8DEFFE">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Cores</w:t>
            </w:r>
          </w:p>
        </w:tc>
        <w:tc>
          <w:tcPr>
            <w:tcW w:w="0" w:type="auto"/>
            <w:tcBorders>
              <w:bottom w:val="single" w:color="auto" w:sz="0" w:space="0"/>
            </w:tcBorders>
            <w:vAlign w:val="center"/>
          </w:tcPr>
          <w:p w14:paraId="203B83B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Wall Time </w:t>
            </w:r>
          </w:p>
          <w:p w14:paraId="11144D5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408BCE0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Speedup</w:t>
            </w:r>
          </w:p>
        </w:tc>
        <w:tc>
          <w:tcPr>
            <w:tcW w:w="0" w:type="auto"/>
            <w:tcBorders>
              <w:bottom w:val="single" w:color="auto" w:sz="0" w:space="0"/>
            </w:tcBorders>
            <w:vAlign w:val="center"/>
          </w:tcPr>
          <w:p w14:paraId="2EABF47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Efficiency</w:t>
            </w:r>
          </w:p>
        </w:tc>
        <w:tc>
          <w:tcPr>
            <w:tcW w:w="2003" w:type="dxa"/>
            <w:tcBorders>
              <w:bottom w:val="single" w:color="auto" w:sz="0" w:space="0"/>
            </w:tcBorders>
            <w:vAlign w:val="center"/>
          </w:tcPr>
          <w:p w14:paraId="3638011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Communication Fraction</w:t>
            </w:r>
          </w:p>
        </w:tc>
        <w:tc>
          <w:tcPr>
            <w:tcW w:w="2022" w:type="dxa"/>
            <w:tcBorders>
              <w:bottom w:val="single" w:color="auto" w:sz="0" w:space="0"/>
            </w:tcBorders>
            <w:vAlign w:val="center"/>
          </w:tcPr>
          <w:p w14:paraId="1B57AC9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Load Imbalance</w:t>
            </w:r>
          </w:p>
        </w:tc>
      </w:tr>
      <w:tr w14:paraId="6CF9D5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12D666B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w:t>
            </w:r>
          </w:p>
        </w:tc>
        <w:tc>
          <w:tcPr>
            <w:tcW w:w="0" w:type="auto"/>
            <w:vAlign w:val="center"/>
          </w:tcPr>
          <w:p w14:paraId="58C5F8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4 820</w:t>
            </w:r>
          </w:p>
        </w:tc>
        <w:tc>
          <w:tcPr>
            <w:tcW w:w="0" w:type="auto"/>
            <w:vAlign w:val="center"/>
          </w:tcPr>
          <w:p w14:paraId="7B456BA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0" w:type="auto"/>
            <w:vAlign w:val="center"/>
          </w:tcPr>
          <w:p w14:paraId="55AF6E6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2003" w:type="dxa"/>
            <w:vAlign w:val="center"/>
          </w:tcPr>
          <w:p w14:paraId="7B7565E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c>
          <w:tcPr>
            <w:tcW w:w="2022" w:type="dxa"/>
            <w:vAlign w:val="center"/>
          </w:tcPr>
          <w:p w14:paraId="3EF3E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w:t>
            </w:r>
          </w:p>
        </w:tc>
      </w:tr>
      <w:tr w14:paraId="497173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6B5A100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128</w:t>
            </w:r>
          </w:p>
        </w:tc>
        <w:tc>
          <w:tcPr>
            <w:tcW w:w="0" w:type="auto"/>
            <w:vAlign w:val="center"/>
          </w:tcPr>
          <w:p w14:paraId="3E5E1E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2 470</w:t>
            </w:r>
          </w:p>
        </w:tc>
        <w:tc>
          <w:tcPr>
            <w:tcW w:w="0" w:type="auto"/>
            <w:vAlign w:val="center"/>
          </w:tcPr>
          <w:p w14:paraId="77F1027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1.95</w:t>
            </w:r>
          </w:p>
        </w:tc>
        <w:tc>
          <w:tcPr>
            <w:tcW w:w="0" w:type="auto"/>
            <w:vAlign w:val="center"/>
          </w:tcPr>
          <w:p w14:paraId="5B8B9E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97.5%</w:t>
            </w:r>
          </w:p>
        </w:tc>
        <w:tc>
          <w:tcPr>
            <w:tcW w:w="2003" w:type="dxa"/>
            <w:vAlign w:val="center"/>
          </w:tcPr>
          <w:p w14:paraId="233573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6.1%</w:t>
            </w:r>
          </w:p>
        </w:tc>
        <w:tc>
          <w:tcPr>
            <w:tcW w:w="2022" w:type="dxa"/>
            <w:vAlign w:val="center"/>
          </w:tcPr>
          <w:p w14:paraId="0EC1CD8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r>
      <w:tr w14:paraId="40A32E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5145505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256</w:t>
            </w:r>
          </w:p>
        </w:tc>
        <w:tc>
          <w:tcPr>
            <w:tcW w:w="0" w:type="auto"/>
            <w:vAlign w:val="center"/>
          </w:tcPr>
          <w:p w14:paraId="6A2346A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1 330</w:t>
            </w:r>
          </w:p>
        </w:tc>
        <w:tc>
          <w:tcPr>
            <w:tcW w:w="0" w:type="auto"/>
            <w:vAlign w:val="center"/>
          </w:tcPr>
          <w:p w14:paraId="2365CC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3.62</w:t>
            </w:r>
          </w:p>
        </w:tc>
        <w:tc>
          <w:tcPr>
            <w:tcW w:w="0" w:type="auto"/>
            <w:vAlign w:val="center"/>
          </w:tcPr>
          <w:p w14:paraId="22D65DA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90.1%</w:t>
            </w:r>
          </w:p>
        </w:tc>
        <w:tc>
          <w:tcPr>
            <w:tcW w:w="2003" w:type="dxa"/>
            <w:vAlign w:val="center"/>
          </w:tcPr>
          <w:p w14:paraId="41F737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8.3%</w:t>
            </w:r>
          </w:p>
        </w:tc>
        <w:tc>
          <w:tcPr>
            <w:tcW w:w="2022" w:type="dxa"/>
            <w:vAlign w:val="center"/>
          </w:tcPr>
          <w:p w14:paraId="17B5FFA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0940A3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6A3185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512</w:t>
            </w:r>
          </w:p>
        </w:tc>
        <w:tc>
          <w:tcPr>
            <w:tcW w:w="0" w:type="auto"/>
            <w:vAlign w:val="center"/>
          </w:tcPr>
          <w:p w14:paraId="0F32E1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730</w:t>
            </w:r>
          </w:p>
        </w:tc>
        <w:tc>
          <w:tcPr>
            <w:tcW w:w="0" w:type="auto"/>
            <w:vAlign w:val="center"/>
          </w:tcPr>
          <w:p w14:paraId="5165D4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6.60</w:t>
            </w:r>
          </w:p>
        </w:tc>
        <w:tc>
          <w:tcPr>
            <w:tcW w:w="0" w:type="auto"/>
            <w:vAlign w:val="center"/>
          </w:tcPr>
          <w:p w14:paraId="09DF8B5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82.5%</w:t>
            </w:r>
          </w:p>
        </w:tc>
        <w:tc>
          <w:tcPr>
            <w:tcW w:w="2003" w:type="dxa"/>
            <w:vAlign w:val="center"/>
          </w:tcPr>
          <w:p w14:paraId="06A6CEF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10.8%</w:t>
            </w:r>
          </w:p>
        </w:tc>
        <w:tc>
          <w:tcPr>
            <w:tcW w:w="2022" w:type="dxa"/>
            <w:vAlign w:val="center"/>
          </w:tcPr>
          <w:p w14:paraId="705C6E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w:t>
            </w:r>
          </w:p>
        </w:tc>
      </w:tr>
      <w:tr w14:paraId="6C9536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175EE1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1377" w:type="dxa"/>
            <w:vAlign w:val="center"/>
          </w:tcPr>
          <w:p w14:paraId="21939CC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425</w:t>
            </w:r>
          </w:p>
        </w:tc>
        <w:tc>
          <w:tcPr>
            <w:tcW w:w="1168" w:type="dxa"/>
            <w:vAlign w:val="center"/>
          </w:tcPr>
          <w:p w14:paraId="5F8E99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11.34</w:t>
            </w:r>
          </w:p>
        </w:tc>
        <w:tc>
          <w:tcPr>
            <w:tcW w:w="1287" w:type="dxa"/>
            <w:vAlign w:val="center"/>
          </w:tcPr>
          <w:p w14:paraId="755E821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70.8%</w:t>
            </w:r>
          </w:p>
        </w:tc>
        <w:tc>
          <w:tcPr>
            <w:tcW w:w="2003" w:type="dxa"/>
            <w:vAlign w:val="center"/>
          </w:tcPr>
          <w:p w14:paraId="7A3802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15.7%</w:t>
            </w:r>
          </w:p>
        </w:tc>
        <w:tc>
          <w:tcPr>
            <w:tcW w:w="2022" w:type="dxa"/>
            <w:vAlign w:val="center"/>
          </w:tcPr>
          <w:p w14:paraId="39278E8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4.7%</w:t>
            </w:r>
          </w:p>
        </w:tc>
      </w:tr>
    </w:tbl>
    <w:p w14:paraId="23B2B657">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13: Weak-scaling data (62,500 cells per rank, 10 Newton steps, averaged).</w:t>
      </w:r>
    </w:p>
    <w:tbl>
      <w:tblPr>
        <w:tblStyle w:val="28"/>
        <w:tblW w:w="10779"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96"/>
        <w:gridCol w:w="1474"/>
        <w:gridCol w:w="3091"/>
        <w:gridCol w:w="2807"/>
        <w:gridCol w:w="2211"/>
      </w:tblGrid>
      <w:tr w14:paraId="4879B0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958" w:type="dxa"/>
            <w:tcBorders>
              <w:bottom w:val="single" w:color="auto" w:sz="0" w:space="0"/>
            </w:tcBorders>
            <w:vAlign w:val="center"/>
          </w:tcPr>
          <w:p w14:paraId="22A8BD4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Cores</w:t>
            </w:r>
          </w:p>
        </w:tc>
        <w:tc>
          <w:tcPr>
            <w:tcW w:w="1491" w:type="dxa"/>
            <w:tcBorders>
              <w:bottom w:val="single" w:color="auto" w:sz="0" w:space="0"/>
            </w:tcBorders>
            <w:vAlign w:val="center"/>
          </w:tcPr>
          <w:p w14:paraId="4CB0BAC1">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Total Cells</w:t>
            </w:r>
          </w:p>
        </w:tc>
        <w:tc>
          <w:tcPr>
            <w:tcW w:w="0" w:type="auto"/>
            <w:tcBorders>
              <w:bottom w:val="single" w:color="auto" w:sz="0" w:space="0"/>
            </w:tcBorders>
            <w:vAlign w:val="center"/>
          </w:tcPr>
          <w:p w14:paraId="5E991E0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Wall Time per Newton Step </w:t>
            </w:r>
          </w:p>
          <w:p w14:paraId="4D7CC35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7B136F5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Weak-Scaling Efficiency</w:t>
            </w:r>
          </w:p>
        </w:tc>
        <w:tc>
          <w:tcPr>
            <w:tcW w:w="2251" w:type="dxa"/>
            <w:tcBorders>
              <w:bottom w:val="single" w:color="auto" w:sz="0" w:space="0"/>
            </w:tcBorders>
            <w:vAlign w:val="center"/>
          </w:tcPr>
          <w:p w14:paraId="0F0B0F8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r>
      <w:tr w14:paraId="250359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33B4511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w:t>
            </w:r>
          </w:p>
        </w:tc>
        <w:tc>
          <w:tcPr>
            <w:tcW w:w="1491" w:type="dxa"/>
            <w:vAlign w:val="center"/>
          </w:tcPr>
          <w:p w14:paraId="53A73E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4.0 M</w:t>
            </w:r>
          </w:p>
        </w:tc>
        <w:tc>
          <w:tcPr>
            <w:tcW w:w="0" w:type="auto"/>
            <w:vAlign w:val="center"/>
          </w:tcPr>
          <w:p w14:paraId="521E3B6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126</w:t>
            </w:r>
          </w:p>
        </w:tc>
        <w:tc>
          <w:tcPr>
            <w:tcW w:w="0" w:type="auto"/>
            <w:vAlign w:val="center"/>
          </w:tcPr>
          <w:p w14:paraId="27AD90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 (baseline)</w:t>
            </w:r>
          </w:p>
        </w:tc>
        <w:tc>
          <w:tcPr>
            <w:tcW w:w="2251" w:type="dxa"/>
            <w:vAlign w:val="center"/>
          </w:tcPr>
          <w:p w14:paraId="3E133B1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r>
      <w:tr w14:paraId="77EA5F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4BB9551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128</w:t>
            </w:r>
          </w:p>
        </w:tc>
        <w:tc>
          <w:tcPr>
            <w:tcW w:w="1491" w:type="dxa"/>
            <w:vAlign w:val="center"/>
          </w:tcPr>
          <w:p w14:paraId="6552FF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8.0 M</w:t>
            </w:r>
          </w:p>
        </w:tc>
        <w:tc>
          <w:tcPr>
            <w:tcW w:w="0" w:type="auto"/>
            <w:vAlign w:val="center"/>
          </w:tcPr>
          <w:p w14:paraId="7FF934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129</w:t>
            </w:r>
          </w:p>
        </w:tc>
        <w:tc>
          <w:tcPr>
            <w:tcW w:w="0" w:type="auto"/>
            <w:vAlign w:val="center"/>
          </w:tcPr>
          <w:p w14:paraId="699ABD4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97.7%</w:t>
            </w:r>
          </w:p>
        </w:tc>
        <w:tc>
          <w:tcPr>
            <w:tcW w:w="2251" w:type="dxa"/>
            <w:vAlign w:val="center"/>
          </w:tcPr>
          <w:p w14:paraId="476FBDC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205664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1C8F8C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256</w:t>
            </w:r>
          </w:p>
        </w:tc>
        <w:tc>
          <w:tcPr>
            <w:tcW w:w="1491" w:type="dxa"/>
            <w:vAlign w:val="center"/>
          </w:tcPr>
          <w:p w14:paraId="6370D1A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16.0 M</w:t>
            </w:r>
          </w:p>
        </w:tc>
        <w:tc>
          <w:tcPr>
            <w:tcW w:w="0" w:type="auto"/>
            <w:vAlign w:val="center"/>
          </w:tcPr>
          <w:p w14:paraId="226858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132</w:t>
            </w:r>
          </w:p>
        </w:tc>
        <w:tc>
          <w:tcPr>
            <w:tcW w:w="0" w:type="auto"/>
            <w:vAlign w:val="center"/>
          </w:tcPr>
          <w:p w14:paraId="371D5E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95.5%</w:t>
            </w:r>
          </w:p>
        </w:tc>
        <w:tc>
          <w:tcPr>
            <w:tcW w:w="2251" w:type="dxa"/>
            <w:vAlign w:val="center"/>
          </w:tcPr>
          <w:p w14:paraId="0ACA4FF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r>
      <w:tr w14:paraId="3515F8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37D384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512</w:t>
            </w:r>
          </w:p>
        </w:tc>
        <w:tc>
          <w:tcPr>
            <w:tcW w:w="1491" w:type="dxa"/>
            <w:vAlign w:val="center"/>
          </w:tcPr>
          <w:p w14:paraId="2066C6D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32.0 M</w:t>
            </w:r>
          </w:p>
        </w:tc>
        <w:tc>
          <w:tcPr>
            <w:tcW w:w="0" w:type="auto"/>
            <w:vAlign w:val="center"/>
          </w:tcPr>
          <w:p w14:paraId="0D2C334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138</w:t>
            </w:r>
          </w:p>
        </w:tc>
        <w:tc>
          <w:tcPr>
            <w:tcW w:w="0" w:type="auto"/>
            <w:vAlign w:val="center"/>
          </w:tcPr>
          <w:p w14:paraId="1492BC8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91.3%</w:t>
            </w:r>
          </w:p>
        </w:tc>
        <w:tc>
          <w:tcPr>
            <w:tcW w:w="2251" w:type="dxa"/>
            <w:vAlign w:val="center"/>
          </w:tcPr>
          <w:p w14:paraId="0A2629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0F1152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6C259E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1491" w:type="dxa"/>
            <w:vAlign w:val="center"/>
          </w:tcPr>
          <w:p w14:paraId="5B3CCAF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64.0 M</w:t>
            </w:r>
          </w:p>
        </w:tc>
        <w:tc>
          <w:tcPr>
            <w:tcW w:w="3193" w:type="dxa"/>
            <w:vAlign w:val="center"/>
          </w:tcPr>
          <w:p w14:paraId="63D6528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147</w:t>
            </w:r>
          </w:p>
        </w:tc>
        <w:tc>
          <w:tcPr>
            <w:tcW w:w="2886" w:type="dxa"/>
            <w:vAlign w:val="center"/>
          </w:tcPr>
          <w:p w14:paraId="71E7581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85.7%</w:t>
            </w:r>
          </w:p>
        </w:tc>
        <w:tc>
          <w:tcPr>
            <w:tcW w:w="2251" w:type="dxa"/>
            <w:vAlign w:val="center"/>
          </w:tcPr>
          <w:p w14:paraId="4894F1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w:t>
            </w:r>
          </w:p>
        </w:tc>
      </w:tr>
    </w:tbl>
    <w:p w14:paraId="72B1D53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The data in Fig. 9 and Tables 12-13 show that physics-weighted partitioning reduces load imbalance from 18.5% (unweighted ParMETIS) to 3.2% at 512 cores. The strong-scaling efficiency loss beyond 512 cores is attributable to global MPI_Allreduce operations on the coarsest AMG levels (Amdahl, 1967; Gustafson, 1988). Under weak scaling, GMRES iterations remain stable at 21-23 across all tested core counts.</w:t>
      </w:r>
    </w:p>
    <w:p w14:paraId="760ABBEB">
      <w:pPr>
        <w:pStyle w:val="3"/>
        <w:spacing w:before="0" w:after="0" w:line="360" w:lineRule="auto"/>
        <w:ind w:firstLine="480" w:firstLineChars="200"/>
        <w:jc w:val="both"/>
        <w:rPr>
          <w:rFonts w:ascii="Times New Roman" w:hAnsi="Times New Roman" w:cs="Times New Roman"/>
          <w:color w:val="auto"/>
          <w:sz w:val="24"/>
          <w:szCs w:val="24"/>
        </w:rPr>
      </w:pPr>
    </w:p>
    <w:p w14:paraId="489735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assess practical viability, the mesh-generation pipeline was benchmarked on the 32-million-cell base configuration using a single node (64 cores). The five-stage pipeline required 1,247 s total wall-clock time: constrained point seeding (42 s), CDT construction (218 s), Ruppert refinement (531 s), Voronoi dual extraction (189 s), and Lloyd smoothing (267 s, 50 iterations). This one-time preprocessing cost represents approximately 2.6% of a single ten-year production forecast (13.4 h on 512 cores) and is amortized after the second simulation run. For Monte Carlo ensemble studies (n = 25 in Section 3.6), the embarrassingly parallel nature of mesh generation reduces wall-clock time linearly with available nodes. For comparison, generating an equivalently resolved seven-level nested Cartesian LGR grid required 894 s, confirming the PEBI pipeline introduces no prohibitive preprocessing overhead.</w:t>
      </w:r>
    </w:p>
    <w:p w14:paraId="2D95BF62">
      <w:pPr>
        <w:pStyle w:val="4"/>
        <w:spacing w:before="120" w:after="60" w:line="360" w:lineRule="auto"/>
        <w:jc w:val="left"/>
        <w:rPr>
          <w:rFonts w:ascii="Times New Roman" w:hAnsi="Times New Roman" w:cs="Times New Roman"/>
          <w:color w:val="auto"/>
          <w:sz w:val="24"/>
          <w:szCs w:val="24"/>
        </w:rPr>
      </w:pPr>
      <w:bookmarkStart w:id="17" w:name="dfn-robustness"/>
      <w:r>
        <w:rPr>
          <w:rFonts w:ascii="Times New Roman" w:hAnsi="Times New Roman" w:cs="Times New Roman"/>
          <w:b/>
          <w:bCs/>
          <w:color w:val="auto"/>
          <w:sz w:val="24"/>
          <w:szCs w:val="24"/>
        </w:rPr>
        <w:t>3.6 DFN Robustness</w:t>
      </w:r>
      <w:bookmarkEnd w:id="17"/>
    </w:p>
    <w:p w14:paraId="774AA45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evaluate robustness under geological complexity, a stochastic DFN comprising 1,247 natural fractures is superimposed on the base model. A single baseline DFN realization (seed 0) is used for all deterministic comparisons; the Monte Carlo ensemble (n = 25) quantifies statistical variability. The single-realization condition number ratio is 2.87x; the ensemble yields 2.94 +/- 0.41x (mean +/- 1 sigma, n = 25).</w:t>
      </w:r>
    </w:p>
    <w:p w14:paraId="6E98FEE6">
      <w:pPr>
        <w:pStyle w:val="34"/>
        <w:rPr>
          <w:color w:val="auto"/>
        </w:rPr>
      </w:pPr>
      <w:r>
        <w:rPr>
          <w:color w:val="auto"/>
        </w:rPr>
        <w:drawing>
          <wp:inline distT="0" distB="0" distL="114300" distR="114300">
            <wp:extent cx="5334000" cy="2414905"/>
            <wp:effectExtent l="0" t="0" r="0" b="0"/>
            <wp:doc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pic:cNvPicPr>
                      <a:picLocks noChangeAspect="1" noChangeArrowheads="1"/>
                    </pic:cNvPicPr>
                  </pic:nvPicPr>
                  <pic:blipFill>
                    <a:blip r:embed="rId14"/>
                    <a:stretch>
                      <a:fillRect/>
                    </a:stretch>
                  </pic:blipFill>
                  <pic:spPr>
                    <a:xfrm>
                      <a:off x="0" y="0"/>
                      <a:ext cx="5334000" cy="2415474"/>
                    </a:xfrm>
                    <a:prstGeom prst="rect">
                      <a:avLst/>
                    </a:prstGeom>
                    <a:noFill/>
                    <a:ln w="9525">
                      <a:noFill/>
                    </a:ln>
                  </pic:spPr>
                </pic:pic>
              </a:graphicData>
            </a:graphic>
          </wp:inline>
        </w:drawing>
      </w:r>
    </w:p>
    <w:p w14:paraId="3C4FF157">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w:t>
      </w:r>
    </w:p>
    <w:p w14:paraId="384F0AB4">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14: Algebraic conditioning and solver performance under DFN insertion (n = 25 Monte Carlo realizations).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9"/>
        <w:gridCol w:w="1531"/>
        <w:gridCol w:w="1831"/>
        <w:gridCol w:w="1790"/>
        <w:gridCol w:w="1825"/>
      </w:tblGrid>
      <w:tr w14:paraId="443C4A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w14:paraId="3F8F798A">
            <w:pPr>
              <w:pStyle w:val="24"/>
              <w:snapToGrid w:val="0"/>
              <w:spacing w:before="0" w:after="0"/>
              <w:jc w:val="left"/>
              <w:rPr>
                <w:color w:val="auto"/>
              </w:rPr>
            </w:pPr>
            <w:r>
              <w:rPr>
                <w:rFonts w:ascii="Times New Roman" w:hAnsi="Times New Roman" w:cs="Times New Roman"/>
                <w:b/>
                <w:bCs/>
                <w:color w:val="auto"/>
                <w:sz w:val="20"/>
                <w:szCs w:val="20"/>
              </w:rPr>
              <w:t>Metric</w:t>
            </w:r>
          </w:p>
        </w:tc>
        <w:tc>
          <w:tcPr>
            <w:tcW w:w="0" w:type="auto"/>
            <w:tcBorders>
              <w:bottom w:val="single" w:color="auto" w:sz="0" w:space="0"/>
            </w:tcBorders>
            <w:vAlign w:val="bottom"/>
          </w:tcPr>
          <w:p w14:paraId="4C933025">
            <w:pPr>
              <w:pStyle w:val="24"/>
              <w:snapToGrid w:val="0"/>
              <w:spacing w:before="0" w:after="0"/>
              <w:jc w:val="left"/>
              <w:rPr>
                <w:color w:val="auto"/>
              </w:rPr>
            </w:pPr>
            <w:r>
              <w:rPr>
                <w:rFonts w:ascii="Times New Roman" w:hAnsi="Times New Roman" w:cs="Times New Roman"/>
                <w:b/>
                <w:bCs/>
                <w:color w:val="auto"/>
                <w:sz w:val="20"/>
                <w:szCs w:val="20"/>
              </w:rPr>
              <w:t>No DFN</w:t>
            </w:r>
          </w:p>
        </w:tc>
        <w:tc>
          <w:tcPr>
            <w:tcW w:w="0" w:type="auto"/>
            <w:tcBorders>
              <w:bottom w:val="single" w:color="auto" w:sz="0" w:space="0"/>
            </w:tcBorders>
            <w:vAlign w:val="bottom"/>
          </w:tcPr>
          <w:p w14:paraId="7FF07ABF">
            <w:pPr>
              <w:pStyle w:val="24"/>
              <w:snapToGrid w:val="0"/>
              <w:spacing w:before="0" w:after="0"/>
              <w:jc w:val="left"/>
              <w:rPr>
                <w:color w:val="auto"/>
              </w:rPr>
            </w:pPr>
            <w:r>
              <w:rPr>
                <w:rFonts w:ascii="Times New Roman" w:hAnsi="Times New Roman" w:cs="Times New Roman"/>
                <w:b/>
                <w:bCs/>
                <w:color w:val="auto"/>
                <w:sz w:val="20"/>
                <w:szCs w:val="20"/>
              </w:rPr>
              <w:t>Proposed PEBI (DFN)</w:t>
            </w:r>
          </w:p>
        </w:tc>
        <w:tc>
          <w:tcPr>
            <w:tcW w:w="0" w:type="auto"/>
            <w:tcBorders>
              <w:bottom w:val="single" w:color="auto" w:sz="0" w:space="0"/>
            </w:tcBorders>
            <w:vAlign w:val="bottom"/>
          </w:tcPr>
          <w:p w14:paraId="7DE158F7">
            <w:pPr>
              <w:pStyle w:val="24"/>
              <w:snapToGrid w:val="0"/>
              <w:spacing w:before="0" w:after="0"/>
              <w:jc w:val="left"/>
              <w:rPr>
                <w:color w:val="auto"/>
              </w:rPr>
            </w:pPr>
            <w:r>
              <w:rPr>
                <w:rFonts w:ascii="Times New Roman" w:hAnsi="Times New Roman" w:cs="Times New Roman"/>
                <w:b/>
                <w:bCs/>
                <w:color w:val="auto"/>
                <w:sz w:val="20"/>
                <w:szCs w:val="20"/>
              </w:rPr>
              <w:t>Standard Unstructured (DFN)</w:t>
            </w:r>
          </w:p>
        </w:tc>
        <w:tc>
          <w:tcPr>
            <w:tcW w:w="1825" w:type="dxa"/>
            <w:tcBorders>
              <w:bottom w:val="single" w:color="auto" w:sz="0" w:space="0"/>
            </w:tcBorders>
            <w:vAlign w:val="bottom"/>
          </w:tcPr>
          <w:p w14:paraId="75A9CB0C">
            <w:pPr>
              <w:pStyle w:val="24"/>
              <w:snapToGrid w:val="0"/>
              <w:spacing w:before="0" w:after="0"/>
              <w:jc w:val="left"/>
              <w:rPr>
                <w:color w:val="auto"/>
              </w:rPr>
            </w:pPr>
            <w:r>
              <w:rPr>
                <w:rFonts w:ascii="Times New Roman" w:hAnsi="Times New Roman" w:cs="Times New Roman"/>
                <w:b/>
                <w:bCs/>
                <w:color w:val="auto"/>
                <w:sz w:val="20"/>
                <w:szCs w:val="20"/>
              </w:rPr>
              <w:t>Cartesian LGR (DFN)</w:t>
            </w:r>
          </w:p>
        </w:tc>
      </w:tr>
      <w:tr w14:paraId="0DDC9B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32749B54">
            <w:pPr>
              <w:pStyle w:val="24"/>
              <w:snapToGrid w:val="0"/>
              <w:spacing w:before="0" w:after="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0" w:type="auto"/>
          </w:tcPr>
          <w:p w14:paraId="1883EB12">
            <w:pPr>
              <w:pStyle w:val="24"/>
              <w:snapToGrid w:val="0"/>
              <w:spacing w:before="0" w:after="0"/>
              <w:jc w:val="left"/>
              <w:rPr>
                <w:color w:val="auto"/>
              </w:rPr>
            </w:pPr>
            <w:r>
              <w:rPr>
                <w:rFonts w:ascii="Times New Roman" w:hAnsi="Times New Roman" w:cs="Times New Roman"/>
                <w:color w:val="auto"/>
                <w:sz w:val="20"/>
                <w:szCs w:val="20"/>
              </w:rPr>
              <w:t>97.1%</w:t>
            </w:r>
          </w:p>
        </w:tc>
        <w:tc>
          <w:tcPr>
            <w:tcW w:w="0" w:type="auto"/>
          </w:tcPr>
          <w:p w14:paraId="31E627BD">
            <w:pPr>
              <w:pStyle w:val="24"/>
              <w:snapToGrid w:val="0"/>
              <w:spacing w:before="0" w:after="0"/>
              <w:jc w:val="left"/>
              <w:rPr>
                <w:color w:val="auto"/>
              </w:rPr>
            </w:pPr>
            <w:r>
              <w:rPr>
                <w:rFonts w:ascii="Times New Roman" w:hAnsi="Times New Roman" w:cs="Times New Roman"/>
                <w:color w:val="auto"/>
                <w:sz w:val="20"/>
                <w:szCs w:val="20"/>
              </w:rPr>
              <w:t>95.3%</w:t>
            </w:r>
          </w:p>
        </w:tc>
        <w:tc>
          <w:tcPr>
            <w:tcW w:w="0" w:type="auto"/>
          </w:tcPr>
          <w:p w14:paraId="45074B1C">
            <w:pPr>
              <w:pStyle w:val="24"/>
              <w:snapToGrid w:val="0"/>
              <w:spacing w:before="0" w:after="0"/>
              <w:jc w:val="left"/>
              <w:rPr>
                <w:color w:val="auto"/>
              </w:rPr>
            </w:pPr>
            <w:r>
              <w:rPr>
                <w:rFonts w:ascii="Times New Roman" w:hAnsi="Times New Roman" w:cs="Times New Roman"/>
                <w:color w:val="auto"/>
                <w:sz w:val="20"/>
                <w:szCs w:val="20"/>
              </w:rPr>
              <w:t>81.2%</w:t>
            </w:r>
          </w:p>
        </w:tc>
        <w:tc>
          <w:tcPr>
            <w:tcW w:w="1825" w:type="dxa"/>
          </w:tcPr>
          <w:p w14:paraId="2557908C">
            <w:pPr>
              <w:pStyle w:val="24"/>
              <w:snapToGrid w:val="0"/>
              <w:spacing w:before="0" w:after="0"/>
              <w:jc w:val="left"/>
              <w:rPr>
                <w:color w:val="auto"/>
              </w:rPr>
            </w:pPr>
            <w:r>
              <w:rPr>
                <w:rFonts w:ascii="Times New Roman" w:hAnsi="Times New Roman" w:cs="Times New Roman"/>
                <w:color w:val="auto"/>
                <w:sz w:val="20"/>
                <w:szCs w:val="20"/>
              </w:rPr>
              <w:t>58.7%</w:t>
            </w:r>
          </w:p>
        </w:tc>
      </w:tr>
      <w:tr w14:paraId="5AA7CA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2D3247EF">
            <w:pPr>
              <w:pStyle w:val="24"/>
              <w:snapToGrid w:val="0"/>
              <w:spacing w:before="0" w:after="0"/>
              <w:jc w:val="left"/>
              <w:rPr>
                <w:color w:val="auto"/>
              </w:rPr>
            </w:pPr>
            <w:r>
              <w:rPr>
                <w:rFonts w:ascii="Times New Roman" w:hAnsi="Times New Roman" w:cs="Times New Roman"/>
                <w:color w:val="auto"/>
                <w:sz w:val="20"/>
                <w:szCs w:val="20"/>
              </w:rPr>
              <w:t>Maximum aspect ratio</w:t>
            </w:r>
          </w:p>
        </w:tc>
        <w:tc>
          <w:tcPr>
            <w:tcW w:w="0" w:type="auto"/>
          </w:tcPr>
          <w:p w14:paraId="657A4B73">
            <w:pPr>
              <w:pStyle w:val="24"/>
              <w:snapToGrid w:val="0"/>
              <w:spacing w:before="0" w:after="0"/>
              <w:jc w:val="left"/>
              <w:rPr>
                <w:color w:val="auto"/>
              </w:rPr>
            </w:pPr>
            <w:r>
              <w:rPr>
                <w:rFonts w:ascii="Times New Roman" w:hAnsi="Times New Roman" w:cs="Times New Roman"/>
                <w:color w:val="auto"/>
                <w:sz w:val="20"/>
                <w:szCs w:val="20"/>
              </w:rPr>
              <w:t>3.8</w:t>
            </w:r>
          </w:p>
        </w:tc>
        <w:tc>
          <w:tcPr>
            <w:tcW w:w="0" w:type="auto"/>
          </w:tcPr>
          <w:p w14:paraId="4E9AF441">
            <w:pPr>
              <w:pStyle w:val="24"/>
              <w:snapToGrid w:val="0"/>
              <w:spacing w:before="0" w:after="0"/>
              <w:jc w:val="left"/>
              <w:rPr>
                <w:color w:val="auto"/>
              </w:rPr>
            </w:pPr>
            <w:r>
              <w:rPr>
                <w:rFonts w:ascii="Times New Roman" w:hAnsi="Times New Roman" w:cs="Times New Roman"/>
                <w:color w:val="auto"/>
                <w:sz w:val="20"/>
                <w:szCs w:val="20"/>
              </w:rPr>
              <w:t>4.7</w:t>
            </w:r>
          </w:p>
        </w:tc>
        <w:tc>
          <w:tcPr>
            <w:tcW w:w="0" w:type="auto"/>
          </w:tcPr>
          <w:p w14:paraId="63C70D89">
            <w:pPr>
              <w:pStyle w:val="24"/>
              <w:snapToGrid w:val="0"/>
              <w:spacing w:before="0" w:after="0"/>
              <w:jc w:val="left"/>
              <w:rPr>
                <w:color w:val="auto"/>
              </w:rPr>
            </w:pPr>
            <w:r>
              <w:rPr>
                <w:rFonts w:ascii="Times New Roman" w:hAnsi="Times New Roman" w:cs="Times New Roman"/>
                <w:color w:val="auto"/>
                <w:sz w:val="20"/>
                <w:szCs w:val="20"/>
              </w:rPr>
              <w:t>12.3</w:t>
            </w:r>
          </w:p>
        </w:tc>
        <w:tc>
          <w:tcPr>
            <w:tcW w:w="1825" w:type="dxa"/>
          </w:tcPr>
          <w:p w14:paraId="18C90BBD">
            <w:pPr>
              <w:pStyle w:val="24"/>
              <w:snapToGrid w:val="0"/>
              <w:spacing w:before="0" w:after="0"/>
              <w:jc w:val="left"/>
              <w:rPr>
                <w:color w:val="auto"/>
              </w:rPr>
            </w:pPr>
            <w:r>
              <w:rPr>
                <w:rFonts w:ascii="Times New Roman" w:hAnsi="Times New Roman" w:cs="Times New Roman"/>
                <w:color w:val="auto"/>
                <w:sz w:val="20"/>
                <w:szCs w:val="20"/>
              </w:rPr>
              <w:t>9.1</w:t>
            </w:r>
          </w:p>
        </w:tc>
      </w:tr>
      <w:tr w14:paraId="136ED4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56CDC26F">
            <w:pPr>
              <w:pStyle w:val="24"/>
              <w:snapToGrid w:val="0"/>
              <w:spacing w:before="0" w:after="0"/>
              <w:jc w:val="left"/>
              <w:rPr>
                <w:color w:val="auto"/>
              </w:rPr>
            </w:pPr>
            <m:oMathPara>
              <m:oMath>
                <m:r>
                  <m:rPr/>
                  <w:rPr>
                    <w:color w:val="auto"/>
                  </w:rPr>
                  <m:t>κ(A)/</m:t>
                </m:r>
                <m:sSub>
                  <m:sSubPr>
                    <m:ctrlPr>
                      <w:rPr>
                        <w:color w:val="auto"/>
                      </w:rPr>
                    </m:ctrlPr>
                  </m:sSubPr>
                  <m:e>
                    <m:r>
                      <m:rPr/>
                      <w:rPr>
                        <w:color w:val="auto"/>
                      </w:rPr>
                      <m:t>κ</m:t>
                    </m:r>
                    <m:ctrlPr>
                      <w:rPr>
                        <w:color w:val="auto"/>
                      </w:rPr>
                    </m:ctrlPr>
                  </m:e>
                  <m:sub>
                    <m:r>
                      <m:rPr/>
                      <w:rPr>
                        <w:color w:val="auto"/>
                      </w:rPr>
                      <m:t>0</m:t>
                    </m:r>
                    <m:ctrlPr>
                      <w:rPr>
                        <w:color w:val="auto"/>
                      </w:rPr>
                    </m:ctrlPr>
                  </m:sub>
                </m:sSub>
                <m:r>
                  <m:rPr/>
                  <w:rPr>
                    <w:color w:val="auto"/>
                  </w:rPr>
                  <m:t>(A)</m:t>
                </m:r>
              </m:oMath>
            </m:oMathPara>
          </w:p>
        </w:tc>
        <w:tc>
          <w:tcPr>
            <w:tcW w:w="0" w:type="auto"/>
          </w:tcPr>
          <w:p w14:paraId="1E41923B">
            <w:pPr>
              <w:pStyle w:val="24"/>
              <w:snapToGrid w:val="0"/>
              <w:spacing w:before="0" w:after="0"/>
              <w:jc w:val="left"/>
              <w:rPr>
                <w:color w:val="auto"/>
              </w:rPr>
            </w:pPr>
            <w:r>
              <w:rPr>
                <w:rFonts w:ascii="Times New Roman" w:hAnsi="Times New Roman" w:cs="Times New Roman"/>
                <w:color w:val="auto"/>
                <w:sz w:val="20"/>
                <w:szCs w:val="20"/>
              </w:rPr>
              <w:t>1.00</w:t>
            </w:r>
          </w:p>
        </w:tc>
        <w:tc>
          <w:tcPr>
            <w:tcW w:w="0" w:type="auto"/>
          </w:tcPr>
          <w:p w14:paraId="1607F95F">
            <w:pPr>
              <w:pStyle w:val="24"/>
              <w:snapToGrid w:val="0"/>
              <w:spacing w:before="0" w:after="0"/>
              <w:jc w:val="left"/>
              <w:rPr>
                <w:color w:val="auto"/>
              </w:rPr>
            </w:pPr>
            <w:r>
              <w:rPr>
                <w:rFonts w:ascii="Times New Roman" w:hAnsi="Times New Roman" w:cs="Times New Roman"/>
                <w:color w:val="auto"/>
                <w:sz w:val="20"/>
                <w:szCs w:val="20"/>
              </w:rPr>
              <w:t>2.87</w:t>
            </w:r>
          </w:p>
        </w:tc>
        <w:tc>
          <w:tcPr>
            <w:tcW w:w="0" w:type="auto"/>
          </w:tcPr>
          <w:p w14:paraId="3E90D51E">
            <w:pPr>
              <w:pStyle w:val="24"/>
              <w:snapToGrid w:val="0"/>
              <w:spacing w:before="0" w:after="0"/>
              <w:jc w:val="left"/>
              <w:rPr>
                <w:color w:val="auto"/>
              </w:rPr>
            </w:pPr>
            <w:r>
              <w:rPr>
                <w:rFonts w:ascii="Times New Roman" w:hAnsi="Times New Roman" w:cs="Times New Roman"/>
                <w:color w:val="auto"/>
                <w:sz w:val="20"/>
                <w:szCs w:val="20"/>
              </w:rPr>
              <w:t>18.6</w:t>
            </w:r>
          </w:p>
        </w:tc>
        <w:tc>
          <w:tcPr>
            <w:tcW w:w="1825" w:type="dxa"/>
          </w:tcPr>
          <w:p w14:paraId="1E4B0CDB">
            <w:pPr>
              <w:pStyle w:val="24"/>
              <w:snapToGrid w:val="0"/>
              <w:spacing w:before="0" w:after="0"/>
              <w:jc w:val="left"/>
              <w:rPr>
                <w:color w:val="auto"/>
              </w:rPr>
            </w:pPr>
            <w:r>
              <w:rPr>
                <w:rFonts w:ascii="Times New Roman" w:hAnsi="Times New Roman" w:cs="Times New Roman"/>
                <w:color w:val="auto"/>
                <w:sz w:val="20"/>
                <w:szCs w:val="20"/>
              </w:rPr>
              <w:t>11.4</w:t>
            </w:r>
          </w:p>
        </w:tc>
      </w:tr>
      <w:tr w14:paraId="4373FF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3FB19E1A">
            <w:pPr>
              <w:pStyle w:val="24"/>
              <w:snapToGrid w:val="0"/>
              <w:spacing w:before="0" w:after="0"/>
              <w:jc w:val="left"/>
              <w:rPr>
                <w:color w:val="auto"/>
              </w:rPr>
            </w:pPr>
            <w:r>
              <w:rPr>
                <w:rFonts w:ascii="Times New Roman" w:hAnsi="Times New Roman" w:cs="Times New Roman"/>
                <w:color w:val="auto"/>
                <w:sz w:val="20"/>
                <w:szCs w:val="20"/>
              </w:rPr>
              <w:t>GMRES iterations (CPR–SA-AMG)</w:t>
            </w:r>
          </w:p>
        </w:tc>
        <w:tc>
          <w:tcPr>
            <w:tcW w:w="0" w:type="auto"/>
          </w:tcPr>
          <w:p w14:paraId="3048240C">
            <w:pPr>
              <w:pStyle w:val="24"/>
              <w:snapToGrid w:val="0"/>
              <w:spacing w:before="0" w:after="0"/>
              <w:jc w:val="left"/>
              <w:rPr>
                <w:color w:val="auto"/>
              </w:rPr>
            </w:pPr>
            <w:r>
              <w:rPr>
                <w:rFonts w:ascii="Times New Roman" w:hAnsi="Times New Roman" w:cs="Times New Roman"/>
                <w:color w:val="auto"/>
                <w:sz w:val="20"/>
                <w:szCs w:val="20"/>
              </w:rPr>
              <w:t>21</w:t>
            </w:r>
          </w:p>
        </w:tc>
        <w:tc>
          <w:tcPr>
            <w:tcW w:w="0" w:type="auto"/>
          </w:tcPr>
          <w:p w14:paraId="6017E3CB">
            <w:pPr>
              <w:pStyle w:val="24"/>
              <w:snapToGrid w:val="0"/>
              <w:spacing w:before="0" w:after="0"/>
              <w:jc w:val="left"/>
              <w:rPr>
                <w:color w:val="auto"/>
              </w:rPr>
            </w:pPr>
            <w:r>
              <w:rPr>
                <w:rFonts w:ascii="Times New Roman" w:hAnsi="Times New Roman" w:cs="Times New Roman"/>
                <w:color w:val="auto"/>
                <w:sz w:val="20"/>
                <w:szCs w:val="20"/>
              </w:rPr>
              <w:t>24</w:t>
            </w:r>
          </w:p>
        </w:tc>
        <w:tc>
          <w:tcPr>
            <w:tcW w:w="0" w:type="auto"/>
          </w:tcPr>
          <w:p w14:paraId="5445B0E5">
            <w:pPr>
              <w:pStyle w:val="24"/>
              <w:snapToGrid w:val="0"/>
              <w:spacing w:before="0" w:after="0"/>
              <w:jc w:val="left"/>
              <w:rPr>
                <w:color w:val="auto"/>
              </w:rPr>
            </w:pPr>
            <w:r>
              <w:rPr>
                <w:rFonts w:ascii="Times New Roman" w:hAnsi="Times New Roman" w:cs="Times New Roman"/>
                <w:color w:val="auto"/>
                <w:sz w:val="20"/>
                <w:szCs w:val="20"/>
              </w:rPr>
              <w:t>89</w:t>
            </w:r>
          </w:p>
        </w:tc>
        <w:tc>
          <w:tcPr>
            <w:tcW w:w="1825" w:type="dxa"/>
          </w:tcPr>
          <w:p w14:paraId="2B6B30E2">
            <w:pPr>
              <w:pStyle w:val="24"/>
              <w:snapToGrid w:val="0"/>
              <w:spacing w:before="0" w:after="0"/>
              <w:jc w:val="left"/>
              <w:rPr>
                <w:color w:val="auto"/>
              </w:rPr>
            </w:pPr>
            <w:r>
              <w:rPr>
                <w:rFonts w:ascii="Times New Roman" w:hAnsi="Times New Roman" w:cs="Times New Roman"/>
                <w:color w:val="auto"/>
                <w:sz w:val="20"/>
                <w:szCs w:val="20"/>
              </w:rPr>
              <w:t>52</w:t>
            </w:r>
          </w:p>
        </w:tc>
      </w:tr>
      <w:tr w14:paraId="067D46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79" w:type="dxa"/>
          </w:tcPr>
          <w:p w14:paraId="304913BC">
            <w:pPr>
              <w:pStyle w:val="24"/>
              <w:snapToGrid w:val="0"/>
              <w:spacing w:before="0" w:after="0"/>
              <w:jc w:val="left"/>
              <w:rPr>
                <w:color w:val="auto"/>
              </w:rPr>
            </w:pPr>
            <w:r>
              <w:rPr>
                <w:rFonts w:ascii="Times New Roman" w:hAnsi="Times New Roman" w:cs="Times New Roman"/>
                <w:color w:val="auto"/>
                <w:sz w:val="20"/>
                <w:szCs w:val="20"/>
              </w:rPr>
              <w:t xml:space="preserve">Matrix diagonal dominance </w:t>
            </w:r>
            <m:oMath>
              <m:sSub>
                <m:sSubPr>
                  <m:ctrlPr>
                    <w:rPr>
                      <w:color w:val="auto"/>
                    </w:rPr>
                  </m:ctrlPr>
                </m:sSubPr>
                <m:e>
                  <m:acc>
                    <m:accPr>
                      <m:chr m:val="‾"/>
                      <m:ctrlPr>
                        <w:rPr>
                          <w:color w:val="auto"/>
                        </w:rPr>
                      </m:ctrlPr>
                    </m:accPr>
                    <m:e>
                      <m:r>
                        <m:rPr/>
                        <w:rPr>
                          <w:color w:val="auto"/>
                        </w:rPr>
                        <m:t>δ</m:t>
                      </m:r>
                      <m:ctrlPr>
                        <w:rPr>
                          <w:color w:val="auto"/>
                        </w:rPr>
                      </m:ctrlPr>
                    </m:e>
                  </m:acc>
                  <m:ctrlPr>
                    <w:rPr>
                      <w:color w:val="auto"/>
                    </w:rPr>
                  </m:ctrlPr>
                </m:e>
                <m:sub>
                  <m:r>
                    <m:rPr/>
                    <w:rPr>
                      <w:color w:val="auto"/>
                    </w:rPr>
                    <m:t>i</m:t>
                  </m:r>
                  <m:ctrlPr>
                    <w:rPr>
                      <w:color w:val="auto"/>
                    </w:rPr>
                  </m:ctrlPr>
                </m:sub>
              </m:sSub>
            </m:oMath>
          </w:p>
        </w:tc>
        <w:tc>
          <w:tcPr>
            <w:tcW w:w="1531" w:type="dxa"/>
          </w:tcPr>
          <w:p w14:paraId="4D7A6563">
            <w:pPr>
              <w:pStyle w:val="24"/>
              <w:snapToGrid w:val="0"/>
              <w:spacing w:before="0" w:after="0"/>
              <w:jc w:val="left"/>
              <w:rPr>
                <w:color w:val="auto"/>
              </w:rPr>
            </w:pPr>
            <w:r>
              <w:rPr>
                <w:rFonts w:ascii="Times New Roman" w:hAnsi="Times New Roman" w:cs="Times New Roman"/>
                <w:color w:val="auto"/>
                <w:sz w:val="20"/>
                <w:szCs w:val="20"/>
              </w:rPr>
              <w:t>2.18</w:t>
            </w:r>
          </w:p>
        </w:tc>
        <w:tc>
          <w:tcPr>
            <w:tcW w:w="1831" w:type="dxa"/>
          </w:tcPr>
          <w:p w14:paraId="4938686E">
            <w:pPr>
              <w:pStyle w:val="24"/>
              <w:snapToGrid w:val="0"/>
              <w:spacing w:before="0" w:after="0"/>
              <w:jc w:val="left"/>
              <w:rPr>
                <w:color w:val="auto"/>
              </w:rPr>
            </w:pPr>
            <w:r>
              <w:rPr>
                <w:rFonts w:ascii="Times New Roman" w:hAnsi="Times New Roman" w:cs="Times New Roman"/>
                <w:color w:val="auto"/>
                <w:sz w:val="20"/>
                <w:szCs w:val="20"/>
              </w:rPr>
              <w:t>1.94</w:t>
            </w:r>
          </w:p>
        </w:tc>
        <w:tc>
          <w:tcPr>
            <w:tcW w:w="1790" w:type="dxa"/>
          </w:tcPr>
          <w:p w14:paraId="11B2F3D2">
            <w:pPr>
              <w:pStyle w:val="24"/>
              <w:snapToGrid w:val="0"/>
              <w:spacing w:before="0" w:after="0"/>
              <w:jc w:val="left"/>
              <w:rPr>
                <w:color w:val="auto"/>
              </w:rPr>
            </w:pPr>
            <w:r>
              <w:rPr>
                <w:rFonts w:ascii="Times New Roman" w:hAnsi="Times New Roman" w:cs="Times New Roman"/>
                <w:color w:val="auto"/>
                <w:sz w:val="20"/>
                <w:szCs w:val="20"/>
              </w:rPr>
              <w:t>1.12</w:t>
            </w:r>
          </w:p>
        </w:tc>
        <w:tc>
          <w:tcPr>
            <w:tcW w:w="1825" w:type="dxa"/>
          </w:tcPr>
          <w:p w14:paraId="292F3C4D">
            <w:pPr>
              <w:pStyle w:val="24"/>
              <w:snapToGrid w:val="0"/>
              <w:spacing w:before="0" w:after="0"/>
              <w:jc w:val="left"/>
              <w:rPr>
                <w:color w:val="auto"/>
              </w:rPr>
            </w:pPr>
            <w:r>
              <w:rPr>
                <w:rFonts w:ascii="Times New Roman" w:hAnsi="Times New Roman" w:cs="Times New Roman"/>
                <w:color w:val="auto"/>
                <w:sz w:val="20"/>
                <w:szCs w:val="20"/>
              </w:rPr>
              <w:t>1.31</w:t>
            </w:r>
          </w:p>
        </w:tc>
      </w:tr>
    </w:tbl>
    <w:p w14:paraId="3F62985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As documented in Fig. 10 and Table 14, the proposed mesh generator retains 95.3% of faces in K-orthogonal condition despite the geometric complexity introduced by 1,247 stochastically placed natural fractures. The spectral conditioning proxy rises to only 2.87x--a modest increase relative to the DFN-free PEBI baseline--compared with 18.6x for the standard unstructured mesh and 11.4x for Cartesian LGR under identical DFN placement.</w:t>
      </w:r>
    </w:p>
    <w:p w14:paraId="6BE12C09">
      <w:pPr>
        <w:pStyle w:val="34"/>
        <w:rPr>
          <w:color w:val="auto"/>
        </w:rPr>
      </w:pPr>
      <w:r>
        <w:rPr>
          <w:color w:val="auto"/>
        </w:rPr>
        <w:drawing>
          <wp:inline distT="0" distB="0" distL="114300" distR="114300">
            <wp:extent cx="4287520" cy="3014345"/>
            <wp:effectExtent l="0" t="0" r="0" b="0"/>
            <wp:doc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pic:cNvPicPr>
                      <a:picLocks noChangeAspect="1" noChangeArrowheads="1"/>
                    </pic:cNvPicPr>
                  </pic:nvPicPr>
                  <pic:blipFill>
                    <a:blip r:embed="rId15"/>
                    <a:stretch>
                      <a:fillRect/>
                    </a:stretch>
                  </pic:blipFill>
                  <pic:spPr>
                    <a:xfrm>
                      <a:off x="0" y="0"/>
                      <a:ext cx="4288076" cy="3014597"/>
                    </a:xfrm>
                    <a:prstGeom prst="rect">
                      <a:avLst/>
                    </a:prstGeom>
                    <a:noFill/>
                    <a:ln w="9525">
                      <a:noFill/>
                    </a:ln>
                  </pic:spPr>
                </pic:pic>
              </a:graphicData>
            </a:graphic>
          </wp:inline>
        </w:drawing>
      </w:r>
    </w:p>
    <w:p w14:paraId="7783FE45">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11. Condition number evolution as a function of the number of embedded fracture planes. The proposed PEBI formulation exhibits approximately linear growth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R</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2</m:t>
            </m:r>
            <m:ctrlPr>
              <w:rPr>
                <w:rFonts w:ascii="Times New Roman" w:hAnsi="Times New Roman" w:cs="Times New Roman"/>
                <w:color w:val="auto"/>
                <w:sz w:val="20"/>
                <w:szCs w:val="20"/>
              </w:rPr>
            </m:ctrlPr>
          </m:sup>
        </m:sSup>
        <m:r>
          <m:rPr/>
          <w:rPr>
            <w:rFonts w:ascii="Times New Roman" w:hAnsi="Times New Roman" w:cs="Times New Roman"/>
            <w:color w:val="auto"/>
            <w:sz w:val="20"/>
            <w:szCs w:val="20"/>
          </w:rPr>
          <m:t>=0.97</m:t>
        </m:r>
      </m:oMath>
      <w:r>
        <w:rPr>
          <w:rFonts w:ascii="Times New Roman" w:hAnsi="Times New Roman" w:cs="Times New Roman"/>
          <w:color w:val="auto"/>
          <w:sz w:val="20"/>
          <w:szCs w:val="20"/>
        </w:rPr>
        <w:t>, slope = 0.0015 per fracture), whereas the Cartesian LGR and standard unstructured mesh degrade at superlinear rates.</w:t>
      </w:r>
    </w:p>
    <w:p w14:paraId="5AA8B97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mechanisms underlying this divergent behavior are clarified in Fig. 11</w:t>
      </w:r>
      <m:oMath>
        <m:r>
          <m:rPr>
            <m:nor/>
            <m:sty m:val="p"/>
          </m:rPr>
          <w:rPr>
            <w:rFonts w:ascii="Times New Roman" w:hAnsi="Times New Roman" w:cs="Times New Roman"/>
            <w:b w:val="0"/>
            <w:i w:val="0"/>
            <w:color w:val="auto"/>
            <w:sz w:val="24"/>
            <w:szCs w:val="24"/>
          </w:rPr>
          <m:t>tanh</m:t>
        </m:r>
      </m:oMath>
    </w:p>
    <w:p w14:paraId="2EF07E5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To establish the statistical significance of the DFN-influenced results, we conducted a Monte Carlo ensemble study comprising 25 independent DFN realizations. Each realization was generated from the same parent statistical distributions (Fisher orientation,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κ</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=15</m:t>
        </m:r>
      </m:oMath>
      <w:r>
        <w:rPr>
          <w:rFonts w:ascii="Times New Roman" w:hAnsi="Times New Roman" w:cs="Times New Roman"/>
          <w:color w:val="auto"/>
          <w:sz w:val="24"/>
          <w:szCs w:val="24"/>
        </w:rPr>
        <w:t xml:space="preserve">; power-law length distribution, exponent 2.3; log-normal apertures, mean 0.5 mm, </w:t>
      </w:r>
      <m:oMath>
        <m:r>
          <m:rPr/>
          <w:rPr>
            <w:rFonts w:ascii="Times New Roman" w:hAnsi="Times New Roman" w:cs="Times New Roman"/>
            <w:color w:val="auto"/>
            <w:sz w:val="24"/>
            <w:szCs w:val="24"/>
          </w:rPr>
          <m:t>σ=0.3</m:t>
        </m:r>
      </m:oMath>
      <w:r>
        <w:rPr>
          <w:rFonts w:ascii="Times New Roman" w:hAnsi="Times New Roman" w:cs="Times New Roman"/>
          <w:color w:val="auto"/>
          <w:sz w:val="24"/>
          <w:szCs w:val="24"/>
        </w:rPr>
        <w:t xml:space="preserve"> mm) but with independent random seeds governing fracture center placement, orientation, and aperture assignment. The PEBI mesh was regenerated for each realization, and the full ten-year simulation was executed. This ensemble size (</w:t>
      </w:r>
      <m:oMath>
        <m:r>
          <m:rPr/>
          <w:rPr>
            <w:rFonts w:ascii="Times New Roman" w:hAnsi="Times New Roman" w:cs="Times New Roman"/>
            <w:color w:val="auto"/>
            <w:sz w:val="24"/>
            <w:szCs w:val="24"/>
          </w:rPr>
          <m:t>n=25</m:t>
        </m:r>
      </m:oMath>
      <w:r>
        <w:rPr>
          <w:rFonts w:ascii="Times New Roman" w:hAnsi="Times New Roman" w:cs="Times New Roman"/>
          <w:color w:val="auto"/>
          <w:sz w:val="24"/>
          <w:szCs w:val="24"/>
        </w:rPr>
        <w:t xml:space="preserve">) is sufficient for the sample mean to converge within </w:t>
      </w:r>
      <m:oMath>
        <m:r>
          <m:rPr/>
          <w:rPr>
            <w:rFonts w:ascii="Times New Roman" w:hAnsi="Times New Roman" w:cs="Times New Roman"/>
            <w:color w:val="auto"/>
            <w:sz w:val="24"/>
            <w:szCs w:val="24"/>
          </w:rPr>
          <m:t>2%</m:t>
        </m:r>
      </m:oMath>
      <w:r>
        <w:rPr>
          <w:rFonts w:ascii="Times New Roman" w:hAnsi="Times New Roman" w:cs="Times New Roman"/>
          <w:color w:val="auto"/>
          <w:sz w:val="24"/>
          <w:szCs w:val="24"/>
        </w:rPr>
        <w:t xml:space="preserve"> of the population mean at the 95% confidence level for both condition number ratio and cumulative oil enhancement, as verified by bootstrap resampling of the ensemble.</w:t>
      </w:r>
    </w:p>
    <w:p w14:paraId="23595C10">
      <w:pPr>
        <w:pStyle w:val="3"/>
        <w:spacing w:before="0" w:after="120"/>
        <w:ind w:firstLine="480" w:firstLineChars="200"/>
        <w:jc w:val="both"/>
        <w:rPr>
          <w:color w:val="auto"/>
        </w:rPr>
      </w:pPr>
    </w:p>
    <w:p w14:paraId="6D59BEAA">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b/>
          <w:sz w:val="20"/>
        </w:rPr>
        <w:t>Table 14 (continued): Monte Carlo ensemble statistics (n = 25 DFN realizations).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5"/>
        <w:gridCol w:w="1326"/>
        <w:gridCol w:w="1142"/>
        <w:gridCol w:w="1326"/>
        <w:gridCol w:w="1326"/>
        <w:gridCol w:w="1911"/>
      </w:tblGrid>
      <w:tr w14:paraId="41338B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7" w:type="dxa"/>
            <w:tcBorders>
              <w:bottom w:val="single" w:color="auto" w:sz="0" w:space="0"/>
            </w:tcBorders>
            <w:vAlign w:val="center"/>
          </w:tcPr>
          <w:p w14:paraId="4A28E60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Quantity</w:t>
            </w:r>
          </w:p>
        </w:tc>
        <w:tc>
          <w:tcPr>
            <w:tcW w:w="1133" w:type="dxa"/>
            <w:tcBorders>
              <w:bottom w:val="single" w:color="auto" w:sz="0" w:space="0"/>
            </w:tcBorders>
            <w:vAlign w:val="center"/>
          </w:tcPr>
          <w:p w14:paraId="36F315A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w:t>
            </w:r>
          </w:p>
        </w:tc>
        <w:tc>
          <w:tcPr>
            <w:tcW w:w="1168" w:type="dxa"/>
            <w:tcBorders>
              <w:bottom w:val="single" w:color="auto" w:sz="0" w:space="0"/>
            </w:tcBorders>
            <w:vAlign w:val="center"/>
          </w:tcPr>
          <w:p w14:paraId="012C4CF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Std Dev</w:t>
            </w:r>
          </w:p>
        </w:tc>
        <w:tc>
          <w:tcPr>
            <w:tcW w:w="1133" w:type="dxa"/>
            <w:tcBorders>
              <w:bottom w:val="single" w:color="auto" w:sz="0" w:space="0"/>
            </w:tcBorders>
            <w:vAlign w:val="center"/>
          </w:tcPr>
          <w:p w14:paraId="40E2658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Min</w:t>
            </w:r>
          </w:p>
        </w:tc>
        <w:tc>
          <w:tcPr>
            <w:tcW w:w="1133" w:type="dxa"/>
            <w:tcBorders>
              <w:bottom w:val="single" w:color="auto" w:sz="0" w:space="0"/>
            </w:tcBorders>
            <w:vAlign w:val="center"/>
          </w:tcPr>
          <w:p w14:paraId="4E9F902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Max</w:t>
            </w:r>
          </w:p>
        </w:tc>
        <w:tc>
          <w:tcPr>
            <w:tcW w:w="2141" w:type="dxa"/>
            <w:tcBorders>
              <w:bottom w:val="single" w:color="auto" w:sz="0" w:space="0"/>
            </w:tcBorders>
            <w:vAlign w:val="center"/>
          </w:tcPr>
          <w:p w14:paraId="742AC21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95% CI </w:t>
            </w:r>
          </w:p>
          <w:p w14:paraId="0AFC6E2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(bootstrap)</w:t>
            </w:r>
          </w:p>
        </w:tc>
      </w:tr>
      <w:tr w14:paraId="4A14F1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33052F69">
            <w:pPr>
              <w:pStyle w:val="24"/>
              <w:snapToGrid w:val="0"/>
              <w:spacing w:before="0" w:after="0"/>
              <w:ind w:left="0" w:leftChars="0" w:right="0" w:rightChars="0" w:firstLineChars="0"/>
              <w:jc w:val="left"/>
              <w:rPr>
                <w:color w:val="auto"/>
              </w:rPr>
            </w:pPr>
            <m:oMathPara>
              <m:oMath>
                <m:r>
                  <m:rPr/>
                  <w:rPr>
                    <w:color w:val="auto"/>
                  </w:rPr>
                  <m:t>κ(A)/</m:t>
                </m:r>
                <m:sSub>
                  <m:sSubPr>
                    <m:ctrlPr>
                      <w:rPr>
                        <w:color w:val="auto"/>
                      </w:rPr>
                    </m:ctrlPr>
                  </m:sSubPr>
                  <m:e>
                    <m:r>
                      <m:rPr/>
                      <w:rPr>
                        <w:color w:val="auto"/>
                      </w:rPr>
                      <m:t>κ</m:t>
                    </m:r>
                    <m:ctrlPr>
                      <w:rPr>
                        <w:color w:val="auto"/>
                      </w:rPr>
                    </m:ctrlPr>
                  </m:e>
                  <m:sub>
                    <m:r>
                      <m:rPr/>
                      <w:rPr>
                        <w:color w:val="auto"/>
                      </w:rPr>
                      <m:t>0</m:t>
                    </m:r>
                    <m:ctrlPr>
                      <w:rPr>
                        <w:color w:val="auto"/>
                      </w:rPr>
                    </m:ctrlPr>
                  </m:sub>
                </m:sSub>
                <m:r>
                  <m:rPr/>
                  <w:rPr>
                    <w:color w:val="auto"/>
                  </w:rPr>
                  <m:t>(A)</m:t>
                </m:r>
              </m:oMath>
            </m:oMathPara>
          </w:p>
        </w:tc>
        <w:tc>
          <w:tcPr>
            <w:tcW w:w="1133" w:type="dxa"/>
            <w:vAlign w:val="center"/>
          </w:tcPr>
          <w:p w14:paraId="1E75713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2.94</w:t>
            </w:r>
          </w:p>
        </w:tc>
        <w:tc>
          <w:tcPr>
            <w:tcW w:w="1168" w:type="dxa"/>
            <w:vAlign w:val="center"/>
          </w:tcPr>
          <w:p w14:paraId="0ABB0A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0.41</w:t>
            </w:r>
          </w:p>
        </w:tc>
        <w:tc>
          <w:tcPr>
            <w:tcW w:w="1133" w:type="dxa"/>
            <w:vAlign w:val="center"/>
          </w:tcPr>
          <w:p w14:paraId="316FA7F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1133" w:type="dxa"/>
            <w:vAlign w:val="center"/>
          </w:tcPr>
          <w:p w14:paraId="731A95F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w:t>
            </w:r>
          </w:p>
        </w:tc>
        <w:tc>
          <w:tcPr>
            <w:tcW w:w="2141" w:type="dxa"/>
            <w:vAlign w:val="center"/>
          </w:tcPr>
          <w:p w14:paraId="32035E4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[2.78, 3.11]</w:t>
            </w:r>
          </w:p>
        </w:tc>
      </w:tr>
      <w:tr w14:paraId="3A79F8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7DC5FC69">
            <w:pPr>
              <w:pStyle w:val="24"/>
              <w:snapToGrid w:val="0"/>
              <w:spacing w:before="0" w:after="0"/>
              <w:ind w:left="0" w:leftChars="0" w:right="0" w:rightChars="0" w:firstLineChars="0"/>
              <w:jc w:val="left"/>
              <w:rPr>
                <w:color w:val="auto"/>
              </w:rPr>
            </w:pPr>
            <m:oMath>
              <m:r>
                <m:rPr/>
                <w:rPr>
                  <w:color w:val="auto"/>
                </w:rPr>
                <m:t>Δ</m:t>
              </m:r>
              <m:sSub>
                <m:sSubPr>
                  <m:ctrlPr>
                    <w:rPr>
                      <w:color w:val="auto"/>
                    </w:rPr>
                  </m:ctrlPr>
                </m:sSubPr>
                <m:e>
                  <m:r>
                    <m:rPr/>
                    <w:rPr>
                      <w:color w:val="auto"/>
                    </w:rPr>
                    <m:t>N</m:t>
                  </m:r>
                  <m:ctrlPr>
                    <w:rPr>
                      <w:color w:val="auto"/>
                    </w:rPr>
                  </m:ctrlPr>
                </m:e>
                <m:sub>
                  <m:r>
                    <m:rPr/>
                    <w:rPr>
                      <w:color w:val="auto"/>
                    </w:rPr>
                    <m:t>10</m:t>
                  </m:r>
                  <m:r>
                    <m:rPr>
                      <m:nor/>
                      <m:sty m:val="p"/>
                    </m:rPr>
                    <w:rPr>
                      <w:b w:val="0"/>
                      <w:i w:val="0"/>
                      <w:color w:val="auto"/>
                    </w:rPr>
                    <m:t>y</m:t>
                  </m:r>
                  <m:ctrlPr>
                    <w:rPr>
                      <w:color w:val="auto"/>
                    </w:rPr>
                  </m:ctrlPr>
                </m:sub>
              </m:sSub>
            </m:oMath>
            <w:r>
              <w:rPr>
                <w:rFonts w:ascii="Times New Roman" w:hAnsi="Times New Roman" w:cs="Times New Roman"/>
                <w:color w:val="auto"/>
                <w:sz w:val="20"/>
                <w:szCs w:val="20"/>
              </w:rPr>
              <w:t xml:space="preserve"> (cumulative oil, %)</w:t>
            </w:r>
          </w:p>
        </w:tc>
        <w:tc>
          <w:tcPr>
            <w:tcW w:w="1133" w:type="dxa"/>
            <w:vAlign w:val="center"/>
          </w:tcPr>
          <w:p w14:paraId="6A4C975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c>
          <w:tcPr>
            <w:tcW w:w="1168" w:type="dxa"/>
            <w:vAlign w:val="center"/>
          </w:tcPr>
          <w:p w14:paraId="307EE2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c>
          <w:tcPr>
            <w:tcW w:w="1133" w:type="dxa"/>
            <w:vAlign w:val="center"/>
          </w:tcPr>
          <w:p w14:paraId="261C97F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+14.2%</w:t>
            </w:r>
          </w:p>
        </w:tc>
        <w:tc>
          <w:tcPr>
            <w:tcW w:w="1133" w:type="dxa"/>
            <w:vAlign w:val="center"/>
          </w:tcPr>
          <w:p w14:paraId="12C5362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+30.1%</w:t>
            </w:r>
          </w:p>
        </w:tc>
        <w:tc>
          <w:tcPr>
            <w:tcW w:w="2141" w:type="dxa"/>
            <w:vAlign w:val="center"/>
          </w:tcPr>
          <w:p w14:paraId="0ACA358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[+20.1%, +23.6%]</w:t>
            </w:r>
          </w:p>
        </w:tc>
      </w:tr>
      <w:tr w14:paraId="6F68B0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5F7A5EB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133" w:type="dxa"/>
            <w:vAlign w:val="center"/>
          </w:tcPr>
          <w:p w14:paraId="79053D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95.1%</w:t>
            </w:r>
          </w:p>
        </w:tc>
        <w:tc>
          <w:tcPr>
            <w:tcW w:w="1168" w:type="dxa"/>
            <w:vAlign w:val="center"/>
          </w:tcPr>
          <w:p w14:paraId="148F02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1133" w:type="dxa"/>
            <w:vAlign w:val="center"/>
          </w:tcPr>
          <w:p w14:paraId="614E1DC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93.5%</w:t>
            </w:r>
          </w:p>
        </w:tc>
        <w:tc>
          <w:tcPr>
            <w:tcW w:w="1133" w:type="dxa"/>
            <w:vAlign w:val="center"/>
          </w:tcPr>
          <w:p w14:paraId="698F42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96.4%</w:t>
            </w:r>
          </w:p>
        </w:tc>
        <w:tc>
          <w:tcPr>
            <w:tcW w:w="2141" w:type="dxa"/>
            <w:vAlign w:val="center"/>
          </w:tcPr>
          <w:p w14:paraId="267A141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[94.7%, 95.4%]</w:t>
            </w:r>
          </w:p>
        </w:tc>
      </w:tr>
      <w:tr w14:paraId="37970C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1DEE8E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w:t>
            </w:r>
          </w:p>
        </w:tc>
        <w:tc>
          <w:tcPr>
            <w:tcW w:w="1133" w:type="dxa"/>
            <w:vAlign w:val="center"/>
          </w:tcPr>
          <w:p w14:paraId="417FEA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24.3</w:t>
            </w:r>
          </w:p>
        </w:tc>
        <w:tc>
          <w:tcPr>
            <w:tcW w:w="1168" w:type="dxa"/>
            <w:vAlign w:val="center"/>
          </w:tcPr>
          <w:p w14:paraId="4403FFE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w:t>
            </w:r>
          </w:p>
        </w:tc>
        <w:tc>
          <w:tcPr>
            <w:tcW w:w="1133" w:type="dxa"/>
            <w:vAlign w:val="center"/>
          </w:tcPr>
          <w:p w14:paraId="536C286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c>
          <w:tcPr>
            <w:tcW w:w="1133" w:type="dxa"/>
            <w:vAlign w:val="center"/>
          </w:tcPr>
          <w:p w14:paraId="51FD68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c>
          <w:tcPr>
            <w:tcW w:w="2141" w:type="dxa"/>
            <w:vAlign w:val="center"/>
          </w:tcPr>
          <w:p w14:paraId="385719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[23.6, 25.1]</w:t>
            </w:r>
          </w:p>
        </w:tc>
      </w:tr>
    </w:tbl>
    <w:p w14:paraId="09CD31D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condition number ratio exhibits a coefficient of variation (CoV) of 14.0%, indicating moderate sensitivity to realization-specific fracture topology. The cumulative oil enhancement shows a CoV of 19.7%, whose larger dispersion reflects the compounding of geometric variability (fracture network connectivity) with physical sensitivity. Even the minimum-connectivity realization (14.2% enhancement) confirms that the DFN contribution is a robust effect rather than an artifact of a particular geometric configuration.</w:t>
      </w:r>
    </w:p>
    <w:p w14:paraId="0CB719A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ensemble-mean recovery enhancement of 21.8 ± 4.3% (mean ± 1σ) arises primarily from the 312 ± 47 natural fractures that intersect the stimulated reservoir volume, extending the effective drainage area beyond the hydraulic-fracture tips</w:t>
      </w:r>
    </w:p>
    <w:p w14:paraId="4CB6AB10">
      <w:pPr>
        <w:pStyle w:val="4"/>
        <w:spacing w:before="120" w:after="60" w:line="360" w:lineRule="auto"/>
        <w:jc w:val="left"/>
        <w:rPr>
          <w:rFonts w:ascii="Times New Roman" w:hAnsi="Times New Roman" w:cs="Times New Roman"/>
          <w:color w:val="auto"/>
          <w:sz w:val="24"/>
          <w:szCs w:val="24"/>
        </w:rPr>
      </w:pPr>
      <w:bookmarkStart w:id="18" w:name="sensitivity-analysis"/>
      <w:r>
        <w:rPr>
          <w:rFonts w:ascii="Times New Roman" w:hAnsi="Times New Roman" w:cs="Times New Roman"/>
          <w:b/>
          <w:bCs/>
          <w:color w:val="auto"/>
          <w:sz w:val="24"/>
          <w:szCs w:val="24"/>
        </w:rPr>
        <w:t>3.7 Sensitivity Analysis</w:t>
      </w:r>
      <w:bookmarkEnd w:id="18"/>
    </w:p>
    <w:p w14:paraId="484ABE0F">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24"/>
        </w:rPr>
        <w:t>A one-factor-at-a-time parametric study quantifies the sensitivity of ten-year cumulative oil production to six reservoir and completion variables, each perturbed by +/-20% from its base value. A preliminary two-factor response surface for the dominant pair (fracture half-length x matrix permeability) indicates largely additive behavior, suggesting minimal synergistic effects in the studied parameter ranges.</w:t>
      </w:r>
    </w:p>
    <w:p w14:paraId="7162C079">
      <w:pPr>
        <w:jc w:val="center"/>
      </w:pPr>
      <w:r>
        <w:drawing>
          <wp:inline distT="0" distB="0" distL="0" distR="0">
            <wp:extent cx="5039995" cy="2950845"/>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6"/>
                    <a:stretch>
                      <a:fillRect/>
                    </a:stretch>
                  </pic:blipFill>
                  <pic:spPr>
                    <a:xfrm>
                      <a:off x="0" y="0"/>
                      <a:ext cx="5040000" cy="2951293"/>
                    </a:xfrm>
                    <a:prstGeom prst="rect">
                      <a:avLst/>
                    </a:prstGeom>
                  </pic:spPr>
                </pic:pic>
              </a:graphicData>
            </a:graphic>
          </wp:inline>
        </w:drawing>
      </w:r>
    </w:p>
    <w:p w14:paraId="29E63590">
      <w:pPr>
        <w:pStyle w:val="12"/>
        <w:spacing w:before="0" w:after="0" w:line="300" w:lineRule="auto"/>
        <w:jc w:val="center"/>
        <w:rPr>
          <w:rFonts w:ascii="Times New Roman" w:hAnsi="Times New Roman" w:cs="Times New Roman"/>
          <w:color w:val="auto"/>
          <w:sz w:val="20"/>
          <w:szCs w:val="20"/>
        </w:rPr>
      </w:pPr>
      <w:r>
        <w:rPr>
          <w:rFonts w:ascii="Times New Roman" w:hAnsi="Times New Roman"/>
          <w:sz w:val="20"/>
        </w:rPr>
        <w:t>Fig. 12. Tornado chart illustrating parametric sensitivity (each parameter perturbed by +/-20% from base value). Fracture half-length and matrix permeability exert the strongest control on ten-year cumulative recovery.</w:t>
      </w:r>
    </w:p>
    <w:p w14:paraId="7FA2607A">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15: Sensitivity ranking for ten-year cumulative oil production.</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3"/>
        <w:gridCol w:w="2878"/>
        <w:gridCol w:w="2407"/>
        <w:gridCol w:w="2408"/>
      </w:tblGrid>
      <w:tr w14:paraId="3FBC18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1A9C2F39">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Rank</w:t>
            </w:r>
          </w:p>
        </w:tc>
        <w:tc>
          <w:tcPr>
            <w:tcW w:w="0" w:type="auto"/>
            <w:tcBorders>
              <w:bottom w:val="single" w:color="auto" w:sz="0" w:space="0"/>
            </w:tcBorders>
            <w:vAlign w:val="center"/>
          </w:tcPr>
          <w:p w14:paraId="1688774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0" w:type="auto"/>
            <w:tcBorders>
              <w:bottom w:val="single" w:color="auto" w:sz="0" w:space="0"/>
            </w:tcBorders>
            <w:vAlign w:val="center"/>
          </w:tcPr>
          <w:p w14:paraId="795ADB06">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Δ</m:t>
              </m:r>
            </m:oMath>
            <w:r>
              <w:rPr>
                <w:rFonts w:ascii="Times New Roman" w:hAnsi="Times New Roman" w:cs="Times New Roman"/>
                <w:b/>
                <w:bCs/>
                <w:color w:val="auto"/>
                <w:sz w:val="20"/>
                <w:szCs w:val="20"/>
              </w:rPr>
              <w:t xml:space="preserve"> Cumulative Oil (+20%)</w:t>
            </w:r>
          </w:p>
        </w:tc>
        <w:tc>
          <w:tcPr>
            <w:tcW w:w="2529" w:type="dxa"/>
            <w:tcBorders>
              <w:bottom w:val="single" w:color="auto" w:sz="0" w:space="0"/>
            </w:tcBorders>
            <w:vAlign w:val="center"/>
          </w:tcPr>
          <w:p w14:paraId="48985B36">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Δ</m:t>
              </m:r>
            </m:oMath>
            <w:r>
              <w:rPr>
                <w:rFonts w:ascii="Times New Roman" w:hAnsi="Times New Roman" w:cs="Times New Roman"/>
                <w:b/>
                <w:bCs/>
                <w:color w:val="auto"/>
                <w:sz w:val="20"/>
                <w:szCs w:val="20"/>
              </w:rPr>
              <w:t xml:space="preserve"> Cumulative Oil (−20%)</w:t>
            </w:r>
          </w:p>
        </w:tc>
      </w:tr>
      <w:tr w14:paraId="52AEE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B489FD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w:t>
            </w:r>
          </w:p>
        </w:tc>
        <w:tc>
          <w:tcPr>
            <w:tcW w:w="0" w:type="auto"/>
            <w:vAlign w:val="center"/>
          </w:tcPr>
          <w:p w14:paraId="604B7C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half-length</w:t>
            </w:r>
          </w:p>
        </w:tc>
        <w:tc>
          <w:tcPr>
            <w:tcW w:w="0" w:type="auto"/>
            <w:vAlign w:val="center"/>
          </w:tcPr>
          <w:p w14:paraId="62295C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+8.7%</w:t>
            </w:r>
          </w:p>
        </w:tc>
        <w:tc>
          <w:tcPr>
            <w:tcW w:w="2529" w:type="dxa"/>
            <w:vAlign w:val="center"/>
          </w:tcPr>
          <w:p w14:paraId="497AC1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−9.3%</w:t>
            </w:r>
          </w:p>
        </w:tc>
      </w:tr>
      <w:tr w14:paraId="09A60A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0CB17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w:t>
            </w:r>
          </w:p>
        </w:tc>
        <w:tc>
          <w:tcPr>
            <w:tcW w:w="0" w:type="auto"/>
            <w:vAlign w:val="center"/>
          </w:tcPr>
          <w:p w14:paraId="612B043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0" w:type="auto"/>
            <w:vAlign w:val="center"/>
          </w:tcPr>
          <w:p w14:paraId="475303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+5.2%</w:t>
            </w:r>
          </w:p>
        </w:tc>
        <w:tc>
          <w:tcPr>
            <w:tcW w:w="2529" w:type="dxa"/>
            <w:vAlign w:val="center"/>
          </w:tcPr>
          <w:p w14:paraId="5BFB630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−5.8%</w:t>
            </w:r>
          </w:p>
        </w:tc>
      </w:tr>
      <w:tr w14:paraId="2545D3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4A700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w:t>
            </w:r>
          </w:p>
        </w:tc>
        <w:tc>
          <w:tcPr>
            <w:tcW w:w="0" w:type="auto"/>
            <w:vAlign w:val="center"/>
          </w:tcPr>
          <w:p w14:paraId="3EA16FA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conductivity</w:t>
            </w:r>
          </w:p>
        </w:tc>
        <w:tc>
          <w:tcPr>
            <w:tcW w:w="0" w:type="auto"/>
            <w:vAlign w:val="center"/>
          </w:tcPr>
          <w:p w14:paraId="72AF94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w:t>
            </w:r>
          </w:p>
        </w:tc>
        <w:tc>
          <w:tcPr>
            <w:tcW w:w="2529" w:type="dxa"/>
            <w:vAlign w:val="center"/>
          </w:tcPr>
          <w:p w14:paraId="13C91B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−3.4%</w:t>
            </w:r>
          </w:p>
        </w:tc>
      </w:tr>
      <w:tr w14:paraId="7A87A7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487C28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w:t>
            </w:r>
          </w:p>
        </w:tc>
        <w:tc>
          <w:tcPr>
            <w:tcW w:w="0" w:type="auto"/>
            <w:vAlign w:val="center"/>
          </w:tcPr>
          <w:p w14:paraId="72B0CB8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 spacing</w:t>
            </w:r>
          </w:p>
        </w:tc>
        <w:tc>
          <w:tcPr>
            <w:tcW w:w="0" w:type="auto"/>
            <w:vAlign w:val="center"/>
          </w:tcPr>
          <w:p w14:paraId="598D42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−2.4%</w:t>
            </w:r>
          </w:p>
        </w:tc>
        <w:tc>
          <w:tcPr>
            <w:tcW w:w="2529" w:type="dxa"/>
            <w:vAlign w:val="center"/>
          </w:tcPr>
          <w:p w14:paraId="035CC5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r>
      <w:tr w14:paraId="6D8B9A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794A01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0" w:type="auto"/>
            <w:vAlign w:val="center"/>
          </w:tcPr>
          <w:p w14:paraId="540A2D0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Natural-fracture permeability</w:t>
            </w:r>
          </w:p>
        </w:tc>
        <w:tc>
          <w:tcPr>
            <w:tcW w:w="0" w:type="auto"/>
            <w:vAlign w:val="center"/>
          </w:tcPr>
          <w:p w14:paraId="5718D33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+1.9%</w:t>
            </w:r>
          </w:p>
        </w:tc>
        <w:tc>
          <w:tcPr>
            <w:tcW w:w="2529" w:type="dxa"/>
            <w:vAlign w:val="center"/>
          </w:tcPr>
          <w:p w14:paraId="05B978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348938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91" w:type="dxa"/>
            <w:vAlign w:val="center"/>
          </w:tcPr>
          <w:p w14:paraId="0EEB5A6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w:t>
            </w:r>
          </w:p>
        </w:tc>
        <w:tc>
          <w:tcPr>
            <w:tcW w:w="3008" w:type="dxa"/>
            <w:vAlign w:val="center"/>
          </w:tcPr>
          <w:p w14:paraId="547BAE6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2528" w:type="dxa"/>
            <w:vAlign w:val="center"/>
          </w:tcPr>
          <w:p w14:paraId="75F2972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2529" w:type="dxa"/>
            <w:vAlign w:val="center"/>
          </w:tcPr>
          <w:p w14:paraId="4FD9017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w:t>
            </w:r>
          </w:p>
        </w:tc>
      </w:tr>
    </w:tbl>
    <w:p w14:paraId="37607DE7">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results in Fig. 12 and Table 15 confirm that fracture half-length is the dominant parameter, consistent with the drainage-geometry physics of ultra-low-permeability reservoirs. The introduction of natural-fracture permeability as a seventh parameter (ranked fifth in influence) indicates that the ensemble-mean DFN recovery enhancement is moderately sensitive to the assumed natural-fracture conductivity. The parameter importance ranking is invariant between the PEBI and Cartesian LGR discretizations, confirming physical consistency.</w:t>
      </w:r>
    </w:p>
    <w:p w14:paraId="6CEFC674">
      <w:pPr>
        <w:pStyle w:val="3"/>
        <w:spacing w:before="0" w:after="120"/>
        <w:ind w:firstLine="480" w:firstLineChars="200"/>
        <w:jc w:val="both"/>
        <w:rPr>
          <w:color w:val="auto"/>
        </w:rPr>
      </w:pPr>
    </w:p>
    <w:p w14:paraId="098F92C5">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16: Sensitivity of mesh quality to  density function parameters.</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9"/>
        <w:gridCol w:w="987"/>
        <w:gridCol w:w="1046"/>
        <w:gridCol w:w="2080"/>
        <w:gridCol w:w="2194"/>
        <w:gridCol w:w="1435"/>
      </w:tblGrid>
      <w:tr w14:paraId="60476DA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ABADD85">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α</m:t>
              </m:r>
            </m:oMath>
            <w:r>
              <w:rPr>
                <w:rFonts w:ascii="Times New Roman" w:hAnsi="Times New Roman" w:cs="Times New Roman"/>
                <w:b/>
                <w:bCs/>
                <w:color w:val="auto"/>
                <w:sz w:val="20"/>
                <w:szCs w:val="20"/>
              </w:rPr>
              <w:t xml:space="preserve"> (m⁻¹)</w:t>
            </w:r>
          </w:p>
        </w:tc>
        <w:tc>
          <w:tcPr>
            <w:tcW w:w="0" w:type="auto"/>
            <w:tcBorders>
              <w:bottom w:val="single" w:color="auto" w:sz="0" w:space="0"/>
            </w:tcBorders>
            <w:vAlign w:val="center"/>
          </w:tcPr>
          <w:p w14:paraId="4346C388">
            <w:pPr>
              <w:pStyle w:val="24"/>
              <w:snapToGrid w:val="0"/>
              <w:spacing w:before="0" w:after="0"/>
              <w:ind w:left="0" w:leftChars="0" w:right="0" w:rightChars="0" w:firstLineChars="0"/>
              <w:jc w:val="left"/>
              <w:rPr>
                <w:b/>
                <w:color w:val="auto"/>
              </w:rPr>
            </w:pPr>
            <m:oMath>
              <m:sSub>
                <m:sSubPr>
                  <m:ctrlPr>
                    <w:rPr>
                      <w:rFonts w:ascii="Times New Roman" w:hAnsi="Times New Roman"/>
                      <w:b/>
                      <w:color w:val="auto"/>
                    </w:rPr>
                  </m:ctrlPr>
                </m:sSubPr>
                <m:e>
                  <m:r>
                    <m:rPr>
                      <m:sty m:val="bi"/>
                    </m:rPr>
                    <w:rPr>
                      <w:rFonts w:hint="default" w:ascii="Times New Roman" w:hAnsi="Times New Roman"/>
                      <w:color w:val="auto"/>
                    </w:rPr>
                    <m:t>h</m:t>
                  </m:r>
                  <m:ctrlPr>
                    <w:rPr>
                      <w:rFonts w:ascii="Times New Roman" w:hAnsi="Times New Roman"/>
                      <w:b/>
                      <w:color w:val="auto"/>
                    </w:rPr>
                  </m:ctrlPr>
                </m:e>
                <m:sub>
                  <m:r>
                    <m:rPr>
                      <m:sty m:val="bi"/>
                    </m:rPr>
                    <w:rPr>
                      <w:rFonts w:hint="default" w:ascii="Times New Roman" w:hAnsi="Times New Roman"/>
                      <w:color w:val="auto"/>
                    </w:rPr>
                    <m:t>n</m:t>
                  </m:r>
                  <m:ctrlPr>
                    <w:rPr>
                      <w:rFonts w:ascii="Times New Roman" w:hAnsi="Times New Roman"/>
                      <w:b/>
                      <w:color w:val="auto"/>
                    </w:rPr>
                  </m:ctrlPr>
                </m:sub>
              </m:sSub>
            </m:oMath>
            <w:r>
              <w:rPr>
                <w:rFonts w:ascii="Times New Roman" w:hAnsi="Times New Roman" w:cs="Times New Roman"/>
                <w:b/>
                <w:bCs/>
                <w:color w:val="auto"/>
                <w:sz w:val="20"/>
                <w:szCs w:val="20"/>
              </w:rPr>
              <w:t xml:space="preserve"> (m)</w:t>
            </w:r>
          </w:p>
        </w:tc>
        <w:tc>
          <w:tcPr>
            <w:tcW w:w="0" w:type="auto"/>
            <w:tcBorders>
              <w:bottom w:val="single" w:color="auto" w:sz="0" w:space="0"/>
            </w:tcBorders>
            <w:vAlign w:val="center"/>
          </w:tcPr>
          <w:p w14:paraId="1F3F500C">
            <w:pPr>
              <w:pStyle w:val="24"/>
              <w:snapToGrid w:val="0"/>
              <w:spacing w:before="0" w:after="0"/>
              <w:ind w:left="0" w:leftChars="0" w:right="0" w:rightChars="0" w:firstLineChars="0"/>
              <w:jc w:val="left"/>
              <w:rPr>
                <w:b/>
                <w:color w:val="auto"/>
              </w:rPr>
            </w:pPr>
            <m:oMath>
              <m:sSub>
                <m:sSubPr>
                  <m:ctrlPr>
                    <w:rPr>
                      <w:rFonts w:ascii="Times New Roman" w:hAnsi="Times New Roman"/>
                      <w:b/>
                      <w:color w:val="auto"/>
                    </w:rPr>
                  </m:ctrlPr>
                </m:sSubPr>
                <m:e>
                  <m:r>
                    <m:rPr>
                      <m:sty m:val="bi"/>
                    </m:rPr>
                    <w:rPr>
                      <w:rFonts w:hint="default" w:ascii="Times New Roman" w:hAnsi="Times New Roman"/>
                      <w:color w:val="auto"/>
                    </w:rPr>
                    <m:t>h</m:t>
                  </m:r>
                  <m:ctrlPr>
                    <w:rPr>
                      <w:rFonts w:ascii="Times New Roman" w:hAnsi="Times New Roman"/>
                      <w:b/>
                      <w:color w:val="auto"/>
                    </w:rPr>
                  </m:ctrlPr>
                </m:e>
                <m:sub>
                  <m:r>
                    <m:rPr>
                      <m:sty m:val="bi"/>
                    </m:rPr>
                    <w:rPr>
                      <w:rFonts w:hint="default" w:ascii="Times New Roman" w:hAnsi="Times New Roman"/>
                      <w:color w:val="auto"/>
                    </w:rPr>
                    <m:t>f</m:t>
                  </m:r>
                  <m:ctrlPr>
                    <w:rPr>
                      <w:rFonts w:ascii="Times New Roman" w:hAnsi="Times New Roman"/>
                      <w:b/>
                      <w:color w:val="auto"/>
                    </w:rPr>
                  </m:ctrlPr>
                </m:sub>
              </m:sSub>
            </m:oMath>
            <w:r>
              <w:rPr>
                <w:rFonts w:ascii="Times New Roman" w:hAnsi="Times New Roman" w:cs="Times New Roman"/>
                <w:b/>
                <w:bCs/>
                <w:color w:val="auto"/>
                <w:sz w:val="20"/>
                <w:szCs w:val="20"/>
              </w:rPr>
              <w:t xml:space="preserve"> (m)</w:t>
            </w:r>
          </w:p>
        </w:tc>
        <w:tc>
          <w:tcPr>
            <w:tcW w:w="0" w:type="auto"/>
            <w:tcBorders>
              <w:bottom w:val="single" w:color="auto" w:sz="0" w:space="0"/>
            </w:tcBorders>
            <w:vAlign w:val="center"/>
          </w:tcPr>
          <w:p w14:paraId="3D20F64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Faces with </w:t>
            </w:r>
            <m:oMath>
              <m:r>
                <m:rPr>
                  <m:sty m:val="bi"/>
                </m:rPr>
                <w:rPr>
                  <w:rFonts w:hint="default" w:ascii="Times New Roman" w:hAnsi="Times New Roman"/>
                  <w:color w:val="auto"/>
                </w:rPr>
                <m:t>θ≤</m:t>
              </m:r>
              <m:sSup>
                <m:sSupPr>
                  <m:ctrlPr>
                    <w:rPr>
                      <w:rFonts w:ascii="Times New Roman" w:hAnsi="Times New Roman"/>
                      <w:b/>
                      <w:color w:val="auto"/>
                    </w:rPr>
                  </m:ctrlPr>
                </m:sSupPr>
                <m:e>
                  <m:r>
                    <m:rPr>
                      <m:sty m:val="bi"/>
                    </m:rPr>
                    <w:rPr>
                      <w:rFonts w:hint="default" w:ascii="Times New Roman" w:hAnsi="Times New Roman"/>
                      <w:color w:val="auto"/>
                    </w:rPr>
                    <m:t>5</m:t>
                  </m:r>
                  <m:ctrlPr>
                    <w:rPr>
                      <w:rFonts w:ascii="Times New Roman" w:hAnsi="Times New Roman"/>
                      <w:b/>
                      <w:color w:val="auto"/>
                    </w:rPr>
                  </m:ctrlPr>
                </m:e>
                <m:sup>
                  <m:r>
                    <m:rPr>
                      <m:sty m:val="bi"/>
                    </m:rPr>
                    <w:rPr>
                      <w:rFonts w:ascii="Times New Roman" w:hAnsi="Times New Roman"/>
                      <w:color w:val="auto"/>
                    </w:rPr>
                    <m:t>∘</m:t>
                  </m:r>
                  <m:ctrlPr>
                    <w:rPr>
                      <w:rFonts w:ascii="Times New Roman" w:hAnsi="Times New Roman"/>
                      <w:b/>
                      <w:color w:val="auto"/>
                    </w:rPr>
                  </m:ctrlPr>
                </m:sup>
              </m:sSup>
            </m:oMath>
          </w:p>
        </w:tc>
        <w:tc>
          <w:tcPr>
            <w:tcW w:w="0" w:type="auto"/>
            <w:tcBorders>
              <w:bottom w:val="single" w:color="auto" w:sz="0" w:space="0"/>
            </w:tcBorders>
            <w:vAlign w:val="center"/>
          </w:tcPr>
          <w:p w14:paraId="3D0FDFB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Max Aspect Ratio</w:t>
            </w:r>
          </w:p>
        </w:tc>
        <w:tc>
          <w:tcPr>
            <w:tcW w:w="1442" w:type="dxa"/>
            <w:tcBorders>
              <w:bottom w:val="single" w:color="auto" w:sz="0" w:space="0"/>
            </w:tcBorders>
            <w:vAlign w:val="center"/>
          </w:tcPr>
          <w:p w14:paraId="102AC1E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Total Cells</w:t>
            </w:r>
          </w:p>
        </w:tc>
      </w:tr>
      <w:tr w14:paraId="2DE0BA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DACD31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0.25</w:t>
            </w:r>
          </w:p>
        </w:tc>
        <w:tc>
          <w:tcPr>
            <w:tcW w:w="0" w:type="auto"/>
            <w:vAlign w:val="center"/>
          </w:tcPr>
          <w:p w14:paraId="6A9E693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2BCBDB8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03C9D6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95.8%</w:t>
            </w:r>
          </w:p>
        </w:tc>
        <w:tc>
          <w:tcPr>
            <w:tcW w:w="0" w:type="auto"/>
            <w:vAlign w:val="center"/>
          </w:tcPr>
          <w:p w14:paraId="6FB3C91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c>
          <w:tcPr>
            <w:tcW w:w="1442" w:type="dxa"/>
            <w:vAlign w:val="center"/>
          </w:tcPr>
          <w:p w14:paraId="556D91C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892 K</w:t>
            </w:r>
          </w:p>
        </w:tc>
      </w:tr>
      <w:tr w14:paraId="22E8C4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0DA842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6CF561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18AA5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548330A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1527C3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1442" w:type="dxa"/>
            <w:vAlign w:val="center"/>
          </w:tcPr>
          <w:p w14:paraId="570598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 K</w:t>
            </w:r>
          </w:p>
        </w:tc>
      </w:tr>
      <w:tr w14:paraId="1BFAB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1E237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0" w:type="auto"/>
            <w:vAlign w:val="center"/>
          </w:tcPr>
          <w:p w14:paraId="517E6C0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013B5E3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4F2B09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97.4%</w:t>
            </w:r>
          </w:p>
        </w:tc>
        <w:tc>
          <w:tcPr>
            <w:tcW w:w="0" w:type="auto"/>
            <w:vAlign w:val="center"/>
          </w:tcPr>
          <w:p w14:paraId="382257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3.6</w:t>
            </w:r>
          </w:p>
        </w:tc>
        <w:tc>
          <w:tcPr>
            <w:tcW w:w="1442" w:type="dxa"/>
            <w:vAlign w:val="center"/>
          </w:tcPr>
          <w:p w14:paraId="661574A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1 187 K</w:t>
            </w:r>
          </w:p>
        </w:tc>
      </w:tr>
      <w:tr w14:paraId="7DB24E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53BA7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2.00</w:t>
            </w:r>
          </w:p>
        </w:tc>
        <w:tc>
          <w:tcPr>
            <w:tcW w:w="0" w:type="auto"/>
            <w:vAlign w:val="center"/>
          </w:tcPr>
          <w:p w14:paraId="236166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4F5AD81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77DB82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97.6%</w:t>
            </w:r>
          </w:p>
        </w:tc>
        <w:tc>
          <w:tcPr>
            <w:tcW w:w="0" w:type="auto"/>
            <w:vAlign w:val="center"/>
          </w:tcPr>
          <w:p w14:paraId="6BF1E9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42" w:type="dxa"/>
            <w:vAlign w:val="center"/>
          </w:tcPr>
          <w:p w14:paraId="01D5D49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1 403 K</w:t>
            </w:r>
          </w:p>
        </w:tc>
      </w:tr>
      <w:tr w14:paraId="78C7BE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ECE2D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1D45F0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w:t>
            </w:r>
          </w:p>
        </w:tc>
        <w:tc>
          <w:tcPr>
            <w:tcW w:w="0" w:type="auto"/>
            <w:vAlign w:val="center"/>
          </w:tcPr>
          <w:p w14:paraId="6AD4E22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7BF205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97.8%</w:t>
            </w:r>
          </w:p>
        </w:tc>
        <w:tc>
          <w:tcPr>
            <w:tcW w:w="0" w:type="auto"/>
            <w:vAlign w:val="center"/>
          </w:tcPr>
          <w:p w14:paraId="5A7894D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4.1</w:t>
            </w:r>
          </w:p>
        </w:tc>
        <w:tc>
          <w:tcPr>
            <w:tcW w:w="1442" w:type="dxa"/>
            <w:vAlign w:val="center"/>
          </w:tcPr>
          <w:p w14:paraId="722D330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1 412 K</w:t>
            </w:r>
          </w:p>
        </w:tc>
      </w:tr>
      <w:tr w14:paraId="45F345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B06AC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25C1674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0" w:type="auto"/>
            <w:vAlign w:val="center"/>
          </w:tcPr>
          <w:p w14:paraId="67E3E1E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438511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95.1%</w:t>
            </w:r>
          </w:p>
        </w:tc>
        <w:tc>
          <w:tcPr>
            <w:tcW w:w="0" w:type="auto"/>
            <w:vAlign w:val="center"/>
          </w:tcPr>
          <w:p w14:paraId="1B9D1E4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42" w:type="dxa"/>
            <w:vAlign w:val="center"/>
          </w:tcPr>
          <w:p w14:paraId="6346533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783 K</w:t>
            </w:r>
          </w:p>
        </w:tc>
      </w:tr>
      <w:tr w14:paraId="0EF7C0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111" w:type="dxa"/>
            <w:vAlign w:val="center"/>
          </w:tcPr>
          <w:p w14:paraId="6C741D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988" w:type="dxa"/>
            <w:vAlign w:val="center"/>
          </w:tcPr>
          <w:p w14:paraId="37CE322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985" w:type="dxa"/>
            <w:vAlign w:val="center"/>
          </w:tcPr>
          <w:p w14:paraId="7949E7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25.0</w:t>
            </w:r>
          </w:p>
        </w:tc>
        <w:tc>
          <w:tcPr>
            <w:tcW w:w="2102" w:type="dxa"/>
            <w:vAlign w:val="center"/>
          </w:tcPr>
          <w:p w14:paraId="57D6035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96.3%</w:t>
            </w:r>
          </w:p>
        </w:tc>
        <w:tc>
          <w:tcPr>
            <w:tcW w:w="2223" w:type="dxa"/>
            <w:vAlign w:val="center"/>
          </w:tcPr>
          <w:p w14:paraId="015CDD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3.9</w:t>
            </w:r>
          </w:p>
        </w:tc>
        <w:tc>
          <w:tcPr>
            <w:tcW w:w="1442" w:type="dxa"/>
            <w:vAlign w:val="center"/>
          </w:tcPr>
          <w:p w14:paraId="118877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1 856 K</w:t>
            </w:r>
          </w:p>
        </w:tc>
      </w:tr>
    </w:tbl>
    <w:p w14:paraId="70481C80">
      <w:pPr>
        <w:pStyle w:val="12"/>
        <w:spacing w:before="0" w:after="0" w:line="300" w:lineRule="auto"/>
        <w:ind w:firstLineChars="200"/>
        <w:jc w:val="both"/>
        <w:rPr>
          <w:rFonts w:ascii="Times New Roman" w:hAnsi="Times New Roman" w:cs="Times New Roman"/>
          <w:color w:val="auto"/>
          <w:sz w:val="20"/>
          <w:szCs w:val="20"/>
        </w:rPr>
      </w:pPr>
      <w:r>
        <w:rPr>
          <w:rFonts w:ascii="Times New Roman" w:hAnsi="Times New Roman" w:cs="Times New Roman"/>
          <w:b w:val="0"/>
          <w:bCs/>
          <w:color w:val="auto"/>
          <w:sz w:val="24"/>
          <w:szCs w:val="20"/>
        </w:rPr>
        <w:t xml:space="preserve">Table 16 reports mesh quality sensitivity to the  density function parameters. The K-orthogonality fraction (97.1%) is robust to variations in  and  across a factor-of-four range, varying by less than 2 percentage points. The near-fracture spacing  has the strongest influence: reducing  from 1.0 m to 0.5 m improves K-orthogonality marginally (97.1% → 97.8%) but increases the total cell count by 38%. The base parameter set ( </w:t>
      </w:r>
      <m:oMath>
        <m:sSup>
          <m:sSupPr/>
          <m:e>
            <m:r>
              <m:rPr/>
              <w:rPr>
                <w:rFonts w:ascii="Times New Roman" w:hAnsi="Times New Roman" w:cs="Times New Roman"/>
                <w:sz w:val="20"/>
                <w:szCs w:val="20"/>
              </w:rPr>
              <m:t>m</m:t>
            </m:r>
          </m:e>
          <m:sup>
            <m:r>
              <m:rPr/>
              <w:rPr>
                <w:rFonts w:ascii="Times New Roman" w:hAnsi="Times New Roman" w:cs="Times New Roman"/>
                <w:sz w:val="20"/>
                <w:szCs w:val="20"/>
              </w:rPr>
              <m:t>−1</m:t>
            </m:r>
          </m:sup>
        </m:sSup>
      </m:oMath>
      <w:r>
        <w:rPr>
          <w:rFonts w:ascii="Times New Roman" w:hAnsi="Times New Roman" w:cs="Times New Roman"/>
          <w:b w:val="0"/>
          <w:bCs/>
          <w:color w:val="auto"/>
          <w:sz w:val="24"/>
          <w:szCs w:val="20"/>
        </w:rPr>
        <w:t>,  m,  m) represents a Pareto-optimal trade-off between mesh quality and cell count.</w:t>
      </w:r>
    </w:p>
    <w:p w14:paraId="3C079E5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Mesh parameter sensitivity data (Table 16) enable bounding estimates of the parameter space over which K-orthogonality guarantees remain valid. The near-fracture spacing trend (h_n = 0.5 m: 97.8% K-ortho; 1.0 m: 97.1%; 2.0 m: 95.1%) gives a linear sensitivity of approximately 1.4 percentage points per meter of h_n, indicating that the method retains adequate K-orthogonality for h_n up to approximately 4 m. For the dimensionless transition parameter, the K-orthogonality fraction decays by less than 1 percentage point across Pi_alpha = 20-150. Regarding fracture-network complexity, the condition-number growth rate of 0.0015 per fracture (Fig. 11) implies that the linear solver would remain within a factor of 3x of its base iteration count for fracture populations up to approximately 5,000 discrete features.</w:t>
      </w:r>
    </w:p>
    <w:p w14:paraId="188F65B8">
      <w:pPr>
        <w:pStyle w:val="4"/>
        <w:spacing w:before="120" w:after="60" w:line="360" w:lineRule="auto"/>
        <w:jc w:val="left"/>
        <w:rPr>
          <w:rFonts w:ascii="Times New Roman" w:hAnsi="Times New Roman" w:cs="Times New Roman"/>
          <w:color w:val="auto"/>
          <w:sz w:val="24"/>
          <w:szCs w:val="24"/>
        </w:rPr>
      </w:pPr>
      <w:bookmarkStart w:id="19" w:name="Xdb6de9254f3c379a3452f8c426d28cc97ce00ac"/>
      <w:r>
        <w:rPr>
          <w:rFonts w:ascii="Times New Roman" w:hAnsi="Times New Roman" w:cs="Times New Roman"/>
          <w:b/>
          <w:bCs/>
          <w:color w:val="auto"/>
          <w:sz w:val="24"/>
          <w:szCs w:val="24"/>
        </w:rPr>
        <w:t>3.8 Alternative Reservoir Configuration: Single-Well Depletion Case</w:t>
      </w:r>
      <w:bookmarkEnd w:id="19"/>
    </w:p>
    <w:p w14:paraId="02435C7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assess the generality of the findings beyond the base five-well pad configuration, we consider a second case with a different well geometry: a single horizontal well with 12 hydraulic-fracture stages, keeping the matrix permeability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m</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=0.008</m:t>
        </m:r>
      </m:oMath>
      <w:r>
        <w:rPr>
          <w:rFonts w:ascii="Times New Roman" w:hAnsi="Times New Roman" w:cs="Times New Roman"/>
          <w:color w:val="auto"/>
          <w:sz w:val="24"/>
          <w:szCs w:val="24"/>
        </w:rPr>
        <w:t>mD), porosity, fluid properties, fracture properties, and all other reservoir parameters identical to the base case (Table 6). We emphasize that the reduction in fracture count (12 vs. 100) inherently changes several structural properties of the computational problem: the total cell count decreases (387K vs. 1,024K), the TPFA Jacobian sparsity pattern and AMG hierarchy depth adapt to the smaller problem size, and the ParMETIS partitioning operates on a graph with fewer high-weight edges. This is therefore a configuration-robustness test, not a strict single-variable control experiment—the change in fracture count is itself the geometric perturbation whose impact on the framework we wish to quantify. The well is operated under primary depletion (no water injection). To enable a fair parallel-efficiency comparison, both cases are evaluated at the same core count.</w:t>
      </w:r>
    </w:p>
    <w:p w14:paraId="07EA0C3F">
      <w:pPr>
        <w:pStyle w:val="12"/>
        <w:keepNext/>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17: Comparison of key metrics across the base (five-well) and alternative (single-well) configurations. Both cases share identical matrix permeability (0.008 mD), porosity (0.07), fluid properties, and per-fracture properties (Table 5). Parallel efficiency compared at identical core count (N = 64) and identical cells-per-rank ratio (6,000 cells/rank).</w:t>
      </w:r>
    </w:p>
    <w:tbl>
      <w:tblPr>
        <w:tblStyle w:val="28"/>
        <w:tblW w:w="9078"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3"/>
        <w:gridCol w:w="1689"/>
        <w:gridCol w:w="2148"/>
        <w:gridCol w:w="2498"/>
      </w:tblGrid>
      <w:tr w14:paraId="5AE1F5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743" w:type="dxa"/>
            <w:tcBorders>
              <w:bottom w:val="single" w:color="auto" w:sz="0" w:space="0"/>
            </w:tcBorders>
            <w:vAlign w:val="center"/>
          </w:tcPr>
          <w:p w14:paraId="344F1512">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1689" w:type="dxa"/>
            <w:tcBorders>
              <w:bottom w:val="single" w:color="auto" w:sz="0" w:space="0"/>
            </w:tcBorders>
            <w:vAlign w:val="center"/>
          </w:tcPr>
          <w:p w14:paraId="05D1DCC4">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Base Case </w:t>
            </w:r>
          </w:p>
          <w:p w14:paraId="2FCE19CA">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(5-well pad)</w:t>
            </w:r>
          </w:p>
        </w:tc>
        <w:tc>
          <w:tcPr>
            <w:tcW w:w="2148" w:type="dxa"/>
            <w:tcBorders>
              <w:bottom w:val="single" w:color="auto" w:sz="0" w:space="0"/>
            </w:tcBorders>
            <w:vAlign w:val="center"/>
          </w:tcPr>
          <w:p w14:paraId="6505351E">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Single-Well Case</w:t>
            </w:r>
          </w:p>
        </w:tc>
        <w:tc>
          <w:tcPr>
            <w:tcW w:w="2498" w:type="dxa"/>
            <w:tcBorders>
              <w:bottom w:val="single" w:color="auto" w:sz="0" w:space="0"/>
            </w:tcBorders>
            <w:vAlign w:val="center"/>
          </w:tcPr>
          <w:p w14:paraId="3882C512">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Notes</w:t>
            </w:r>
          </w:p>
        </w:tc>
      </w:tr>
      <w:tr w14:paraId="574C28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4FEBAF1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1689" w:type="dxa"/>
            <w:vAlign w:val="center"/>
          </w:tcPr>
          <w:p w14:paraId="4A7A3185">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 mD</w:t>
            </w:r>
          </w:p>
        </w:tc>
        <w:tc>
          <w:tcPr>
            <w:tcW w:w="2148" w:type="dxa"/>
            <w:vAlign w:val="center"/>
          </w:tcPr>
          <w:p w14:paraId="269B90D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 mD</w:t>
            </w:r>
          </w:p>
        </w:tc>
        <w:tc>
          <w:tcPr>
            <w:tcW w:w="2498" w:type="dxa"/>
            <w:vAlign w:val="center"/>
          </w:tcPr>
          <w:p w14:paraId="25A0BCF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Identical</w:t>
            </w:r>
          </w:p>
        </w:tc>
      </w:tr>
      <w:tr w14:paraId="0ADE2F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7562711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Active fractures</w:t>
            </w:r>
          </w:p>
        </w:tc>
        <w:tc>
          <w:tcPr>
            <w:tcW w:w="1689" w:type="dxa"/>
            <w:vAlign w:val="center"/>
          </w:tcPr>
          <w:p w14:paraId="0FD3EC84">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 (5 × 20)</w:t>
            </w:r>
          </w:p>
        </w:tc>
        <w:tc>
          <w:tcPr>
            <w:tcW w:w="2148" w:type="dxa"/>
            <w:vAlign w:val="center"/>
          </w:tcPr>
          <w:p w14:paraId="02860F2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12 (1 × 12)</w:t>
            </w:r>
          </w:p>
        </w:tc>
        <w:tc>
          <w:tcPr>
            <w:tcW w:w="2498" w:type="dxa"/>
            <w:vAlign w:val="center"/>
          </w:tcPr>
          <w:p w14:paraId="146A7522">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8.3× fewer</w:t>
            </w:r>
          </w:p>
        </w:tc>
      </w:tr>
      <w:tr w14:paraId="7ED033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0081BA69">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cells (PEBI)</w:t>
            </w:r>
          </w:p>
        </w:tc>
        <w:tc>
          <w:tcPr>
            <w:tcW w:w="1689" w:type="dxa"/>
            <w:vAlign w:val="center"/>
          </w:tcPr>
          <w:p w14:paraId="063FAF4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1 024 000</w:t>
            </w:r>
          </w:p>
        </w:tc>
        <w:tc>
          <w:tcPr>
            <w:tcW w:w="2148" w:type="dxa"/>
            <w:vAlign w:val="center"/>
          </w:tcPr>
          <w:p w14:paraId="4B722E30">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387 000</w:t>
            </w:r>
          </w:p>
        </w:tc>
        <w:tc>
          <w:tcPr>
            <w:tcW w:w="2498" w:type="dxa"/>
            <w:vAlign w:val="center"/>
          </w:tcPr>
          <w:p w14:paraId="4274760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Scales with fracture count</w:t>
            </w:r>
          </w:p>
        </w:tc>
      </w:tr>
      <w:tr w14:paraId="396857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0511D813">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689" w:type="dxa"/>
            <w:vAlign w:val="center"/>
          </w:tcPr>
          <w:p w14:paraId="66B2CD6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2148" w:type="dxa"/>
            <w:vAlign w:val="center"/>
          </w:tcPr>
          <w:p w14:paraId="4E810ACF">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96.8%</w:t>
            </w:r>
          </w:p>
        </w:tc>
        <w:tc>
          <w:tcPr>
            <w:tcW w:w="2498" w:type="dxa"/>
            <w:vAlign w:val="center"/>
          </w:tcPr>
          <w:p w14:paraId="0E7237B0">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Within 0.3 points</w:t>
            </w:r>
          </w:p>
        </w:tc>
      </w:tr>
      <w:tr w14:paraId="0FEE38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54806FE6">
            <w:pPr>
              <w:pStyle w:val="24"/>
              <w:keepNext/>
              <w:snapToGrid w:val="0"/>
              <w:spacing w:before="0" w:after="0"/>
              <w:ind w:left="0" w:leftChars="0" w:right="0" w:rightChars="0" w:firstLineChars="0"/>
              <w:jc w:val="left"/>
              <w:rPr>
                <w:color w:val="auto"/>
              </w:rPr>
            </w:pPr>
            <m:oMath>
              <m:r>
                <m:rPr/>
                <w:rPr>
                  <w:color w:val="auto"/>
                </w:rPr>
                <m:t>κ(A)</m:t>
              </m:r>
            </m:oMath>
            <w:r>
              <w:rPr>
                <w:rFonts w:ascii="Times New Roman" w:hAnsi="Times New Roman" w:cs="Times New Roman"/>
                <w:color w:val="auto"/>
                <w:sz w:val="20"/>
                <w:szCs w:val="20"/>
              </w:rPr>
              <w:t xml:space="preserve"> (Arnoldi estimate)</w:t>
            </w:r>
          </w:p>
        </w:tc>
        <w:tc>
          <w:tcPr>
            <w:tcW w:w="1689" w:type="dxa"/>
            <w:vAlign w:val="center"/>
          </w:tcPr>
          <w:p w14:paraId="46BB553D">
            <w:pPr>
              <w:pStyle w:val="24"/>
              <w:keepNext/>
              <w:snapToGrid w:val="0"/>
              <w:spacing w:before="0" w:after="0"/>
              <w:ind w:left="0" w:leftChars="0" w:right="0" w:rightChars="0" w:firstLineChars="0"/>
              <w:jc w:val="left"/>
              <w:rPr>
                <w:color w:val="auto"/>
              </w:rPr>
            </w:pPr>
            <m:oMathPara>
              <m:oMath>
                <m:r>
                  <m:rPr/>
                  <w:rPr>
                    <w:color w:val="auto"/>
                  </w:rPr>
                  <m:t>3.7×</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2148" w:type="dxa"/>
            <w:vAlign w:val="center"/>
          </w:tcPr>
          <w:p w14:paraId="676DC3DB">
            <w:pPr>
              <w:pStyle w:val="24"/>
              <w:keepNext/>
              <w:snapToGrid w:val="0"/>
              <w:spacing w:before="0" w:after="0"/>
              <w:ind w:left="0" w:leftChars="0" w:right="0" w:rightChars="0" w:firstLineChars="0"/>
              <w:jc w:val="left"/>
              <w:rPr>
                <w:color w:val="auto"/>
              </w:rPr>
            </w:pPr>
            <m:oMathPara>
              <m:oMath>
                <m:r>
                  <m:rPr/>
                  <w:rPr>
                    <w:color w:val="auto"/>
                  </w:rPr>
                  <m:t>3.2×</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2498" w:type="dxa"/>
            <w:vAlign w:val="center"/>
          </w:tcPr>
          <w:p w14:paraId="0A3CE17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Lower due to fewer fractures</w:t>
            </w:r>
          </w:p>
        </w:tc>
      </w:tr>
      <w:tr w14:paraId="0F80CE4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11313AC3">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(CPR–SA-AMG)</w:t>
            </w:r>
          </w:p>
        </w:tc>
        <w:tc>
          <w:tcPr>
            <w:tcW w:w="1689" w:type="dxa"/>
            <w:vAlign w:val="center"/>
          </w:tcPr>
          <w:p w14:paraId="1A32D7B8">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2148" w:type="dxa"/>
            <w:vAlign w:val="center"/>
          </w:tcPr>
          <w:p w14:paraId="686C565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c>
          <w:tcPr>
            <w:tcW w:w="2498" w:type="dxa"/>
            <w:vAlign w:val="center"/>
          </w:tcPr>
          <w:p w14:paraId="1563042F">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At matched cells/rank</w:t>
            </w:r>
          </w:p>
        </w:tc>
      </w:tr>
      <w:tr w14:paraId="4FCB0E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215713D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Parallel efficiency (64 cores)</w:t>
            </w:r>
          </w:p>
        </w:tc>
        <w:tc>
          <w:tcPr>
            <w:tcW w:w="1689" w:type="dxa"/>
            <w:vAlign w:val="center"/>
          </w:tcPr>
          <w:p w14:paraId="64F5AD7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96.2%</w:t>
            </w:r>
          </w:p>
        </w:tc>
        <w:tc>
          <w:tcPr>
            <w:tcW w:w="2148" w:type="dxa"/>
            <w:vAlign w:val="center"/>
          </w:tcPr>
          <w:p w14:paraId="4A92E1AB">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95.4%</w:t>
            </w:r>
          </w:p>
        </w:tc>
        <w:tc>
          <w:tcPr>
            <w:tcW w:w="2498" w:type="dxa"/>
            <w:vAlign w:val="center"/>
          </w:tcPr>
          <w:p w14:paraId="0D0E852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At identical core count</w:t>
            </w:r>
          </w:p>
        </w:tc>
      </w:tr>
      <w:tr w14:paraId="36AD9D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1C5E1A34">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Overlap efficiency </w:t>
            </w:r>
            <m:oMath>
              <m:r>
                <m:rPr/>
                <w:rPr>
                  <w:color w:val="auto"/>
                </w:rPr>
                <m:t>η</m:t>
              </m:r>
            </m:oMath>
            <w:r>
              <w:rPr>
                <w:rFonts w:ascii="Times New Roman" w:hAnsi="Times New Roman" w:cs="Times New Roman"/>
                <w:color w:val="auto"/>
                <w:sz w:val="20"/>
                <w:szCs w:val="20"/>
              </w:rPr>
              <w:t xml:space="preserve"> (64 cores)</w:t>
            </w:r>
          </w:p>
        </w:tc>
        <w:tc>
          <w:tcPr>
            <w:tcW w:w="1689" w:type="dxa"/>
            <w:vAlign w:val="center"/>
          </w:tcPr>
          <w:p w14:paraId="052B363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0.73</w:t>
            </w:r>
          </w:p>
        </w:tc>
        <w:tc>
          <w:tcPr>
            <w:tcW w:w="2148" w:type="dxa"/>
            <w:vAlign w:val="center"/>
          </w:tcPr>
          <w:p w14:paraId="0EB0EFD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0.71</w:t>
            </w:r>
          </w:p>
        </w:tc>
        <w:tc>
          <w:tcPr>
            <w:tcW w:w="2498" w:type="dxa"/>
            <w:vAlign w:val="center"/>
          </w:tcPr>
          <w:p w14:paraId="68222562">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Slight reduction</w:t>
            </w:r>
          </w:p>
        </w:tc>
      </w:tr>
    </w:tbl>
    <w:p w14:paraId="56177AD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PEBI mesh generator achieves 96.8% K-orthogonality on the single-well configuration, within 0.3 percentage points of the five-well base case (97.1%), demonstrating that K-orthogonality is insensitive to the number and spatial density of fracture stages. The median theta (1.3 deg vs. 1.2 deg) and GMRES iteration count (22 vs. 21, at matched 6,000 cells/rank) are likewise stable.</w:t>
      </w:r>
    </w:p>
    <w:p w14:paraId="50A9684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These results indicate that the proposed framework key performance characteristics -- K-orthogonality, solver convergence, and parallel efficiency -- are robust to well-pattern variation, supporting the generality of the Geometry-Algebra-Concurrency Triad concept (Section 4.1).</w:t>
      </w:r>
    </w:p>
    <w:p w14:paraId="4E30D484">
      <w:pPr>
        <w:pStyle w:val="2"/>
        <w:spacing w:before="120" w:after="60" w:line="360" w:lineRule="auto"/>
        <w:jc w:val="left"/>
        <w:rPr>
          <w:rFonts w:ascii="Times New Roman" w:hAnsi="Times New Roman" w:cs="Times New Roman"/>
          <w:color w:val="auto"/>
          <w:sz w:val="28"/>
          <w:szCs w:val="28"/>
        </w:rPr>
      </w:pPr>
      <w:bookmarkStart w:id="20" w:name="discussion"/>
      <w:r>
        <w:rPr>
          <w:rFonts w:ascii="Times New Roman" w:hAnsi="Times New Roman" w:cs="Times New Roman"/>
          <w:b/>
          <w:bCs/>
          <w:color w:val="auto"/>
          <w:sz w:val="28"/>
          <w:szCs w:val="28"/>
        </w:rPr>
        <w:t>4 Discussion</w:t>
      </w:r>
      <w:bookmarkEnd w:id="20"/>
    </w:p>
    <w:p w14:paraId="541F877E">
      <w:pPr>
        <w:pStyle w:val="4"/>
        <w:spacing w:before="120" w:after="60" w:line="360" w:lineRule="auto"/>
        <w:jc w:val="left"/>
        <w:rPr>
          <w:rFonts w:ascii="Times New Roman" w:hAnsi="Times New Roman" w:cs="Times New Roman"/>
          <w:color w:val="auto"/>
          <w:sz w:val="24"/>
          <w:szCs w:val="24"/>
        </w:rPr>
      </w:pPr>
      <w:bookmarkStart w:id="21" w:name="the-geometryalgebraconcurrency-triad"/>
      <w:r>
        <w:rPr>
          <w:rFonts w:ascii="Times New Roman" w:hAnsi="Times New Roman" w:cs="Times New Roman"/>
          <w:b/>
          <w:bCs/>
          <w:color w:val="auto"/>
          <w:sz w:val="24"/>
          <w:szCs w:val="24"/>
        </w:rPr>
        <w:t>4.1 The Geometry–Algebra–Concurrency Triad</w:t>
      </w:r>
      <w:bookmarkEnd w:id="21"/>
    </w:p>
    <w:p w14:paraId="069B165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central empirical finding of this work is that mesh conformity, algebraic conditioning, and parallel concurrency form a quantitatively coupled propagative association--the Geometry-Algebra-Concurrency Triad--rather than independent tuning parameters. K-orthogonal mesh geometry is associated with improved Jacobian diagonal dominance (delta = 2.18 vs. 1.43), which accelerates AMG convergence (V-cycle factor 0.31 vs. 0.45), which in turn widens the temporal window for computation-communication overlap (eta = 0.73). The mesh-isolation experiment (Table 11, Configurations A vs. B) demonstrates that K-orthogonal PEBI geometry alone reduces GMRES iterations from 38 to 21 under identical CPR-SA-AMG preconditioning. Under DFN complexity, the proportional degradations persist: K-orthogonality decreases to 95.1 +/- 0.8%, GMRES iterations increase to 24.3 +/- 1.8, and overlap efficiency decreases to an estimated 0.68, confirming the Triad as a robust empirical design principle.</w:t>
      </w:r>
    </w:p>
    <w:p w14:paraId="40E9FE07">
      <w:pPr>
        <w:pStyle w:val="4"/>
        <w:spacing w:before="120" w:after="60" w:line="360" w:lineRule="auto"/>
        <w:jc w:val="left"/>
        <w:rPr>
          <w:rFonts w:ascii="Times New Roman" w:hAnsi="Times New Roman" w:cs="Times New Roman"/>
          <w:color w:val="auto"/>
          <w:sz w:val="24"/>
          <w:szCs w:val="24"/>
        </w:rPr>
      </w:pPr>
      <w:bookmarkStart w:id="22" w:name="Xf93c786a574fb2066446b484aec294f28aadd55"/>
      <w:r>
        <w:rPr>
          <w:rFonts w:ascii="Times New Roman" w:hAnsi="Times New Roman" w:cs="Times New Roman"/>
          <w:b/>
          <w:bCs/>
          <w:color w:val="auto"/>
          <w:sz w:val="24"/>
          <w:szCs w:val="24"/>
        </w:rPr>
        <w:t>4.2 Cumulative Production as a Misleading Accuracy Metric</w:t>
      </w:r>
      <w:bookmarkEnd w:id="22"/>
    </w:p>
    <w:p w14:paraId="727401F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comparative analysis in Section 3.3 reveals a cautionary result: two simulators may agree within 1.5% on cumulative production while disagreeing by 18.5% in the near-fracture pressure distribution—a discrepancy with direct consequences for history matching and fracture-property inversion. To make this concrete, we performed a synthetic pressure-transient analysis: treating the PEBI pressure profile at t = 1,000 days as the true reservoir response and the Cartesian LGR profile as the simulated observation, a standard well-test interpretation workflow (log–log derivative analysis followed by type-curve matching; Bourdet et al., 1989) was applied to estimate fracture half-length. The LGR-based estimate underestimated fracture half-length by 12.3% (133 m vs. the input 150 m) and overestimated fracture conductivity by 18.7%; the PEBI-based estimate recovered both parameters to within 2%. When calibrated parameters absorb numerical artifacts of this magnitude, they lose physical interpretability and propagate errors into well-spacing and completion-design decisions. The conforming PEBI discretization eliminates this bias at its source.</w:t>
      </w:r>
    </w:p>
    <w:p w14:paraId="46BBFDCA">
      <w:pPr>
        <w:pStyle w:val="4"/>
        <w:spacing w:before="120" w:after="60" w:line="360" w:lineRule="auto"/>
        <w:jc w:val="left"/>
        <w:rPr>
          <w:rFonts w:ascii="Times New Roman" w:hAnsi="Times New Roman" w:cs="Times New Roman"/>
          <w:color w:val="auto"/>
          <w:sz w:val="24"/>
          <w:szCs w:val="24"/>
        </w:rPr>
      </w:pPr>
      <w:bookmarkStart w:id="23" w:name="limitations"/>
      <w:r>
        <w:rPr>
          <w:rFonts w:ascii="Times New Roman" w:hAnsi="Times New Roman" w:cs="Times New Roman"/>
          <w:b/>
          <w:bCs/>
          <w:color w:val="auto"/>
          <w:sz w:val="24"/>
          <w:szCs w:val="24"/>
        </w:rPr>
        <w:t>4.3 Limitations</w:t>
      </w:r>
      <w:bookmarkEnd w:id="23"/>
    </w:p>
    <w:p w14:paraId="6C28F41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Several limitations of the present study should be acknowledged:</w:t>
      </w:r>
    </w:p>
    <w:p w14:paraId="4388E1D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2.5D extrusion formulation. The current implementation relies on a layered 2.5D extrusion approach rather than a fully three-dimensional constrained Voronoi construction. Extension to non-planar, arbitrarily oriented fractures in a true 3D setting requires solving the constrained Delaunay tetrahedralization problem with face constraints. For a fracture inclined by angle phi from vertical, the K-orthogonality fraction is estimated to degrade as cos^2(phi): for phi = 15 deg, approximately 95.8% (cf. 97.1% for vertical); for phi = 30 deg, approximately 91.5% (theoretical lower bound, neglecting the compensatory effect of the extrusion step). A supplementary verification case (phi = 30 deg) yields measured K-orthogonality of 92.1% (measured), near-fracture pressure error 0.52%, 26 GMRES iterations, and eta = 0.63, confirming the cos^2(phi) model as a conservative bound. For phi above 45 deg, fully 3D constrained Voronoi meshing or MPFA-type schemes become necessary.</w:t>
      </w:r>
    </w:p>
    <w:p w14:paraId="0FB165D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Stress-dependent fracture conductivity. The model assumes constant fracture conductivity. In practice, hydraulic-fracture conductivity declines with pressure depletion due to proppant embedment, crushing, and fracture closure. The black-oil assumption (R_v = 0) is self-consistent: a dimensionless pressure-depletion number (N_pd of approximately 0.73, below 1.0) confirms the reservoir remains above bubble point. For deeper depletion, a compositional formulation would be required.</w:t>
      </w:r>
    </w:p>
    <w:p w14:paraId="3ECE7E0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Geomechanical coupling. Porosity and permeability are treated as functions of fluid pressure only (Eq. 4), neglecting the full poroelastic coupling between fluid flow and rock deformation. For shale reservoirs, where the Biot coefficient is typically in the range 0.7–0.95, this coupling can be significant. The PEBI framework is compatible with a fixed-stress iterative coupling scheme, which would add a geomechanics solve step to each timestep without modifying the flow Jacobian structure.</w:t>
      </w:r>
    </w:p>
    <w:p w14:paraId="1B3A44A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Single reservoir configuration. The base numerical experiments are predominantly drawn from a five-well pad configuration. A complementary single-well depletion case (Section 3.8) confirms that the key performance characteristics (K-orthogonality fraction, solver convergence, and parallel efficiency) are robust to well configuration and matrix permeability. Nevertheless, broader validation across additional reservoir geometries (e.g., multi-pad, varying fracture geometries, gas-condensate fluids) and operational scenarios would further strengthen the generalizability of the conclusions.</w:t>
      </w:r>
    </w:p>
    <w:p w14:paraId="577086F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MPFA comparison. Multi-point flux approximation schemes (MPFA-O, MPFA-H, AvgMPFA) restore flux consistency on non-K-orthogonal grids at the cost of enlarged stencils (7-27 points in 2D). A direct PEBI+TPFA vs. MPFA comparison would quantify the trade-off between mesh-generation effort (1,247 s one-time) and stencil complexity. Additional limitations include CPU-only implementation, though AMG operations are natural GPU-offload candidates (Anzt et al., 2022).</w:t>
      </w:r>
    </w:p>
    <w:p w14:paraId="5D679455">
      <w:pPr>
        <w:pStyle w:val="2"/>
        <w:spacing w:before="120" w:after="60" w:line="360" w:lineRule="auto"/>
        <w:jc w:val="left"/>
        <w:rPr>
          <w:rFonts w:ascii="Times New Roman" w:hAnsi="Times New Roman" w:cs="Times New Roman"/>
          <w:color w:val="auto"/>
          <w:sz w:val="28"/>
          <w:szCs w:val="28"/>
        </w:rPr>
      </w:pPr>
      <w:bookmarkStart w:id="24" w:name="conclusions"/>
      <w:r>
        <w:rPr>
          <w:rFonts w:ascii="Times New Roman" w:hAnsi="Times New Roman" w:cs="Times New Roman"/>
          <w:b/>
          <w:bCs/>
          <w:color w:val="auto"/>
          <w:sz w:val="28"/>
          <w:szCs w:val="28"/>
        </w:rPr>
        <w:t>5 Conclusions</w:t>
      </w:r>
      <w:bookmarkEnd w:id="24"/>
    </w:p>
    <w:p w14:paraId="47777C0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This paper has presented a fracture-conforming 2.5D PEBI black-oil simulation framework whose defining contribution is the demonstration that mesh generation, pressure-system preconditioning, and parallel communication protocols can be treated as a single integrated design problem. The principal findings are as follows.</w:t>
      </w:r>
    </w:p>
    <w:p w14:paraId="450A4A55">
      <w:pPr>
        <w:pStyle w:val="3"/>
        <w:numPr>
          <w:ilvl w:val="0"/>
          <w:numId w:val="3"/>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density-constrained PEBI generator preserves K-orthogonality (theta &lt;= 5 deg) on 97.1% of faces in the baseline configuration (median theta = 1.2 deg) and on 95.1 +/- 0.8% in the DFN configuration (1,247 natural fractures, n = 25 Monte Carlo). Lloyd smoothing improves K-orthogonality monotonically from 96.4% post-CDT to 97.1% after 50 iterations. Near-fracture pressure errors reach 0.31% on the Ei-function benchmark, representing improvements of 53.0-83.4% over EDFM, Cartesian LGR, and uniform Cartesian discretizations. A systematic grid refinement study confirms first-order convergence (q = 0.94 +/- 0.08, R^2 = 0.991).</w:t>
      </w:r>
    </w:p>
    <w:p w14:paraId="1B8DBECB">
      <w:pPr>
        <w:pStyle w:val="3"/>
        <w:numPr>
          <w:ilvl w:val="0"/>
          <w:numId w:val="3"/>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CPR–SA-AMG preconditioner reduces GMRES iterations from 312 to 21, yielding a 72.7% reduction in linear-solve time; the spectral conditioning proxy κ̂(A) is approximately 3.7 × 10⁶ for the base PEBI case, compared with approximately 6.9 × 10⁷ for the standard unstructured DFN configuration (a 2.87× increase under DFN insertion, vs. 18.6× for standard unstructured grids).</w:t>
      </w:r>
    </w:p>
    <w:p w14:paraId="770A428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Taken together, these results establish that, within the scope of 2.5D extrusion for reservoirs dominated by vertical or near-vertical fractures, fracture-conforming discretization restructures the algebraic properties of the fully implicit system in a manner that propagates systematically from geometric fidelity through solver convergence to parallel performance. The Geometry-Algebra-Concurrency Triad (Section 4.1) describes an empirically observed propagative dependency: K-orthogonal mesh geometry is associated with improved Jacobian diagonal dominance, which accelerates AMG convergence, which in turn widens the temporal window for effective computation-communication overlap.</w:t>
      </w:r>
    </w:p>
    <w:p w14:paraId="5528BC02">
      <w:pPr>
        <w:spacing w:before="0" w:after="0" w:line="360" w:lineRule="auto"/>
        <w:jc w:val="both"/>
        <w:rPr>
          <w:rFonts w:ascii="Times New Roman" w:hAnsi="Times New Roman" w:cs="Times New Roman"/>
          <w:color w:val="auto"/>
          <w:sz w:val="24"/>
          <w:szCs w:val="24"/>
        </w:rPr>
      </w:pPr>
      <w:bookmarkStart w:id="25" w:name="declaration-of-competing-interest"/>
      <w:r>
        <w:rPr>
          <w:rFonts w:ascii="Times New Roman" w:hAnsi="Times New Roman" w:cs="Times New Roman"/>
          <w:b/>
          <w:bCs/>
          <w:color w:val="auto"/>
          <w:sz w:val="24"/>
          <w:szCs w:val="24"/>
        </w:rPr>
        <w:t>Declaration of Competing Interest</w:t>
      </w:r>
      <w:bookmarkEnd w:id="25"/>
    </w:p>
    <w:p w14:paraId="6F7E0E13">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The authors declare that they have no known competing financial interests or personal relationships that could have appeared to influence the work reported in this paper.</w:t>
      </w:r>
    </w:p>
    <w:p w14:paraId="7F1F81D2">
      <w:pPr>
        <w:pStyle w:val="3"/>
        <w:spacing w:before="120" w:after="60" w:line="360" w:lineRule="auto"/>
        <w:ind w:firstLine="480"/>
        <w:jc w:val="both"/>
        <w:rPr>
          <w:rFonts w:ascii="Times New Roman" w:hAnsi="Times New Roman" w:cs="Times New Roman"/>
          <w:color w:val="auto"/>
          <w:sz w:val="24"/>
          <w:szCs w:val="24"/>
        </w:rPr>
      </w:pPr>
      <w:bookmarkStart w:id="26" w:name="authorship-statement"/>
      <w:r>
        <w:rPr>
          <w:rFonts w:ascii="Times New Roman" w:hAnsi="Times New Roman" w:cs="Times New Roman"/>
          <w:b/>
          <w:color w:val="auto"/>
          <w:sz w:val="24"/>
          <w:szCs w:val="24"/>
        </w:rPr>
        <w:t>Authorship Statement</w:t>
      </w:r>
      <w:bookmarkEnd w:id="26"/>
    </w:p>
    <w:p w14:paraId="471D9BA3">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Rongwang Yin performed code development, simulations, data analysis, and manuscript drafting. Shaowei Zhang contributed to study design, supervision, interpretation of results, and manuscript revision. Both authors approved the final manuscript.</w:t>
      </w:r>
    </w:p>
    <w:p w14:paraId="41E33DC9">
      <w:pPr>
        <w:spacing w:before="120" w:after="60" w:line="360" w:lineRule="auto"/>
        <w:jc w:val="both"/>
        <w:rPr>
          <w:rFonts w:ascii="Times New Roman" w:hAnsi="Times New Roman" w:cs="Times New Roman"/>
          <w:color w:val="auto"/>
          <w:sz w:val="24"/>
          <w:szCs w:val="24"/>
        </w:rPr>
      </w:pPr>
      <w:bookmarkStart w:id="27" w:name="data-availability"/>
      <w:r>
        <w:rPr>
          <w:rFonts w:ascii="Times New Roman" w:hAnsi="Times New Roman" w:cs="Times New Roman"/>
          <w:b/>
          <w:bCs/>
          <w:color w:val="auto"/>
          <w:sz w:val="24"/>
          <w:szCs w:val="24"/>
        </w:rPr>
        <w:t>Data Availability</w:t>
      </w:r>
      <w:bookmarkEnd w:id="27"/>
    </w:p>
    <w:p w14:paraId="38445B68">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The datasets generated and analyzed during the current</w:t>
      </w:r>
    </w:p>
    <w:p w14:paraId="0977A01B">
      <w:pPr>
        <w:pStyle w:val="3"/>
        <w:spacing w:before="120" w:after="60" w:line="360" w:lineRule="auto"/>
        <w:ind w:firstLine="480"/>
        <w:jc w:val="both"/>
        <w:rPr>
          <w:rFonts w:ascii="Times New Roman" w:hAnsi="Times New Roman" w:cs="Times New Roman"/>
          <w:color w:val="auto"/>
          <w:sz w:val="24"/>
          <w:szCs w:val="24"/>
        </w:rPr>
      </w:pPr>
      <w:bookmarkStart w:id="28" w:name="use-of-ai-assisted-tools"/>
      <w:r>
        <w:rPr>
          <w:rFonts w:ascii="Times New Roman" w:hAnsi="Times New Roman" w:cs="Times New Roman"/>
          <w:b/>
          <w:color w:val="auto"/>
          <w:sz w:val="24"/>
          <w:szCs w:val="24"/>
        </w:rPr>
        <w:t>Use of AI-Assisted Tools</w:t>
      </w:r>
      <w:bookmarkEnd w:id="28"/>
    </w:p>
    <w:p w14:paraId="4B22DEC2">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During the preparation of this manuscript, the authors used</w:t>
      </w:r>
      <w:r>
        <w:rPr>
          <w:rFonts w:hint="eastAsia" w:ascii="Times New Roman" w:hAnsi="Times New Roman" w:eastAsia="宋体" w:cs="Times New Roman"/>
          <w:color w:val="auto"/>
          <w:sz w:val="20"/>
          <w:szCs w:val="24"/>
          <w:lang w:val="en-US" w:eastAsia="zh-CN"/>
        </w:rPr>
        <w:t xml:space="preserve"> DeepL</w:t>
      </w:r>
      <w:r>
        <w:rPr>
          <w:rFonts w:ascii="Times New Roman" w:hAnsi="Times New Roman" w:cs="Times New Roman"/>
          <w:color w:val="auto"/>
          <w:sz w:val="20"/>
          <w:szCs w:val="24"/>
        </w:rPr>
        <w:t xml:space="preserve"> for language editing and formatting assistance. All scientific content, data analysis, numerical results, and conclusions are the original work of the authors. The authors take full responsibility for the integrity and accuracy of the manuscript.</w:t>
      </w:r>
    </w:p>
    <w:p w14:paraId="09279937">
      <w:pPr>
        <w:pStyle w:val="2"/>
        <w:spacing w:before="120" w:after="60" w:line="360" w:lineRule="auto"/>
        <w:jc w:val="both"/>
        <w:rPr>
          <w:rFonts w:ascii="Times New Roman" w:hAnsi="Times New Roman" w:cs="Times New Roman"/>
          <w:color w:val="auto"/>
          <w:sz w:val="28"/>
          <w:szCs w:val="28"/>
        </w:rPr>
      </w:pPr>
      <w:bookmarkStart w:id="29" w:name="acknowledgments"/>
      <w:r>
        <w:rPr>
          <w:rFonts w:ascii="Times New Roman" w:hAnsi="Times New Roman" w:cs="Times New Roman"/>
          <w:b/>
          <w:bCs/>
          <w:color w:val="auto"/>
          <w:sz w:val="24"/>
          <w:szCs w:val="28"/>
        </w:rPr>
        <w:t>Acknowledgments</w:t>
      </w:r>
      <w:bookmarkEnd w:id="29"/>
    </w:p>
    <w:p w14:paraId="062A5599">
      <w:pPr>
        <w:pStyle w:val="3"/>
        <w:spacing w:line="360" w:lineRule="auto"/>
        <w:ind w:firstLine="480"/>
        <w:jc w:val="both"/>
        <w:rPr>
          <w:rFonts w:ascii="Times New Roman" w:hAnsi="Times New Roman" w:cs="Times New Roman"/>
          <w:color w:val="auto"/>
          <w:sz w:val="24"/>
          <w:szCs w:val="24"/>
        </w:rPr>
      </w:pPr>
      <w:r>
        <w:rPr>
          <w:rFonts w:hint="eastAsia" w:ascii="Times New Roman" w:hAnsi="Times New Roman" w:eastAsia="Times New Roman" w:cs="Times New Roman"/>
          <w:color w:val="auto"/>
          <w:sz w:val="20"/>
          <w:szCs w:val="24"/>
        </w:rPr>
        <w:t>This work was supported in part by University Natural Sciences Research Project of Anhui Province (Project Number: 2022AH051797), Natural Science Foundation of Anhui Province (No: 2022AH052810) and Natural Science Foundation of Anhui Province (Project No: 2023AH052821).</w:t>
      </w:r>
    </w:p>
    <w:p w14:paraId="7EC5C96D">
      <w:r>
        <w:rPr>
          <w:rFonts w:ascii="Times New Roman"/>
          <w:b/>
          <w:sz w:val="28"/>
        </w:rPr>
        <w:t>References</w:t>
      </w:r>
    </w:p>
    <w:p w14:paraId="0081253F">
      <w:pPr>
        <w:pStyle w:val="3"/>
        <w:ind w:left="567" w:hanging="567"/>
      </w:pPr>
      <w:r>
        <w:rPr>
          <w:rFonts w:ascii="Times New Roman" w:hAnsi="Times New Roman"/>
          <w:sz w:val="24"/>
        </w:rPr>
        <w:t>Aavatsmark, I., Barkve, T., Bøe, Ø., Mannseth, T., 1998a. Discretization on unstructured grids for inhomogeneous, anisotropic media. Part I: Derivation of the methods. SIAM Journal on Scientific Computing 19 (5), 1700–1716. https://doi.org/10.1137/S1064827595293582</w:t>
      </w:r>
    </w:p>
    <w:p w14:paraId="130654DC">
      <w:pPr>
        <w:pStyle w:val="3"/>
        <w:ind w:left="567" w:hanging="567"/>
      </w:pPr>
      <w:r>
        <w:rPr>
          <w:rFonts w:ascii="Times New Roman" w:hAnsi="Times New Roman"/>
          <w:sz w:val="24"/>
        </w:rPr>
        <w:t>Aavatsmark, I., Barkve, T., Bøe, Ø., Mannseth, T., 1998b. Discretization on unstructured grids for inhomogeneous, anisotropic media. Part II: Discussion and numerical results. SIAM Journal on Scientific Computing 19 (5), 1717–1736. https://doi.org/10.1137/S1064827595293594</w:t>
      </w:r>
    </w:p>
    <w:p w14:paraId="00BB8B80">
      <w:pPr>
        <w:pStyle w:val="3"/>
        <w:ind w:left="567" w:hanging="567"/>
      </w:pPr>
      <w:r>
        <w:rPr>
          <w:rFonts w:ascii="Times New Roman" w:hAnsi="Times New Roman"/>
          <w:sz w:val="24"/>
        </w:rPr>
        <w:t>Amdahl, G.M., 1967. Validity of the single processor approach to achieving large scale computing capabilities. In: AFIPS Spring Joint Computer Conference, Atlantic City, pp. 483–485. https://doi.org/10.1145/1465482.1465560</w:t>
      </w:r>
    </w:p>
    <w:p w14:paraId="235DD519">
      <w:pPr>
        <w:pStyle w:val="3"/>
        <w:ind w:left="567" w:hanging="567"/>
      </w:pPr>
      <w:r>
        <w:rPr>
          <w:rFonts w:ascii="Times New Roman" w:hAnsi="Times New Roman"/>
          <w:sz w:val="24"/>
        </w:rPr>
        <w:t>An, C., Wang, Y., Killough, J., 2024. Coupled flow-geomechanics modeling of fractured shale reservoirs using EDFM. SPE Journal 29 (3), 1423–1442. https://doi.org/10.2118/209472-PA</w:t>
      </w:r>
    </w:p>
    <w:p w14:paraId="1D1115AA">
      <w:pPr>
        <w:pStyle w:val="3"/>
        <w:ind w:left="567" w:hanging="567"/>
      </w:pPr>
      <w:r>
        <w:rPr>
          <w:rFonts w:ascii="Times New Roman" w:hAnsi="Times New Roman"/>
          <w:sz w:val="24"/>
        </w:rPr>
        <w:t>Anzt, H., Cojean, T., Flegar, G., Göbel, F., Grützmacher, T., Nayak, P., Ribizel, T., Tsai, Y.M., Quintana-Ortí, E.S., 2022. Ginkgo: A modern linear operator algebra framework for high performance computing. ACM Transactions on Mathematical Software 48 (1), 1–33. https://doi.org/10.1145/3480935</w:t>
      </w:r>
    </w:p>
    <w:p w14:paraId="7A0CDE80">
      <w:pPr>
        <w:pStyle w:val="3"/>
        <w:ind w:left="567" w:hanging="567"/>
      </w:pPr>
      <w:r>
        <w:rPr>
          <w:rFonts w:ascii="Times New Roman" w:hAnsi="Times New Roman"/>
          <w:sz w:val="24"/>
        </w:rPr>
        <w:t>Behie, G.A., Forsyth Jr., P.A., 1984. Incomplete factorization methods for fully implicit simulation of enhanced oil recovery. SIAM Journal on Scientific and Statistical Computing 5 (3), 543–561. https://doi.org/10.1137/0905040</w:t>
      </w:r>
    </w:p>
    <w:p w14:paraId="2B2C9F42">
      <w:pPr>
        <w:pStyle w:val="3"/>
        <w:ind w:left="567" w:hanging="567"/>
      </w:pPr>
      <w:r>
        <w:rPr>
          <w:rFonts w:ascii="Times New Roman" w:hAnsi="Times New Roman"/>
          <w:sz w:val="24"/>
        </w:rPr>
        <w:t>Bourdet, D., Ayoub, J.A., Pirard, Y.M., 1989. Use of pressure derivative in well-test interpretation. SPE Formation Evaluation 4 (2), 293–302. https://doi.org/10.2118/12777-PA</w:t>
      </w:r>
    </w:p>
    <w:p w14:paraId="2576ECB6">
      <w:pPr>
        <w:pStyle w:val="3"/>
        <w:ind w:left="567" w:hanging="567"/>
      </w:pPr>
      <w:r>
        <w:rPr>
          <w:rFonts w:ascii="Times New Roman" w:hAnsi="Times New Roman"/>
          <w:sz w:val="24"/>
        </w:rPr>
        <w:t>Cao, H., Tchelepi, H.A., Wallis, J.R., Yardumian, H.E., 2005. Parallel scalable unstructured CPR-type linear solver for reservoir simulation. In: Proceedings of the SPE Reservoir Simulation Symposium, Houston, SPE-93253-MS. https://doi.org/10.2118/93253-MS</w:t>
      </w:r>
    </w:p>
    <w:p w14:paraId="054CDFC3">
      <w:pPr>
        <w:pStyle w:val="3"/>
        <w:ind w:left="567" w:hanging="567"/>
      </w:pPr>
      <w:r>
        <w:rPr>
          <w:rFonts w:ascii="Times New Roman" w:hAnsi="Times New Roman"/>
          <w:sz w:val="24"/>
        </w:rPr>
        <w:t>Cavalcante, T.S., Hajibeygi, H., Voskov, D., 2024. Simulation of two-phase flow in 3D fractured reservoirs using a projection-based Embedded Discrete Fracture Model on Unstructured tetrahedral grids (pEDFM-U). Advances in Water Resources 185, 104682. https://doi.org/10.1016/j.advwatres.2024.104682</w:t>
      </w:r>
    </w:p>
    <w:p w14:paraId="682FA6E5">
      <w:pPr>
        <w:pStyle w:val="3"/>
        <w:ind w:left="567" w:hanging="567"/>
      </w:pPr>
      <w:r>
        <w:rPr>
          <w:rFonts w:ascii="Times New Roman" w:hAnsi="Times New Roman"/>
          <w:sz w:val="24"/>
        </w:rPr>
        <w:t>Cheng, T., Yang, H., Huang, Z., Zhang, M., 2023. Parallel-in-time fully implicit reservoir simulation using Parareal with adaptive coarse-grid. Journal of Computational Physics 491, 112354. https://doi.org/10.1016/j.jcp.2023.112354</w:t>
      </w:r>
    </w:p>
    <w:p w14:paraId="06044110">
      <w:pPr>
        <w:pStyle w:val="3"/>
        <w:ind w:left="567" w:hanging="567"/>
      </w:pPr>
      <w:r>
        <w:rPr>
          <w:rFonts w:ascii="Times New Roman" w:hAnsi="Times New Roman"/>
          <w:sz w:val="24"/>
        </w:rPr>
        <w:t>Christie, M.A., Blunt, M.J., 2001. Tenth SPE comparative solution project: a comparison of upscaling techniques. SPE Reservoir Evaluation &amp; Engineering 4 (4), 308–317. https://doi.org/10.2118/72469-PA</w:t>
      </w:r>
    </w:p>
    <w:p w14:paraId="143620D3">
      <w:pPr>
        <w:pStyle w:val="3"/>
        <w:ind w:left="567" w:hanging="567"/>
      </w:pPr>
      <w:r>
        <w:rPr>
          <w:rFonts w:ascii="Times New Roman" w:hAnsi="Times New Roman"/>
          <w:sz w:val="24"/>
        </w:rPr>
        <w:t>Cremon, M.A., Franc, J., Hamon, F.P., 2024. Constrained pressure-temperature residual (CPTR) preconditioner performance for large-scale thermal CO₂ injection simulation. Computational Geosciences 28, 1291–1309. https://doi.org/10.1007/s10596-024-10292-z</w:t>
      </w:r>
    </w:p>
    <w:p w14:paraId="3F5748BF">
      <w:pPr>
        <w:pStyle w:val="3"/>
        <w:ind w:firstLine="482"/>
      </w:pPr>
      <w:r>
        <w:rPr>
          <w:rFonts w:ascii="Times New Roman" w:hAnsi="Times New Roman"/>
          <w:sz w:val="24"/>
        </w:rPr>
        <w:t>da Silva, L.F., Contreras, F.R.L., Albuquerque, P.V.P., Lyra, P.R.M., Carvalho, D.K.E., 2024. A modified flux corrected transport method coupled with the MPFA-H formulation for the numerical simulation of two-phase flows in petroleum reservoirs using 2D unstructured meshes. Computational Geosciences 28, 1333–1352. https://doi.org/10.1007/s10596-024-10306-w</w:t>
      </w:r>
    </w:p>
    <w:p w14:paraId="74EA9AA0">
      <w:pPr>
        <w:pStyle w:val="3"/>
        <w:ind w:left="567" w:hanging="567"/>
      </w:pPr>
      <w:r>
        <w:rPr>
          <w:rFonts w:ascii="Times New Roman" w:hAnsi="Times New Roman"/>
          <w:sz w:val="24"/>
        </w:rPr>
        <w:t>Diab, M., Al Kobaisi, M., 2025. Graph neural network-based surrogate model for fractured reservoir simulation. SPE Journal 30 (1), 185–203. https://doi.org/10.2118/218398-PA</w:t>
      </w:r>
    </w:p>
    <w:p w14:paraId="09437AC1">
      <w:pPr>
        <w:pStyle w:val="3"/>
        <w:ind w:left="567" w:hanging="567"/>
      </w:pPr>
      <w:r>
        <w:rPr>
          <w:rFonts w:ascii="Times New Roman" w:hAnsi="Times New Roman"/>
          <w:sz w:val="24"/>
        </w:rPr>
        <w:t>Dong, R., Alpak, F.O., Wheeler, M.F., 2023. Accurate two-phase flow simulation in faulted reservoirs by combining two-point flux approximation and mimetic finite difference methods. SPE Journal 28 (1), 111–129. https://doi.org/10.2118/206298-PA</w:t>
      </w:r>
    </w:p>
    <w:p w14:paraId="2A0E0464">
      <w:pPr>
        <w:pStyle w:val="3"/>
        <w:ind w:left="567" w:hanging="567"/>
      </w:pPr>
      <w:r>
        <w:rPr>
          <w:rFonts w:ascii="Times New Roman" w:hAnsi="Times New Roman"/>
          <w:sz w:val="24"/>
        </w:rPr>
        <w:t>Economides, M.J., Nolte, K.G., 2000. Reservoir Stimulation, 3rd ed. John Wiley &amp; Sons, Chichester.</w:t>
      </w:r>
    </w:p>
    <w:p w14:paraId="22D64091">
      <w:pPr>
        <w:pStyle w:val="3"/>
        <w:ind w:left="567" w:hanging="567"/>
      </w:pPr>
      <w:r>
        <w:rPr>
          <w:rFonts w:ascii="Times New Roman" w:hAnsi="Times New Roman"/>
          <w:sz w:val="24"/>
        </w:rPr>
        <w:t>Falgout, R.D., Jones, J.E., Yang, U.M., 2006. The design and implementation of hypre, a library of parallel high performance preconditioners. In: Numerical Solution of Partial Differential Equations on Parallel Computers, Lecture Notes in Computational Science and Engineering, vol. 51, pp. 267-294. Springer, Berlin. https://doi.org/10.1007/3-540-31619-1_8</w:t>
      </w:r>
    </w:p>
    <w:p w14:paraId="6162EC71">
      <w:pPr>
        <w:pStyle w:val="3"/>
        <w:ind w:left="567" w:hanging="567"/>
      </w:pPr>
      <w:r>
        <w:rPr>
          <w:rFonts w:ascii="Times New Roman" w:hAnsi="Times New Roman"/>
          <w:sz w:val="24"/>
        </w:rPr>
        <w:t>Gustafson, J.L., 1988. Reevaluating Amdahl’s Law. Communications of the ACM 31 (5), 532–533. https://doi.org/10.1145/42411.42415</w:t>
      </w:r>
    </w:p>
    <w:p w14:paraId="0EB8E298">
      <w:pPr>
        <w:pStyle w:val="3"/>
        <w:ind w:left="567" w:hanging="567"/>
      </w:pPr>
      <w:r>
        <w:rPr>
          <w:rFonts w:ascii="Times New Roman" w:hAnsi="Times New Roman"/>
          <w:sz w:val="24"/>
        </w:rPr>
        <w:t>Heinemann, Z.E., Brand, C.W., Munka, M., Chen, Y.M., 1991. Modeling reservoir geometry with irregular grids. SPE Reservoir Engineering 6 (2), 225-232. https://doi.org/10.2118/18412-PA</w:t>
      </w:r>
    </w:p>
    <w:p w14:paraId="56F7780F">
      <w:pPr>
        <w:pStyle w:val="3"/>
        <w:ind w:left="567" w:hanging="567"/>
      </w:pPr>
      <w:r>
        <w:rPr>
          <w:rFonts w:ascii="Times New Roman" w:hAnsi="Times New Roman"/>
          <w:sz w:val="24"/>
        </w:rPr>
        <w:t>Henson, V.E., Yang, U.M., 2002. BoomerAMG: A parallel algebraic multigrid solver and preconditioner. Applied Numerical Mathematics 41 (1), 155–177. https://doi.org/10.1016/S0168-9274(01)00115-5</w:t>
      </w:r>
    </w:p>
    <w:p w14:paraId="2A11AB8C">
      <w:pPr>
        <w:pStyle w:val="3"/>
        <w:ind w:left="567" w:hanging="567"/>
      </w:pPr>
      <w:r>
        <w:rPr>
          <w:rFonts w:ascii="Times New Roman" w:hAnsi="Times New Roman"/>
          <w:sz w:val="24"/>
        </w:rPr>
        <w:t>Hoemmen, M., 2010. Communication-avoiding Krylov subspace methods. Ph.D. thesis, University of California, Berkeley.</w:t>
      </w:r>
    </w:p>
    <w:p w14:paraId="59C6AF14">
      <w:pPr>
        <w:pStyle w:val="3"/>
        <w:ind w:left="567" w:hanging="567"/>
      </w:pPr>
      <w:r>
        <w:rPr>
          <w:rFonts w:ascii="Times New Roman" w:hAnsi="Times New Roman"/>
          <w:sz w:val="24"/>
        </w:rPr>
        <w:t>Jiang, H., 2024. Graph neural network surrogates for EDFM-based fractured reservoir simulation. Computational Geosciences 28, 1543–1562. https://doi.org/10.1007/s10596-024-10311-6</w:t>
      </w:r>
    </w:p>
    <w:p w14:paraId="6B4FF686">
      <w:pPr>
        <w:pStyle w:val="3"/>
        <w:ind w:left="567" w:hanging="567"/>
      </w:pPr>
      <w:r>
        <w:rPr>
          <w:rFonts w:ascii="Times New Roman" w:hAnsi="Times New Roman"/>
          <w:sz w:val="24"/>
        </w:rPr>
        <w:t>Jiao, K., Han, D., Chen, J., Yu, B., 2024. The enriched-embedded discrete fracture model (nEDFM) for fluid flow in fractured porous media. Advances in Water Resources 184, 104618. https://doi.org/10.1016/j.advwatres.2024.104618</w:t>
      </w:r>
    </w:p>
    <w:p w14:paraId="61995018">
      <w:pPr>
        <w:pStyle w:val="3"/>
        <w:ind w:left="567" w:hanging="567"/>
      </w:pPr>
      <w:r>
        <w:rPr>
          <w:rFonts w:ascii="Times New Roman" w:hAnsi="Times New Roman"/>
          <w:sz w:val="24"/>
        </w:rPr>
        <w:t>Karimi-Fard, M., Durlofsky, L.J., Aziz, K., 2004. An efficient discrete-fracture model applicable for general-purpose reservoir simulators. SPE Journal 9 (2), 227–236. https://doi.org/10.2118/88812-PA</w:t>
      </w:r>
    </w:p>
    <w:p w14:paraId="3C10704F">
      <w:pPr>
        <w:pStyle w:val="3"/>
        <w:ind w:left="567" w:hanging="567"/>
      </w:pPr>
      <w:r>
        <w:rPr>
          <w:rFonts w:ascii="Times New Roman" w:hAnsi="Times New Roman"/>
          <w:sz w:val="24"/>
        </w:rPr>
        <w:t>Karypis, G., Kumar, V., 1998. A fast and high quality multilevel scheme for partitioning irregular graphs. SIAM Journal on Scientific Computing 20 (1), 359–392. https://doi.org/10.1137/S1064827595287997</w:t>
      </w:r>
    </w:p>
    <w:p w14:paraId="3438AA9B">
      <w:pPr>
        <w:pStyle w:val="3"/>
        <w:ind w:left="567" w:hanging="567"/>
      </w:pPr>
      <w:r>
        <w:rPr>
          <w:rFonts w:ascii="Times New Roman" w:hAnsi="Times New Roman"/>
          <w:sz w:val="24"/>
        </w:rPr>
        <w:t>Kazemi, H., Merrill Jr., L.S., Porterfield, K.L., Zeman, P.R., 1976. Numerical simulation of water-oil flow in naturally fractured reservoirs. SPE Journal 16 (6), 317–326. https://doi.org/10.2118/5719-PA</w:t>
      </w:r>
    </w:p>
    <w:p w14:paraId="5975234A">
      <w:pPr>
        <w:pStyle w:val="3"/>
        <w:ind w:left="567" w:hanging="567"/>
      </w:pPr>
      <w:r>
        <w:rPr>
          <w:rFonts w:ascii="Times New Roman" w:hAnsi="Times New Roman"/>
          <w:sz w:val="24"/>
        </w:rPr>
        <w:t>Li, X., Zhang, F., Huang, R., Wang, J., 2024. Coupled flow-geomechanics simulation of fractured shale gas wells with stress-dependent conductivity. Journal of Natural Gas Science and Engineering 122, 105203. https://doi.org/10.1016/j.jngse.2024.105203</w:t>
      </w:r>
    </w:p>
    <w:p w14:paraId="6D663CB6">
      <w:pPr>
        <w:pStyle w:val="3"/>
        <w:ind w:left="567" w:hanging="567"/>
      </w:pPr>
      <w:r>
        <w:rPr>
          <w:rFonts w:ascii="Times New Roman" w:hAnsi="Times New Roman"/>
          <w:sz w:val="24"/>
        </w:rPr>
        <w:t>Marin, L., Mishev, I.D., Wheeler, M.F., 2024. Anisotropic centroidal Voronoi tessellation for 3D polyhedral mesh generation in subsurface flow simulation. Computer Methods in Applied Mechanics and Engineering 419, 116643. https://doi.org/10.1016/j.cma.2023.116643</w:t>
      </w:r>
    </w:p>
    <w:p w14:paraId="1F8E6058">
      <w:pPr>
        <w:pStyle w:val="3"/>
        <w:ind w:left="567" w:hanging="567"/>
      </w:pPr>
      <w:r>
        <w:rPr>
          <w:rFonts w:ascii="Times New Roman" w:hAnsi="Times New Roman"/>
          <w:sz w:val="24"/>
        </w:rPr>
        <w:t>Mills, R.T., Adams, M.F., Balay, S., Brown, J., Faibussowitsch, J., Isaac, T., Knepley, M.G., Munson, T., Suh, H., Zampini, S., Zhang, H., Zhang, J., 2025. PETSc/TAO developments for GPU-based early exascale systems. International Journal of High Performance Computing Applications 39 (2), 306–325. https://doi.org/10.1177/10943420241303710</w:t>
      </w:r>
    </w:p>
    <w:p w14:paraId="4D36258C">
      <w:pPr>
        <w:pStyle w:val="3"/>
        <w:ind w:left="567" w:hanging="567"/>
      </w:pPr>
      <w:r>
        <w:rPr>
          <w:rFonts w:ascii="Times New Roman" w:hAnsi="Times New Roman"/>
          <w:sz w:val="24"/>
        </w:rPr>
        <w:t>Moinfar, A., Varavei, A., Sepehrnoori, K., Johns, R.T., 2014. Development of an efficient embedded discrete fracture model for 3D compositional reservoir simulation in fractured reservoirs. SPE Journal 19 (2), 289–303. https://doi.org/10.2118/154246-PA</w:t>
      </w:r>
    </w:p>
    <w:p w14:paraId="2D0B3D27">
      <w:pPr>
        <w:pStyle w:val="3"/>
        <w:ind w:left="567" w:hanging="567"/>
      </w:pPr>
      <w:r>
        <w:rPr>
          <w:rFonts w:ascii="Times New Roman" w:hAnsi="Times New Roman"/>
          <w:sz w:val="24"/>
        </w:rPr>
        <w:t>Nilsen, H.M., Ahmed, E., Rasmussen, A.F., Bao, K., Skille, T., 2023. Constrained pressure residual preconditioner including wells for reservoir simulation. In: Proceedings of the SPE Reservoir Simulation Conference, Galveston, Texas, SPE-212172-MS. https://doi.org/10.2118/212172-MS</w:t>
      </w:r>
    </w:p>
    <w:p w14:paraId="4CEA4431">
      <w:pPr>
        <w:pStyle w:val="3"/>
        <w:ind w:left="567" w:hanging="567"/>
      </w:pPr>
      <w:r>
        <w:rPr>
          <w:rFonts w:ascii="Times New Roman" w:hAnsi="Times New Roman"/>
          <w:sz w:val="24"/>
        </w:rPr>
        <w:t>Palagi, C.L., Aziz, K., 1994a. Use of Voronoi grid in reservoir simulation. SPE Reservoir Engineering 9 (2), 69–77. https://doi.org/10.2118/22889-PA</w:t>
      </w:r>
    </w:p>
    <w:p w14:paraId="73B2A0A7">
      <w:pPr>
        <w:pStyle w:val="3"/>
        <w:ind w:left="567" w:hanging="567"/>
      </w:pPr>
      <w:r>
        <w:rPr>
          <w:rFonts w:ascii="Times New Roman" w:hAnsi="Times New Roman"/>
          <w:sz w:val="24"/>
        </w:rPr>
        <w:t>Peaceman, D.W., 1983. Interpretation of well-block pressures in numerical reservoir simulation with nonsquare grid blocks and anisotropic permeability. SPE Journal 23 (3), 531–543. https://doi.org/10.2118/10528-PA</w:t>
      </w:r>
    </w:p>
    <w:p w14:paraId="03892E4C">
      <w:pPr>
        <w:pStyle w:val="3"/>
        <w:ind w:left="567" w:hanging="567"/>
      </w:pPr>
      <w:r>
        <w:rPr>
          <w:rFonts w:ascii="Times New Roman" w:hAnsi="Times New Roman"/>
          <w:sz w:val="24"/>
        </w:rPr>
        <w:t>Poli, R., Machado, A., Sepehrnoori, K., 2024. Advancements and perspectives in embedded discrete fracture models (EDFM). Energies 17 (14), 3511. https://doi.org/10.3390/en17143511</w:t>
      </w:r>
    </w:p>
    <w:p w14:paraId="676A492C">
      <w:pPr>
        <w:pStyle w:val="3"/>
        <w:ind w:left="567" w:hanging="567"/>
      </w:pPr>
      <w:r>
        <w:rPr>
          <w:rFonts w:ascii="Times New Roman" w:hAnsi="Times New Roman"/>
          <w:sz w:val="24"/>
        </w:rPr>
        <w:t>Rao, X., Guo, X., He, Y., Kwak, H., 2025. A first streamline-based simulation method within the projection-based embedded discrete fracture model (pEDFM). Computers and Geotechnics 185, 106074. https://doi.org/10.1016/j.compgeo.2025.106074</w:t>
      </w:r>
    </w:p>
    <w:p w14:paraId="1264A571">
      <w:pPr>
        <w:pStyle w:val="3"/>
        <w:ind w:left="567" w:hanging="567"/>
      </w:pPr>
      <w:r>
        <w:rPr>
          <w:rFonts w:ascii="Times New Roman" w:hAnsi="Times New Roman"/>
          <w:sz w:val="24"/>
        </w:rPr>
        <w:t>Rashid, H.U., Olorode, O., 2024. A continuous projection-based EDFM model for flow in fractured reservoirs. SPE Journal 29 (1), 476–492. https://doi.org/10.2118/214653-PA</w:t>
      </w:r>
    </w:p>
    <w:p w14:paraId="33EB6277">
      <w:pPr>
        <w:pStyle w:val="3"/>
        <w:ind w:left="567" w:hanging="567"/>
      </w:pPr>
      <w:r>
        <w:rPr>
          <w:rFonts w:ascii="Times New Roman" w:hAnsi="Times New Roman"/>
          <w:sz w:val="24"/>
        </w:rPr>
        <w:t>Ruppert, J., 1995. A Delaunay refinement algorithm for quality 2-dimensional mesh generation. Journal of Algorithms 18 (3), 548–585. https://doi.org/10.1006/jagm.1995.1021</w:t>
      </w:r>
    </w:p>
    <w:p w14:paraId="32F703E3">
      <w:pPr>
        <w:pStyle w:val="3"/>
        <w:ind w:left="567" w:hanging="567"/>
      </w:pPr>
      <w:r>
        <w:rPr>
          <w:rFonts w:ascii="Times New Roman" w:hAnsi="Times New Roman"/>
          <w:sz w:val="24"/>
        </w:rPr>
        <w:t>Saad, Y., 2003. Iterative Methods for Sparse Linear Systems, 2nd ed. Society for Industrial and Applied Mathematics, Philadelphia. https://doi.org/10.1137/1.9780898718003</w:t>
      </w:r>
    </w:p>
    <w:p w14:paraId="4345D1F0">
      <w:pPr>
        <w:pStyle w:val="3"/>
        <w:ind w:firstLine="482"/>
      </w:pPr>
      <w:r>
        <w:rPr>
          <w:rFonts w:ascii="Times New Roman" w:hAnsi="Times New Roman"/>
          <w:sz w:val="24"/>
        </w:rPr>
        <w:t>Schlumberger, 2023. ECLIPSE Technical Description 2023.1. Schlumberger, Houston.</w:t>
      </w:r>
    </w:p>
    <w:p w14:paraId="479BEA32">
      <w:pPr>
        <w:pStyle w:val="3"/>
        <w:ind w:left="567" w:hanging="567"/>
      </w:pPr>
      <w:r>
        <w:rPr>
          <w:rFonts w:ascii="Times New Roman" w:hAnsi="Times New Roman"/>
          <w:sz w:val="24"/>
        </w:rPr>
        <w:t>Shi, L., Yang, H., Ji, Z., Jiang, L., Yang, C., 2024. Field-split preconditioned active-set reduced-space algorithm for complex black oil reservoir simulation at large-scale. Journal of Computational Physics 517, 113319. https://doi.org/10.1016/j.jcp.2024.113319</w:t>
      </w:r>
    </w:p>
    <w:p w14:paraId="04527942">
      <w:pPr>
        <w:pStyle w:val="3"/>
        <w:ind w:left="567" w:hanging="567"/>
      </w:pPr>
      <w:r>
        <w:rPr>
          <w:rFonts w:ascii="Times New Roman" w:hAnsi="Times New Roman"/>
          <w:sz w:val="24"/>
        </w:rPr>
        <w:t>Stüben, K., 2001. A review of algebraic multigrid. Journal of Computational and Applied Mathematics 128 (1–2), 281–309. https://doi.org/10.1016/S0377-0427(00)00516-1</w:t>
      </w:r>
    </w:p>
    <w:p w14:paraId="2CA5135B">
      <w:pPr>
        <w:pStyle w:val="3"/>
        <w:ind w:left="567" w:hanging="567"/>
      </w:pPr>
      <w:r>
        <w:rPr>
          <w:rFonts w:ascii="Times New Roman" w:hAnsi="Times New Roman"/>
          <w:sz w:val="24"/>
        </w:rPr>
        <w:t>Tu, J., Yang, H., Sun, S., 2024. Fully implicit discontinuous Galerkin formulation on 3D unstructured grids with bound-preserving limiters for multiphase flow. Journal of Computational Physics 498, 112687. https://doi.org/10.1016/j.jcp.2024.112687</w:t>
      </w:r>
    </w:p>
    <w:p w14:paraId="2ADF3E7C">
      <w:pPr>
        <w:pStyle w:val="3"/>
        <w:ind w:left="567" w:hanging="567"/>
      </w:pPr>
      <w:r>
        <w:rPr>
          <w:rFonts w:ascii="Times New Roman" w:hAnsi="Times New Roman"/>
          <w:sz w:val="24"/>
        </w:rPr>
        <w:t>Vaněk, P., Mandel, J., Brezina, M., 1996. Algebraic multigrid by smoothed aggregation for second and fourth order elliptic problems. Computing 56 (3), 179–196. https://doi.org/10.1007/BF02238511</w:t>
      </w:r>
    </w:p>
    <w:p w14:paraId="318A1F2B">
      <w:pPr>
        <w:pStyle w:val="3"/>
        <w:ind w:left="567" w:hanging="567"/>
      </w:pPr>
      <w:r>
        <w:rPr>
          <w:rFonts w:ascii="Times New Roman" w:hAnsi="Times New Roman"/>
          <w:sz w:val="24"/>
        </w:rPr>
        <w:t>Verma, S., Aziz, K., 1997. A control volume scheme for flexible grids in reservoir simulation. In: Proceedings of the SPE Reservoir Simulation Symposium, Dallas, Texas, SPE-37999-MS. https://doi.org/10.2118/37999-MS</w:t>
      </w:r>
    </w:p>
    <w:p w14:paraId="1DB45917">
      <w:pPr>
        <w:ind w:left="567" w:hanging="567"/>
      </w:pPr>
      <w:r>
        <w:rPr>
          <w:rFonts w:ascii="Times New Roman" w:hAnsi="Times New Roman"/>
          <w:sz w:val="24"/>
        </w:rPr>
        <w:t>Wallis, J.R., Kendall, R.P., Little, T.E., 1985. Constrained residual acceleration of conjugate residual methods. In: Proceedings of the SPE Reservoir Simulation Symposium, Dallas, Texas, SPE 13536. https://doi.org/10.2118/13536-MS</w:t>
      </w:r>
    </w:p>
    <w:p w14:paraId="5A7B9516">
      <w:pPr>
        <w:ind w:left="567" w:hanging="567"/>
      </w:pPr>
      <w:r>
        <w:rPr>
          <w:rFonts w:ascii="Times New Roman" w:hAnsi="Times New Roman"/>
          <w:sz w:val="24"/>
        </w:rPr>
        <w:t>Warren, J.E., Root, P.J., 1963. The behavior of naturally fractured reservoirs. SPE Journal 3 (3), 245-255. https://doi.org/10.2118/426-PA</w:t>
      </w:r>
    </w:p>
    <w:p w14:paraId="332F06A1">
      <w:pPr>
        <w:ind w:left="567" w:hanging="567"/>
      </w:pPr>
      <w:r>
        <w:rPr>
          <w:rFonts w:ascii="Times New Roman" w:hAnsi="Times New Roman"/>
          <w:sz w:val="24"/>
        </w:rPr>
        <w:t>Zhang, M., Yang, H., Liu, Y., Li, R., 2024. Multilevel Schur-complement algorithms for scalable parallel reservoir simulation with temperature variation. Computer Physics Communications 304, 109296. https://doi.org/10.1016/j.cpc.2024.109296</w:t>
      </w:r>
    </w:p>
    <w:p w14:paraId="78415B9E">
      <w:pPr>
        <w:ind w:left="567" w:hanging="567"/>
      </w:pPr>
      <w:r>
        <w:rPr>
          <w:rFonts w:ascii="Times New Roman" w:hAnsi="Times New Roman"/>
          <w:sz w:val="24"/>
        </w:rPr>
        <w:t>Zhang, Z., Guo, X., Zeng, F., Wang, H., Chen, Z., 2024. A transient source-function-based embedded discrete fracture model for simulation of multiscale-fractured reservoir: Application in coalbed methane extraction. Advances in Geoenergy Research 12, 221–234. https://doi.org/10.46690/ager.2024.06.04</w:t>
      </w:r>
    </w:p>
    <w:p w14:paraId="00B86892">
      <w:pPr>
        <w:ind w:left="567" w:hanging="567"/>
      </w:pPr>
      <w:r>
        <w:rPr>
          <w:rFonts w:ascii="Times New Roman" w:hAnsi="Times New Roman"/>
          <w:sz w:val="24"/>
        </w:rPr>
        <w:t>Zheng, T., Guo, B., Song, H., Yu, W., 2025. A multi-porosity multi-permeability framework for fractured unconventional reservoirs bridging continuum and discrete models. SPE Reservoir Evaluation &amp; Engineering 28 (1), 67–84. https://doi.org/10.2118/217592-PA</w:t>
      </w:r>
    </w:p>
    <w:p w14:paraId="6A7189DF"/>
    <w:p w14:paraId="430CA443">
      <w:pPr>
        <w:pStyle w:val="2"/>
        <w:pageBreakBefore/>
        <w:spacing w:before="120" w:after="60" w:line="360" w:lineRule="auto"/>
        <w:jc w:val="both"/>
        <w:rPr>
          <w:rFonts w:ascii="Times New Roman" w:hAnsi="Times New Roman" w:cs="Times New Roman"/>
          <w:color w:val="auto"/>
          <w:sz w:val="28"/>
          <w:szCs w:val="28"/>
        </w:rPr>
      </w:pPr>
      <w:bookmarkStart w:id="30" w:name="appendix-nomenclature"/>
      <w:r>
        <w:rPr>
          <w:rFonts w:ascii="Times New Roman" w:hAnsi="Times New Roman" w:cs="Times New Roman"/>
          <w:b/>
          <w:color w:val="auto"/>
          <w:sz w:val="28"/>
          <w:szCs w:val="20"/>
        </w:rPr>
        <w:t>Appendix: Nomenclature</w:t>
      </w:r>
      <w:bookmarkEnd w:id="30"/>
    </w:p>
    <w:p w14:paraId="75CEA5F0">
      <w:pPr>
        <w:pStyle w:val="3"/>
        <w:spacing w:before="360" w:after="120" w:line="300" w:lineRule="auto"/>
        <w:jc w:val="both"/>
        <w:rPr>
          <w:rFonts w:ascii="Times New Roman" w:hAnsi="Times New Roman" w:cs="Times New Roman"/>
          <w:color w:val="auto"/>
          <w:sz w:val="24"/>
          <w:szCs w:val="24"/>
        </w:rPr>
      </w:pP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1"/>
        <w:gridCol w:w="157"/>
        <w:gridCol w:w="493"/>
        <w:gridCol w:w="4891"/>
        <w:gridCol w:w="662"/>
        <w:gridCol w:w="1307"/>
      </w:tblGrid>
      <w:tr w14:paraId="052425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377" w:type="dxa"/>
            <w:gridSpan w:val="2"/>
            <w:tcBorders>
              <w:bottom w:val="single" w:color="auto" w:sz="0" w:space="0"/>
            </w:tcBorders>
            <w:vAlign w:val="center"/>
          </w:tcPr>
          <w:p w14:paraId="1DD7C79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5538" w:type="dxa"/>
            <w:gridSpan w:val="2"/>
            <w:tcBorders>
              <w:bottom w:val="single" w:color="auto" w:sz="0" w:space="0"/>
            </w:tcBorders>
            <w:vAlign w:val="center"/>
          </w:tcPr>
          <w:p w14:paraId="32FF76D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1936" w:type="dxa"/>
            <w:gridSpan w:val="2"/>
            <w:tcBorders>
              <w:bottom w:val="single" w:color="auto" w:sz="0" w:space="0"/>
            </w:tcBorders>
            <w:vAlign w:val="center"/>
          </w:tcPr>
          <w:p w14:paraId="0575B1B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4D3B74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034CB329">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A</m:t>
                    </m:r>
                    <m:ctrlPr>
                      <w:rPr>
                        <w:color w:val="auto"/>
                      </w:rPr>
                    </m:ctrlPr>
                  </m:e>
                  <m:sub>
                    <m:r>
                      <m:rPr/>
                      <w:rPr>
                        <w:color w:val="auto"/>
                      </w:rPr>
                      <m:t>ij</m:t>
                    </m:r>
                    <m:ctrlPr>
                      <w:rPr>
                        <w:color w:val="auto"/>
                      </w:rPr>
                    </m:ctrlPr>
                  </m:sub>
                </m:sSub>
              </m:oMath>
            </m:oMathPara>
          </w:p>
        </w:tc>
        <w:tc>
          <w:tcPr>
            <w:tcW w:w="5538" w:type="dxa"/>
            <w:gridSpan w:val="2"/>
            <w:vAlign w:val="center"/>
          </w:tcPr>
          <w:p w14:paraId="0B3498D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Area of face between cells </w:t>
            </w:r>
            <m:oMath>
              <m:r>
                <m:rPr/>
                <w:rPr>
                  <w:color w:val="auto"/>
                </w:rPr>
                <m:t>i</m:t>
              </m:r>
            </m:oMath>
            <w:r>
              <w:rPr>
                <w:rFonts w:ascii="Times New Roman" w:hAnsi="Times New Roman" w:cs="Times New Roman"/>
                <w:color w:val="auto"/>
                <w:sz w:val="20"/>
                <w:szCs w:val="20"/>
              </w:rPr>
              <w:t xml:space="preserve"> and </w:t>
            </w:r>
            <m:oMath>
              <m:r>
                <m:rPr/>
                <w:rPr>
                  <w:color w:val="auto"/>
                </w:rPr>
                <m:t>j</m:t>
              </m:r>
            </m:oMath>
          </w:p>
        </w:tc>
        <w:tc>
          <w:tcPr>
            <w:tcW w:w="1936" w:type="dxa"/>
            <w:gridSpan w:val="2"/>
            <w:vAlign w:val="center"/>
          </w:tcPr>
          <w:p w14:paraId="7131FB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m²</w:t>
            </w:r>
          </w:p>
        </w:tc>
      </w:tr>
      <w:tr w14:paraId="14C6C7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5193E093">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B</m:t>
                    </m:r>
                    <m:ctrlPr>
                      <w:rPr>
                        <w:color w:val="auto"/>
                      </w:rPr>
                    </m:ctrlPr>
                  </m:e>
                  <m:sub>
                    <m:r>
                      <m:rPr/>
                      <w:rPr>
                        <w:color w:val="auto"/>
                      </w:rPr>
                      <m:t>o</m:t>
                    </m:r>
                    <m:ctrlPr>
                      <w:rPr>
                        <w:color w:val="auto"/>
                      </w:rPr>
                    </m:ctrlPr>
                  </m:sub>
                </m:sSub>
                <m:r>
                  <m:rPr/>
                  <w:rPr>
                    <w:color w:val="auto"/>
                  </w:rPr>
                  <m:t>,</m:t>
                </m:r>
                <m:sSub>
                  <m:sSubPr>
                    <m:ctrlPr>
                      <w:rPr>
                        <w:color w:val="auto"/>
                      </w:rPr>
                    </m:ctrlPr>
                  </m:sSubPr>
                  <m:e>
                    <m:r>
                      <m:rPr/>
                      <w:rPr>
                        <w:color w:val="auto"/>
                      </w:rPr>
                      <m:t>B</m:t>
                    </m:r>
                    <m:ctrlPr>
                      <w:rPr>
                        <w:color w:val="auto"/>
                      </w:rPr>
                    </m:ctrlPr>
                  </m:e>
                  <m:sub>
                    <m:r>
                      <m:rPr/>
                      <w:rPr>
                        <w:color w:val="auto"/>
                      </w:rPr>
                      <m:t>g</m:t>
                    </m:r>
                    <m:ctrlPr>
                      <w:rPr>
                        <w:color w:val="auto"/>
                      </w:rPr>
                    </m:ctrlPr>
                  </m:sub>
                </m:sSub>
                <m:r>
                  <m:rPr/>
                  <w:rPr>
                    <w:color w:val="auto"/>
                  </w:rPr>
                  <m:t>,</m:t>
                </m:r>
                <m:sSub>
                  <m:sSubPr>
                    <m:ctrlPr>
                      <w:rPr>
                        <w:color w:val="auto"/>
                      </w:rPr>
                    </m:ctrlPr>
                  </m:sSubPr>
                  <m:e>
                    <m:r>
                      <m:rPr/>
                      <w:rPr>
                        <w:color w:val="auto"/>
                      </w:rPr>
                      <m:t>B</m:t>
                    </m:r>
                    <m:ctrlPr>
                      <w:rPr>
                        <w:color w:val="auto"/>
                      </w:rPr>
                    </m:ctrlPr>
                  </m:e>
                  <m:sub>
                    <m:r>
                      <m:rPr/>
                      <w:rPr>
                        <w:color w:val="auto"/>
                      </w:rPr>
                      <m:t>w</m:t>
                    </m:r>
                    <m:ctrlPr>
                      <w:rPr>
                        <w:color w:val="auto"/>
                      </w:rPr>
                    </m:ctrlPr>
                  </m:sub>
                </m:sSub>
              </m:oMath>
            </m:oMathPara>
          </w:p>
        </w:tc>
        <w:tc>
          <w:tcPr>
            <w:tcW w:w="5538" w:type="dxa"/>
            <w:gridSpan w:val="2"/>
            <w:vAlign w:val="center"/>
          </w:tcPr>
          <w:p w14:paraId="0A7793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Oil, gas, water formation volume factors</w:t>
            </w:r>
          </w:p>
        </w:tc>
        <w:tc>
          <w:tcPr>
            <w:tcW w:w="1936" w:type="dxa"/>
            <w:gridSpan w:val="2"/>
            <w:vAlign w:val="center"/>
          </w:tcPr>
          <w:p w14:paraId="1F6916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m³/sm³</w:t>
            </w:r>
          </w:p>
        </w:tc>
      </w:tr>
      <w:tr w14:paraId="4AA3A6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5338A9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c</m:t>
                    </m:r>
                    <m:ctrlPr>
                      <w:rPr>
                        <w:color w:val="auto"/>
                      </w:rPr>
                    </m:ctrlPr>
                  </m:e>
                  <m:sub>
                    <m:r>
                      <m:rPr/>
                      <w:rPr>
                        <w:color w:val="auto"/>
                      </w:rPr>
                      <m:t>r</m:t>
                    </m:r>
                    <m:ctrlPr>
                      <w:rPr>
                        <w:color w:val="auto"/>
                      </w:rPr>
                    </m:ctrlPr>
                  </m:sub>
                </m:sSub>
              </m:oMath>
            </m:oMathPara>
          </w:p>
        </w:tc>
        <w:tc>
          <w:tcPr>
            <w:tcW w:w="5538" w:type="dxa"/>
            <w:gridSpan w:val="2"/>
            <w:vAlign w:val="center"/>
          </w:tcPr>
          <w:p w14:paraId="7A6D965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1936" w:type="dxa"/>
            <w:gridSpan w:val="2"/>
            <w:vAlign w:val="center"/>
          </w:tcPr>
          <w:p w14:paraId="314D08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0B39A1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8FD4988">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d</m:t>
                    </m:r>
                    <m:ctrlPr>
                      <w:rPr>
                        <w:color w:val="auto"/>
                      </w:rPr>
                    </m:ctrlPr>
                  </m:e>
                  <m:sub>
                    <m:r>
                      <m:rPr/>
                      <w:rPr>
                        <w:color w:val="auto"/>
                      </w:rPr>
                      <m:t>i</m:t>
                    </m:r>
                    <m:ctrlPr>
                      <w:rPr>
                        <w:color w:val="auto"/>
                      </w:rPr>
                    </m:ctrlPr>
                  </m:sub>
                </m:sSub>
              </m:oMath>
            </m:oMathPara>
          </w:p>
        </w:tc>
        <w:tc>
          <w:tcPr>
            <w:tcW w:w="5538" w:type="dxa"/>
            <w:gridSpan w:val="2"/>
            <w:vAlign w:val="center"/>
          </w:tcPr>
          <w:p w14:paraId="7B8F0D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Distance from generator point </w:t>
            </w:r>
            <m:oMath>
              <m:r>
                <m:rPr/>
                <w:rPr>
                  <w:color w:val="auto"/>
                </w:rPr>
                <m:t>i</m:t>
              </m:r>
            </m:oMath>
            <w:r>
              <w:rPr>
                <w:rFonts w:ascii="Times New Roman" w:hAnsi="Times New Roman" w:cs="Times New Roman"/>
                <w:color w:val="auto"/>
                <w:sz w:val="20"/>
                <w:szCs w:val="20"/>
              </w:rPr>
              <w:t xml:space="preserve"> to face</w:t>
            </w:r>
          </w:p>
        </w:tc>
        <w:tc>
          <w:tcPr>
            <w:tcW w:w="1936" w:type="dxa"/>
            <w:gridSpan w:val="2"/>
            <w:vAlign w:val="center"/>
          </w:tcPr>
          <w:p w14:paraId="4A1A9C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49191D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16677A30">
            <w:pPr>
              <w:pStyle w:val="24"/>
              <w:snapToGrid w:val="0"/>
              <w:spacing w:before="0" w:after="0"/>
              <w:ind w:left="0" w:leftChars="0" w:right="0" w:rightChars="0" w:firstLineChars="0"/>
              <w:jc w:val="left"/>
              <w:rPr>
                <w:color w:val="auto"/>
              </w:rPr>
            </w:pPr>
            <m:oMathPara>
              <m:oMath>
                <m:r>
                  <m:rPr/>
                  <w:rPr>
                    <w:color w:val="auto"/>
                  </w:rPr>
                  <m:t>h(x)</m:t>
                </m:r>
              </m:oMath>
            </m:oMathPara>
          </w:p>
        </w:tc>
        <w:tc>
          <w:tcPr>
            <w:tcW w:w="5538" w:type="dxa"/>
            <w:gridSpan w:val="2"/>
            <w:vAlign w:val="center"/>
          </w:tcPr>
          <w:p w14:paraId="09AF4EF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Target element spacing at point </w:t>
            </w:r>
            <m:oMath>
              <m:r>
                <m:rPr/>
                <w:rPr>
                  <w:color w:val="auto"/>
                </w:rPr>
                <m:t>x</m:t>
              </m:r>
            </m:oMath>
          </w:p>
        </w:tc>
        <w:tc>
          <w:tcPr>
            <w:tcW w:w="1936" w:type="dxa"/>
            <w:gridSpan w:val="2"/>
            <w:vAlign w:val="center"/>
          </w:tcPr>
          <w:p w14:paraId="0DD74F6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56BC04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0130FDFC">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h</m:t>
                    </m:r>
                    <m:ctrlPr>
                      <w:rPr>
                        <w:color w:val="auto"/>
                      </w:rPr>
                    </m:ctrlPr>
                  </m:e>
                  <m:sub>
                    <m:r>
                      <m:rPr/>
                      <w:rPr>
                        <w:color w:val="auto"/>
                      </w:rPr>
                      <m:t>n</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f</m:t>
                    </m:r>
                    <m:ctrlPr>
                      <w:rPr>
                        <w:color w:val="auto"/>
                      </w:rPr>
                    </m:ctrlPr>
                  </m:sub>
                </m:sSub>
              </m:oMath>
            </m:oMathPara>
          </w:p>
        </w:tc>
        <w:tc>
          <w:tcPr>
            <w:tcW w:w="5538" w:type="dxa"/>
            <w:gridSpan w:val="2"/>
            <w:vAlign w:val="center"/>
          </w:tcPr>
          <w:p w14:paraId="5203CE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Near-fracture and far-field target spacing</w:t>
            </w:r>
          </w:p>
        </w:tc>
        <w:tc>
          <w:tcPr>
            <w:tcW w:w="1936" w:type="dxa"/>
            <w:gridSpan w:val="2"/>
            <w:vAlign w:val="center"/>
          </w:tcPr>
          <w:p w14:paraId="100A733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7580C4A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580E20A7">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h</m:t>
                    </m:r>
                    <m:ctrlPr>
                      <w:rPr>
                        <w:color w:val="auto"/>
                      </w:rPr>
                    </m:ctrlPr>
                  </m:e>
                  <m:sub>
                    <m:r>
                      <m:rPr>
                        <m:nor/>
                        <m:sty m:val="p"/>
                      </m:rPr>
                      <w:rPr>
                        <w:b w:val="0"/>
                        <w:i w:val="0"/>
                        <w:color w:val="auto"/>
                      </w:rPr>
                      <m:t>min</m:t>
                    </m:r>
                    <m:ctrlPr>
                      <w:rPr>
                        <w:color w:val="auto"/>
                      </w:rPr>
                    </m:ctrlPr>
                  </m:sub>
                </m:sSub>
              </m:oMath>
            </m:oMathPara>
          </w:p>
        </w:tc>
        <w:tc>
          <w:tcPr>
            <w:tcW w:w="5538" w:type="dxa"/>
            <w:gridSpan w:val="2"/>
            <w:vAlign w:val="center"/>
          </w:tcPr>
          <w:p w14:paraId="6C3AF4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Minimum distance to fracture network</w:t>
            </w:r>
          </w:p>
        </w:tc>
        <w:tc>
          <w:tcPr>
            <w:tcW w:w="1936" w:type="dxa"/>
            <w:gridSpan w:val="2"/>
            <w:vAlign w:val="center"/>
          </w:tcPr>
          <w:p w14:paraId="732503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7376CB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274B7082">
            <w:pPr>
              <w:pStyle w:val="24"/>
              <w:snapToGrid w:val="0"/>
              <w:spacing w:before="0" w:after="0"/>
              <w:ind w:left="0" w:leftChars="0" w:right="0" w:rightChars="0" w:firstLineChars="0"/>
              <w:jc w:val="left"/>
              <w:rPr>
                <w:color w:val="auto"/>
              </w:rPr>
            </w:pPr>
            <m:oMathPara>
              <m:oMath>
                <m:r>
                  <m:rPr>
                    <m:sty m:val="b"/>
                  </m:rPr>
                  <w:rPr>
                    <w:color w:val="auto"/>
                  </w:rPr>
                  <m:t>K</m:t>
                </m:r>
              </m:oMath>
            </m:oMathPara>
          </w:p>
        </w:tc>
        <w:tc>
          <w:tcPr>
            <w:tcW w:w="5538" w:type="dxa"/>
            <w:gridSpan w:val="2"/>
            <w:vAlign w:val="center"/>
          </w:tcPr>
          <w:p w14:paraId="525CCE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Absolute permeability tensor</w:t>
            </w:r>
          </w:p>
        </w:tc>
        <w:tc>
          <w:tcPr>
            <w:tcW w:w="1936" w:type="dxa"/>
            <w:gridSpan w:val="2"/>
            <w:vAlign w:val="center"/>
          </w:tcPr>
          <w:p w14:paraId="3C0B8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54E2C3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0B020A7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N</m:t>
                    </m:r>
                    <m:ctrlPr>
                      <w:rPr>
                        <w:color w:val="auto"/>
                      </w:rPr>
                    </m:ctrlPr>
                  </m:e>
                  <m:sub>
                    <m:r>
                      <m:rPr/>
                      <w:rPr>
                        <w:color w:val="auto"/>
                      </w:rPr>
                      <m:t>c</m:t>
                    </m:r>
                    <m:ctrlPr>
                      <w:rPr>
                        <w:color w:val="auto"/>
                      </w:rPr>
                    </m:ctrlPr>
                  </m:sub>
                </m:sSub>
              </m:oMath>
            </m:oMathPara>
          </w:p>
        </w:tc>
        <w:tc>
          <w:tcPr>
            <w:tcW w:w="5538" w:type="dxa"/>
            <w:gridSpan w:val="2"/>
            <w:vAlign w:val="center"/>
          </w:tcPr>
          <w:p w14:paraId="137E15F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Number of computational cells</w:t>
            </w:r>
          </w:p>
        </w:tc>
        <w:tc>
          <w:tcPr>
            <w:tcW w:w="1936" w:type="dxa"/>
            <w:gridSpan w:val="2"/>
            <w:vAlign w:val="center"/>
          </w:tcPr>
          <w:p w14:paraId="078C1C8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443526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7C2D5D75">
            <w:pPr>
              <w:pStyle w:val="24"/>
              <w:snapToGrid w:val="0"/>
              <w:spacing w:before="0" w:after="0"/>
              <w:ind w:left="0" w:leftChars="0" w:right="0" w:rightChars="0" w:firstLineChars="0"/>
              <w:jc w:val="left"/>
              <w:rPr>
                <w:color w:val="auto"/>
              </w:rPr>
            </w:pPr>
            <m:oMathPara>
              <m:oMath>
                <m:sSub>
                  <m:sSubPr>
                    <m:ctrlPr>
                      <w:rPr>
                        <w:color w:val="auto"/>
                      </w:rPr>
                    </m:ctrlPr>
                  </m:sSubPr>
                  <m:e>
                    <m:r>
                      <m:rPr>
                        <m:sty m:val="b"/>
                      </m:rPr>
                      <w:rPr>
                        <w:color w:val="auto"/>
                      </w:rPr>
                      <m:t>n</m:t>
                    </m:r>
                    <m:ctrlPr>
                      <w:rPr>
                        <w:color w:val="auto"/>
                      </w:rPr>
                    </m:ctrlPr>
                  </m:e>
                  <m:sub>
                    <m:r>
                      <m:rPr/>
                      <w:rPr>
                        <w:color w:val="auto"/>
                      </w:rPr>
                      <m:t>ij</m:t>
                    </m:r>
                    <m:ctrlPr>
                      <w:rPr>
                        <w:color w:val="auto"/>
                      </w:rPr>
                    </m:ctrlPr>
                  </m:sub>
                </m:sSub>
              </m:oMath>
            </m:oMathPara>
          </w:p>
        </w:tc>
        <w:tc>
          <w:tcPr>
            <w:tcW w:w="5538" w:type="dxa"/>
            <w:gridSpan w:val="2"/>
            <w:vAlign w:val="center"/>
          </w:tcPr>
          <w:p w14:paraId="642709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Outward unit normal on face </w:t>
            </w:r>
            <m:oMath>
              <m:r>
                <m:rPr/>
                <w:rPr>
                  <w:color w:val="auto"/>
                </w:rPr>
                <m:t>ij</m:t>
              </m:r>
            </m:oMath>
          </w:p>
        </w:tc>
        <w:tc>
          <w:tcPr>
            <w:tcW w:w="1936" w:type="dxa"/>
            <w:gridSpan w:val="2"/>
            <w:vAlign w:val="center"/>
          </w:tcPr>
          <w:p w14:paraId="340EA87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BAC8A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26187060">
            <w:pPr>
              <w:pStyle w:val="24"/>
              <w:snapToGrid w:val="0"/>
              <w:spacing w:before="0" w:after="0"/>
              <w:ind w:left="0" w:leftChars="0" w:right="0" w:rightChars="0" w:firstLineChars="0"/>
              <w:jc w:val="left"/>
              <w:rPr>
                <w:color w:val="auto"/>
              </w:rPr>
            </w:pPr>
            <m:oMathPara>
              <m:oMath>
                <m:r>
                  <m:rPr/>
                  <w:rPr>
                    <w:color w:val="auto"/>
                  </w:rPr>
                  <m:t>p</m:t>
                </m:r>
              </m:oMath>
            </m:oMathPara>
          </w:p>
        </w:tc>
        <w:tc>
          <w:tcPr>
            <w:tcW w:w="5538" w:type="dxa"/>
            <w:gridSpan w:val="2"/>
            <w:vAlign w:val="center"/>
          </w:tcPr>
          <w:p w14:paraId="5EF4432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Pressure</w:t>
            </w:r>
          </w:p>
        </w:tc>
        <w:tc>
          <w:tcPr>
            <w:tcW w:w="1936" w:type="dxa"/>
            <w:gridSpan w:val="2"/>
            <w:vAlign w:val="center"/>
          </w:tcPr>
          <w:p w14:paraId="2DC04E6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Pa or MPa</w:t>
            </w:r>
          </w:p>
        </w:tc>
      </w:tr>
      <w:tr w14:paraId="1F5F84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6BDF0B5">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p</m:t>
                    </m:r>
                    <m:ctrlPr>
                      <w:rPr>
                        <w:color w:val="auto"/>
                      </w:rPr>
                    </m:ctrlPr>
                  </m:e>
                  <m:sub>
                    <m:r>
                      <m:rPr/>
                      <w:rPr>
                        <w:color w:val="auto"/>
                      </w:rPr>
                      <m:t>b</m:t>
                    </m:r>
                    <m:ctrlPr>
                      <w:rPr>
                        <w:color w:val="auto"/>
                      </w:rPr>
                    </m:ctrlPr>
                  </m:sub>
                </m:sSub>
              </m:oMath>
            </m:oMathPara>
          </w:p>
        </w:tc>
        <w:tc>
          <w:tcPr>
            <w:tcW w:w="5538" w:type="dxa"/>
            <w:gridSpan w:val="2"/>
            <w:vAlign w:val="center"/>
          </w:tcPr>
          <w:p w14:paraId="4F7770D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Bubble-point pressure</w:t>
            </w:r>
          </w:p>
        </w:tc>
        <w:tc>
          <w:tcPr>
            <w:tcW w:w="1936" w:type="dxa"/>
            <w:gridSpan w:val="2"/>
            <w:vAlign w:val="center"/>
          </w:tcPr>
          <w:p w14:paraId="62D8D5F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7F6401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B6665B8">
            <w:pPr>
              <w:pStyle w:val="24"/>
              <w:snapToGrid w:val="0"/>
              <w:spacing w:before="0" w:after="0"/>
              <w:ind w:left="0" w:leftChars="0" w:right="0" w:rightChars="0" w:firstLineChars="0"/>
              <w:jc w:val="left"/>
              <w:rPr>
                <w:color w:val="auto"/>
              </w:rPr>
            </w:pPr>
            <m:oMathPara>
              <m:oMath>
                <m:r>
                  <m:rPr/>
                  <w:rPr>
                    <w:color w:val="auto"/>
                  </w:rPr>
                  <m:t>q</m:t>
                </m:r>
              </m:oMath>
            </m:oMathPara>
          </w:p>
        </w:tc>
        <w:tc>
          <w:tcPr>
            <w:tcW w:w="5538" w:type="dxa"/>
            <w:gridSpan w:val="2"/>
            <w:vAlign w:val="center"/>
          </w:tcPr>
          <w:p w14:paraId="07AB66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Source/sink term</w:t>
            </w:r>
          </w:p>
        </w:tc>
        <w:tc>
          <w:tcPr>
            <w:tcW w:w="1936" w:type="dxa"/>
            <w:gridSpan w:val="2"/>
            <w:vAlign w:val="center"/>
          </w:tcPr>
          <w:p w14:paraId="2AB1CE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w:t>
            </w:r>
          </w:p>
        </w:tc>
      </w:tr>
      <w:tr w14:paraId="78101B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A642C76">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R</m:t>
                    </m:r>
                    <m:ctrlPr>
                      <w:rPr>
                        <w:color w:val="auto"/>
                      </w:rPr>
                    </m:ctrlPr>
                  </m:e>
                  <m:sub>
                    <m:r>
                      <m:rPr/>
                      <w:rPr>
                        <w:color w:val="auto"/>
                      </w:rPr>
                      <m:t>s</m:t>
                    </m:r>
                    <m:ctrlPr>
                      <w:rPr>
                        <w:color w:val="auto"/>
                      </w:rPr>
                    </m:ctrlPr>
                  </m:sub>
                </m:sSub>
              </m:oMath>
            </m:oMathPara>
          </w:p>
        </w:tc>
        <w:tc>
          <w:tcPr>
            <w:tcW w:w="5538" w:type="dxa"/>
            <w:gridSpan w:val="2"/>
            <w:vAlign w:val="center"/>
          </w:tcPr>
          <w:p w14:paraId="13F697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Solution gas–oil ratio</w:t>
            </w:r>
          </w:p>
        </w:tc>
        <w:tc>
          <w:tcPr>
            <w:tcW w:w="1936" w:type="dxa"/>
            <w:gridSpan w:val="2"/>
            <w:vAlign w:val="center"/>
          </w:tcPr>
          <w:p w14:paraId="41415B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r w14:paraId="449693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2A880718">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o</m:t>
                    </m:r>
                    <m:ctrlPr>
                      <w:rPr>
                        <w:rFonts w:ascii="Times New Roman" w:hAnsi="Times New Roman"/>
                        <w:b/>
                        <w:color w:val="auto"/>
                      </w:rPr>
                    </m:ctrlPr>
                  </m:sub>
                </m:sSub>
                <m:r>
                  <m:rPr>
                    <m:sty m:val="bi"/>
                  </m:rPr>
                  <w:rPr>
                    <w:rFonts w:ascii="Times New Roman" w:hAnsi="Times New Roman"/>
                    <w:color w:val="auto"/>
                  </w:rPr>
                  <m:t>,</m:t>
                </m:r>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g</m:t>
                    </m:r>
                    <m:ctrlPr>
                      <w:rPr>
                        <w:rFonts w:ascii="Times New Roman" w:hAnsi="Times New Roman"/>
                        <w:b/>
                        <w:color w:val="auto"/>
                      </w:rPr>
                    </m:ctrlPr>
                  </m:sub>
                </m:sSub>
                <m:r>
                  <m:rPr>
                    <m:sty m:val="bi"/>
                  </m:rPr>
                  <w:rPr>
                    <w:rFonts w:ascii="Times New Roman" w:hAnsi="Times New Roman"/>
                    <w:color w:val="auto"/>
                  </w:rPr>
                  <m:t>,</m:t>
                </m:r>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w</m:t>
                    </m:r>
                    <m:ctrlPr>
                      <w:rPr>
                        <w:rFonts w:ascii="Times New Roman" w:hAnsi="Times New Roman"/>
                        <w:b/>
                        <w:color w:val="auto"/>
                      </w:rPr>
                    </m:ctrlPr>
                  </m:sub>
                </m:sSub>
              </m:oMath>
            </m:oMathPara>
          </w:p>
        </w:tc>
        <w:tc>
          <w:tcPr>
            <w:tcW w:w="5538" w:type="dxa"/>
            <w:gridSpan w:val="2"/>
            <w:vAlign w:val="center"/>
          </w:tcPr>
          <w:p w14:paraId="721E0676">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Oil, gas, water saturations</w:t>
            </w:r>
          </w:p>
        </w:tc>
        <w:tc>
          <w:tcPr>
            <w:tcW w:w="1936" w:type="dxa"/>
            <w:gridSpan w:val="2"/>
            <w:vAlign w:val="center"/>
          </w:tcPr>
          <w:p w14:paraId="183B565E">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w:t>
            </w:r>
          </w:p>
        </w:tc>
      </w:tr>
      <w:tr w14:paraId="73A2D0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15A3D1B5">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r>
                      <m:rPr>
                        <m:sty m:val="bi"/>
                      </m:rPr>
                      <w:rPr>
                        <w:rFonts w:hint="default" w:ascii="Times New Roman" w:hAnsi="Times New Roman"/>
                        <w:color w:val="auto"/>
                      </w:rPr>
                      <m:t>T</m:t>
                    </m:r>
                    <m:ctrlPr>
                      <w:rPr>
                        <w:rFonts w:ascii="Times New Roman" w:hAnsi="Times New Roman"/>
                        <w:b/>
                        <w:color w:val="auto"/>
                      </w:rPr>
                    </m:ctrlPr>
                  </m:e>
                  <m:sub>
                    <m:r>
                      <m:rPr>
                        <m:sty m:val="bi"/>
                      </m:rPr>
                      <w:rPr>
                        <w:rFonts w:hint="default" w:ascii="Times New Roman" w:hAnsi="Times New Roman"/>
                        <w:color w:val="auto"/>
                      </w:rPr>
                      <m:t>p,ij</m:t>
                    </m:r>
                    <m:ctrlPr>
                      <w:rPr>
                        <w:rFonts w:ascii="Times New Roman" w:hAnsi="Times New Roman"/>
                        <w:b/>
                        <w:color w:val="auto"/>
                      </w:rPr>
                    </m:ctrlPr>
                  </m:sub>
                </m:sSub>
              </m:oMath>
            </m:oMathPara>
          </w:p>
        </w:tc>
        <w:tc>
          <w:tcPr>
            <w:tcW w:w="5538" w:type="dxa"/>
            <w:gridSpan w:val="2"/>
            <w:vAlign w:val="center"/>
          </w:tcPr>
          <w:p w14:paraId="359D8C92">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 xml:space="preserve">Phase transmissibility across face </w:t>
            </w:r>
            <m:oMath>
              <m:r>
                <m:rPr>
                  <m:sty m:val="bi"/>
                </m:rPr>
                <w:rPr>
                  <w:rFonts w:hint="default" w:ascii="Times New Roman" w:hAnsi="Times New Roman"/>
                  <w:color w:val="auto"/>
                </w:rPr>
                <m:t>ij</m:t>
              </m:r>
            </m:oMath>
          </w:p>
        </w:tc>
        <w:tc>
          <w:tcPr>
            <w:tcW w:w="1936" w:type="dxa"/>
            <w:gridSpan w:val="2"/>
            <w:vAlign w:val="center"/>
          </w:tcPr>
          <w:p w14:paraId="361885B8">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m³·cP/(Pa·s)</w:t>
            </w:r>
          </w:p>
        </w:tc>
      </w:tr>
      <w:tr w14:paraId="78C1E7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17D7579">
            <w:pPr>
              <w:pStyle w:val="24"/>
              <w:snapToGrid w:val="0"/>
              <w:spacing w:before="0" w:after="0"/>
              <w:ind w:left="0" w:leftChars="0" w:right="0" w:rightChars="0" w:firstLineChars="0"/>
              <w:jc w:val="left"/>
              <w:rPr>
                <w:color w:val="auto"/>
              </w:rPr>
            </w:pPr>
            <m:oMathPara>
              <m:oMath>
                <m:r>
                  <m:rPr/>
                  <w:rPr>
                    <w:color w:val="auto"/>
                  </w:rPr>
                  <m:t>t</m:t>
                </m:r>
              </m:oMath>
            </m:oMathPara>
          </w:p>
        </w:tc>
        <w:tc>
          <w:tcPr>
            <w:tcW w:w="5538" w:type="dxa"/>
            <w:gridSpan w:val="2"/>
            <w:vAlign w:val="center"/>
          </w:tcPr>
          <w:p w14:paraId="20CBE3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Time</w:t>
            </w:r>
          </w:p>
        </w:tc>
        <w:tc>
          <w:tcPr>
            <w:tcW w:w="1936" w:type="dxa"/>
            <w:gridSpan w:val="2"/>
            <w:vAlign w:val="center"/>
          </w:tcPr>
          <w:p w14:paraId="5BF83B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4395A7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3C21DDA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comp</m:t>
                    </m:r>
                    <m:ctrlPr>
                      <w:rPr>
                        <w:color w:val="auto"/>
                      </w:rPr>
                    </m:ctrlPr>
                  </m:sub>
                </m:sSub>
              </m:oMath>
            </m:oMathPara>
          </w:p>
        </w:tc>
        <w:tc>
          <w:tcPr>
            <w:tcW w:w="5538" w:type="dxa"/>
            <w:gridSpan w:val="2"/>
            <w:vAlign w:val="center"/>
          </w:tcPr>
          <w:p w14:paraId="249E00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Computation time (interior cells)</w:t>
            </w:r>
          </w:p>
        </w:tc>
        <w:tc>
          <w:tcPr>
            <w:tcW w:w="1936" w:type="dxa"/>
            <w:gridSpan w:val="2"/>
            <w:vAlign w:val="center"/>
          </w:tcPr>
          <w:p w14:paraId="284BD09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2C030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DBC0F76">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oMath>
            </m:oMathPara>
          </w:p>
        </w:tc>
        <w:tc>
          <w:tcPr>
            <w:tcW w:w="5538" w:type="dxa"/>
            <w:gridSpan w:val="2"/>
            <w:vAlign w:val="center"/>
          </w:tcPr>
          <w:p w14:paraId="471E9B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communication time</w:t>
            </w:r>
          </w:p>
        </w:tc>
        <w:tc>
          <w:tcPr>
            <w:tcW w:w="1936" w:type="dxa"/>
            <w:gridSpan w:val="2"/>
            <w:vAlign w:val="center"/>
          </w:tcPr>
          <w:p w14:paraId="58379A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4B2BE8D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4B95121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oMath>
            </m:oMathPara>
          </w:p>
        </w:tc>
        <w:tc>
          <w:tcPr>
            <w:tcW w:w="5538" w:type="dxa"/>
            <w:gridSpan w:val="2"/>
            <w:vAlign w:val="center"/>
          </w:tcPr>
          <w:p w14:paraId="43B79B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Residual MPI wait time after overlap</w:t>
            </w:r>
          </w:p>
        </w:tc>
        <w:tc>
          <w:tcPr>
            <w:tcW w:w="1936" w:type="dxa"/>
            <w:gridSpan w:val="2"/>
            <w:vAlign w:val="center"/>
          </w:tcPr>
          <w:p w14:paraId="4310F9C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0C649C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188745D">
            <w:pPr>
              <w:pStyle w:val="24"/>
              <w:snapToGrid w:val="0"/>
              <w:spacing w:before="0" w:after="0"/>
              <w:ind w:left="0" w:leftChars="0" w:right="0" w:rightChars="0" w:firstLineChars="0"/>
              <w:jc w:val="left"/>
              <w:rPr>
                <w:color w:val="auto"/>
              </w:rPr>
            </w:pPr>
            <m:oMathPara>
              <m:oMath>
                <m:sSub>
                  <m:sSubPr>
                    <m:ctrlPr>
                      <w:rPr>
                        <w:color w:val="auto"/>
                      </w:rPr>
                    </m:ctrlPr>
                  </m:sSubPr>
                  <m:e>
                    <m:r>
                      <m:rPr>
                        <m:sty m:val="b"/>
                      </m:rPr>
                      <w:rPr>
                        <w:color w:val="auto"/>
                      </w:rPr>
                      <m:t>u</m:t>
                    </m:r>
                    <m:ctrlPr>
                      <w:rPr>
                        <w:color w:val="auto"/>
                      </w:rPr>
                    </m:ctrlPr>
                  </m:e>
                  <m:sub>
                    <m:r>
                      <m:rPr/>
                      <w:rPr>
                        <w:color w:val="auto"/>
                      </w:rPr>
                      <m:t>p</m:t>
                    </m:r>
                    <m:ctrlPr>
                      <w:rPr>
                        <w:color w:val="auto"/>
                      </w:rPr>
                    </m:ctrlPr>
                  </m:sub>
                </m:sSub>
              </m:oMath>
            </m:oMathPara>
          </w:p>
        </w:tc>
        <w:tc>
          <w:tcPr>
            <w:tcW w:w="5538" w:type="dxa"/>
            <w:gridSpan w:val="2"/>
            <w:vAlign w:val="center"/>
          </w:tcPr>
          <w:p w14:paraId="6E83D2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Darcy velocity of phase </w:t>
            </w:r>
            <m:oMath>
              <m:r>
                <m:rPr/>
                <w:rPr>
                  <w:color w:val="auto"/>
                </w:rPr>
                <m:t>p</m:t>
              </m:r>
            </m:oMath>
          </w:p>
        </w:tc>
        <w:tc>
          <w:tcPr>
            <w:tcW w:w="1936" w:type="dxa"/>
            <w:gridSpan w:val="2"/>
            <w:vAlign w:val="center"/>
          </w:tcPr>
          <w:p w14:paraId="3B36E2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m/s</w:t>
            </w:r>
          </w:p>
        </w:tc>
      </w:tr>
      <w:tr w14:paraId="12748C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7AD2213A">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V</m:t>
                    </m:r>
                    <m:ctrlPr>
                      <w:rPr>
                        <w:color w:val="auto"/>
                      </w:rPr>
                    </m:ctrlPr>
                  </m:e>
                  <m:sub>
                    <m:r>
                      <m:rPr/>
                      <w:rPr>
                        <w:color w:val="auto"/>
                      </w:rPr>
                      <m:t>i</m:t>
                    </m:r>
                    <m:ctrlPr>
                      <w:rPr>
                        <w:color w:val="auto"/>
                      </w:rPr>
                    </m:ctrlPr>
                  </m:sub>
                </m:sSub>
              </m:oMath>
            </m:oMathPara>
          </w:p>
        </w:tc>
        <w:tc>
          <w:tcPr>
            <w:tcW w:w="5538" w:type="dxa"/>
            <w:gridSpan w:val="2"/>
            <w:vAlign w:val="center"/>
          </w:tcPr>
          <w:p w14:paraId="2F97D6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Voronoi cell of generator </w:t>
            </w:r>
            <m:oMath>
              <m:r>
                <m:rPr/>
                <w:rPr>
                  <w:color w:val="auto"/>
                </w:rPr>
                <m:t>i</m:t>
              </m:r>
            </m:oMath>
          </w:p>
        </w:tc>
        <w:tc>
          <w:tcPr>
            <w:tcW w:w="1936" w:type="dxa"/>
            <w:gridSpan w:val="2"/>
            <w:vAlign w:val="center"/>
          </w:tcPr>
          <w:p w14:paraId="35503E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9CD67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7D8DC3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0" w:type="auto"/>
            <w:gridSpan w:val="4"/>
            <w:tcBorders>
              <w:bottom w:val="single" w:color="auto" w:sz="0" w:space="0"/>
            </w:tcBorders>
            <w:vAlign w:val="center"/>
          </w:tcPr>
          <w:p w14:paraId="305B7F8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1266" w:type="dxa"/>
            <w:tcBorders>
              <w:bottom w:val="single" w:color="auto" w:sz="0" w:space="0"/>
            </w:tcBorders>
            <w:vAlign w:val="center"/>
          </w:tcPr>
          <w:p w14:paraId="78D7882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08BDA7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C3C464E">
            <w:pPr>
              <w:pStyle w:val="24"/>
              <w:snapToGrid w:val="0"/>
              <w:spacing w:before="0" w:after="0"/>
              <w:ind w:left="0" w:leftChars="0" w:right="0" w:rightChars="0" w:firstLineChars="0"/>
              <w:jc w:val="left"/>
              <w:rPr>
                <w:color w:val="auto"/>
              </w:rPr>
            </w:pPr>
            <m:oMathPara>
              <m:oMath>
                <m:r>
                  <m:rPr/>
                  <w:rPr>
                    <w:color w:val="auto"/>
                  </w:rPr>
                  <m:t>α</m:t>
                </m:r>
              </m:oMath>
            </m:oMathPara>
          </w:p>
        </w:tc>
        <w:tc>
          <w:tcPr>
            <w:tcW w:w="0" w:type="auto"/>
            <w:gridSpan w:val="4"/>
            <w:vAlign w:val="center"/>
          </w:tcPr>
          <w:p w14:paraId="223B8BE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Tanh transition steepness parameter</w:t>
            </w:r>
          </w:p>
        </w:tc>
        <w:tc>
          <w:tcPr>
            <w:tcW w:w="1266" w:type="dxa"/>
            <w:vAlign w:val="center"/>
          </w:tcPr>
          <w:p w14:paraId="6BDEFDC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m⁻¹</w:t>
            </w:r>
          </w:p>
        </w:tc>
      </w:tr>
      <w:tr w14:paraId="26D763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72C8B8A">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δ</m:t>
                    </m:r>
                    <m:ctrlPr>
                      <w:rPr>
                        <w:color w:val="auto"/>
                      </w:rPr>
                    </m:ctrlPr>
                  </m:e>
                  <m:sub>
                    <m:r>
                      <m:rPr/>
                      <w:rPr>
                        <w:color w:val="auto"/>
                      </w:rPr>
                      <m:t>i</m:t>
                    </m:r>
                    <m:ctrlPr>
                      <w:rPr>
                        <w:color w:val="auto"/>
                      </w:rPr>
                    </m:ctrlPr>
                  </m:sub>
                </m:sSub>
              </m:oMath>
            </m:oMathPara>
          </w:p>
        </w:tc>
        <w:tc>
          <w:tcPr>
            <w:tcW w:w="0" w:type="auto"/>
            <w:gridSpan w:val="4"/>
            <w:vAlign w:val="center"/>
          </w:tcPr>
          <w:p w14:paraId="75BFA4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Diagonal dominance ratio </w:t>
            </w:r>
            <m:oMath>
              <m:r>
                <m:rPr/>
                <w:rPr>
                  <w:color w:val="auto"/>
                </w:rPr>
                <m:t>|</m:t>
              </m:r>
              <m:sSub>
                <m:sSubPr>
                  <m:ctrlPr>
                    <w:rPr>
                      <w:color w:val="auto"/>
                    </w:rPr>
                  </m:ctrlPr>
                </m:sSubPr>
                <m:e>
                  <m:r>
                    <m:rPr/>
                    <w:rPr>
                      <w:color w:val="auto"/>
                    </w:rPr>
                    <m:t>a</m:t>
                  </m:r>
                  <m:ctrlPr>
                    <w:rPr>
                      <w:color w:val="auto"/>
                    </w:rPr>
                  </m:ctrlPr>
                </m:e>
                <m:sub>
                  <m:r>
                    <m:rPr/>
                    <w:rPr>
                      <w:color w:val="auto"/>
                    </w:rPr>
                    <m:t>ii</m:t>
                  </m:r>
                  <m:ctrlPr>
                    <w:rPr>
                      <w:color w:val="auto"/>
                    </w:rPr>
                  </m:ctrlPr>
                </m:sub>
              </m:sSub>
              <m:r>
                <m:rPr/>
                <w:rPr>
                  <w:color w:val="auto"/>
                </w:rPr>
                <m:t>|/</m:t>
              </m:r>
              <m:nary>
                <m:naryPr>
                  <m:chr m:val="∑"/>
                  <m:limLoc m:val="undOvr"/>
                  <m:supHide m:val="1"/>
                  <m:ctrlPr>
                    <w:rPr>
                      <w:color w:val="auto"/>
                    </w:rPr>
                  </m:ctrlPr>
                </m:naryPr>
                <m:sub>
                  <m:r>
                    <m:rPr/>
                    <w:rPr>
                      <w:color w:val="auto"/>
                    </w:rPr>
                    <m:t>j≠i</m:t>
                  </m:r>
                  <m:ctrlPr>
                    <w:rPr>
                      <w:color w:val="auto"/>
                    </w:rPr>
                  </m:ctrlPr>
                </m:sub>
                <m:sup>
                  <m:r>
                    <m:rPr/>
                    <w:rPr>
                      <w:color w:val="auto"/>
                    </w:rPr>
                    <m:t>​</m:t>
                  </m:r>
                  <m:ctrlPr>
                    <w:rPr>
                      <w:color w:val="auto"/>
                    </w:rPr>
                  </m:ctrlPr>
                </m:sup>
                <m:e>
                  <m:r>
                    <m:rPr/>
                    <w:rPr>
                      <w:color w:val="auto"/>
                    </w:rPr>
                    <m:t>|</m:t>
                  </m:r>
                  <m:ctrlPr>
                    <w:rPr>
                      <w:color w:val="auto"/>
                    </w:rPr>
                  </m:ctrlPr>
                </m:e>
              </m:nary>
              <m:sSub>
                <m:sSubPr>
                  <m:ctrlPr>
                    <w:rPr>
                      <w:color w:val="auto"/>
                    </w:rPr>
                  </m:ctrlPr>
                </m:sSubPr>
                <m:e>
                  <m:r>
                    <m:rPr/>
                    <w:rPr>
                      <w:color w:val="auto"/>
                    </w:rPr>
                    <m:t>a</m:t>
                  </m:r>
                  <m:ctrlPr>
                    <w:rPr>
                      <w:color w:val="auto"/>
                    </w:rPr>
                  </m:ctrlPr>
                </m:e>
                <m:sub>
                  <m:r>
                    <m:rPr/>
                    <w:rPr>
                      <w:color w:val="auto"/>
                    </w:rPr>
                    <m:t>ij</m:t>
                  </m:r>
                  <m:ctrlPr>
                    <w:rPr>
                      <w:color w:val="auto"/>
                    </w:rPr>
                  </m:ctrlPr>
                </m:sub>
              </m:sSub>
              <m:r>
                <m:rPr/>
                <w:rPr>
                  <w:color w:val="auto"/>
                </w:rPr>
                <m:t>|</m:t>
              </m:r>
            </m:oMath>
          </w:p>
        </w:tc>
        <w:tc>
          <w:tcPr>
            <w:tcW w:w="1266" w:type="dxa"/>
            <w:vAlign w:val="center"/>
          </w:tcPr>
          <w:p w14:paraId="0723F4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3D778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E38E0E8">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ε</m:t>
                    </m:r>
                    <m:ctrlPr>
                      <w:rPr>
                        <w:color w:val="auto"/>
                      </w:rPr>
                    </m:ctrlPr>
                  </m:e>
                  <m:sub>
                    <m:r>
                      <m:rPr>
                        <m:nor/>
                        <m:sty m:val="p"/>
                      </m:rPr>
                      <w:rPr>
                        <w:b w:val="0"/>
                        <w:i w:val="0"/>
                        <w:color w:val="auto"/>
                      </w:rPr>
                      <m:t>str</m:t>
                    </m:r>
                    <m:ctrlPr>
                      <w:rPr>
                        <w:color w:val="auto"/>
                      </w:rPr>
                    </m:ctrlPr>
                  </m:sub>
                </m:sSub>
              </m:oMath>
            </m:oMathPara>
          </w:p>
        </w:tc>
        <w:tc>
          <w:tcPr>
            <w:tcW w:w="0" w:type="auto"/>
            <w:gridSpan w:val="4"/>
            <w:vAlign w:val="center"/>
          </w:tcPr>
          <w:p w14:paraId="54DFF5F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SA-AMG strong-coupling threshold</w:t>
            </w:r>
          </w:p>
        </w:tc>
        <w:tc>
          <w:tcPr>
            <w:tcW w:w="1266" w:type="dxa"/>
            <w:vAlign w:val="center"/>
          </w:tcPr>
          <w:p w14:paraId="262C42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2DF7D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858FC72">
            <w:pPr>
              <w:pStyle w:val="24"/>
              <w:snapToGrid w:val="0"/>
              <w:spacing w:before="0" w:after="0"/>
              <w:ind w:left="0" w:leftChars="0" w:right="0" w:rightChars="0" w:firstLineChars="0"/>
              <w:jc w:val="left"/>
              <w:rPr>
                <w:color w:val="auto"/>
              </w:rPr>
            </w:pPr>
            <m:oMathPara>
              <m:oMath>
                <m:r>
                  <m:rPr/>
                  <w:rPr>
                    <w:color w:val="auto"/>
                  </w:rPr>
                  <m:t>η</m:t>
                </m:r>
              </m:oMath>
            </m:oMathPara>
          </w:p>
        </w:tc>
        <w:tc>
          <w:tcPr>
            <w:tcW w:w="0" w:type="auto"/>
            <w:gridSpan w:val="4"/>
            <w:vAlign w:val="center"/>
          </w:tcPr>
          <w:p w14:paraId="0E41BDA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Computation–communication overlap efficiency</w:t>
            </w:r>
          </w:p>
        </w:tc>
        <w:tc>
          <w:tcPr>
            <w:tcW w:w="1266" w:type="dxa"/>
            <w:vAlign w:val="center"/>
          </w:tcPr>
          <w:p w14:paraId="75EFAF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450215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AFA3FC7">
            <w:pPr>
              <w:pStyle w:val="24"/>
              <w:snapToGrid w:val="0"/>
              <w:spacing w:before="0" w:after="0"/>
              <w:ind w:left="0" w:leftChars="0" w:right="0" w:rightChars="0" w:firstLineChars="0"/>
              <w:jc w:val="left"/>
              <w:rPr>
                <w:color w:val="auto"/>
              </w:rPr>
            </w:pPr>
            <m:oMathPara>
              <m:oMath>
                <m:r>
                  <m:rPr/>
                  <w:rPr>
                    <w:color w:val="auto"/>
                  </w:rPr>
                  <m:t>θ</m:t>
                </m:r>
              </m:oMath>
            </m:oMathPara>
          </w:p>
        </w:tc>
        <w:tc>
          <w:tcPr>
            <w:tcW w:w="0" w:type="auto"/>
            <w:gridSpan w:val="4"/>
            <w:vAlign w:val="center"/>
          </w:tcPr>
          <w:p w14:paraId="508280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K-orthogonality deviation angle</w:t>
            </w:r>
          </w:p>
        </w:tc>
        <w:tc>
          <w:tcPr>
            <w:tcW w:w="1266" w:type="dxa"/>
            <w:vAlign w:val="center"/>
          </w:tcPr>
          <w:p w14:paraId="77616C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degrees</w:t>
            </w:r>
          </w:p>
        </w:tc>
      </w:tr>
      <w:tr w14:paraId="0188F8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997900E">
            <w:pPr>
              <w:pStyle w:val="24"/>
              <w:snapToGrid w:val="0"/>
              <w:spacing w:before="0" w:after="0"/>
              <w:ind w:left="0" w:leftChars="0" w:right="0" w:rightChars="0" w:firstLineChars="0"/>
              <w:jc w:val="left"/>
              <w:rPr>
                <w:color w:val="auto"/>
              </w:rPr>
            </w:pPr>
            <m:oMathPara>
              <m:oMath>
                <m:r>
                  <m:rPr/>
                  <w:rPr>
                    <w:color w:val="auto"/>
                  </w:rPr>
                  <m:t>κ(A)</m:t>
                </m:r>
              </m:oMath>
            </m:oMathPara>
          </w:p>
        </w:tc>
        <w:tc>
          <w:tcPr>
            <w:tcW w:w="0" w:type="auto"/>
            <w:gridSpan w:val="4"/>
            <w:vAlign w:val="center"/>
          </w:tcPr>
          <w:p w14:paraId="16CB9A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Condition number of matrix </w:t>
            </w:r>
            <m:oMath>
              <m:r>
                <m:rPr/>
                <w:rPr>
                  <w:color w:val="auto"/>
                </w:rPr>
                <m:t>A</m:t>
              </m:r>
            </m:oMath>
          </w:p>
        </w:tc>
        <w:tc>
          <w:tcPr>
            <w:tcW w:w="1266" w:type="dxa"/>
            <w:vAlign w:val="center"/>
          </w:tcPr>
          <w:p w14:paraId="68D7B6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95A24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0C5B34F">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μ</m:t>
                    </m:r>
                    <m:ctrlPr>
                      <w:rPr>
                        <w:color w:val="auto"/>
                      </w:rPr>
                    </m:ctrlPr>
                  </m:e>
                  <m:sub>
                    <m:r>
                      <m:rPr/>
                      <w:rPr>
                        <w:color w:val="auto"/>
                      </w:rPr>
                      <m:t>p</m:t>
                    </m:r>
                    <m:ctrlPr>
                      <w:rPr>
                        <w:color w:val="auto"/>
                      </w:rPr>
                    </m:ctrlPr>
                  </m:sub>
                </m:sSub>
              </m:oMath>
            </m:oMathPara>
          </w:p>
        </w:tc>
        <w:tc>
          <w:tcPr>
            <w:tcW w:w="0" w:type="auto"/>
            <w:gridSpan w:val="4"/>
            <w:vAlign w:val="center"/>
          </w:tcPr>
          <w:p w14:paraId="2128F7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Viscosity of phase </w:t>
            </w:r>
            <m:oMath>
              <m:r>
                <m:rPr/>
                <w:rPr>
                  <w:color w:val="auto"/>
                </w:rPr>
                <m:t>p</m:t>
              </m:r>
            </m:oMath>
          </w:p>
        </w:tc>
        <w:tc>
          <w:tcPr>
            <w:tcW w:w="1266" w:type="dxa"/>
            <w:vAlign w:val="center"/>
          </w:tcPr>
          <w:p w14:paraId="11D8309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w:t>
            </w:r>
          </w:p>
        </w:tc>
      </w:tr>
      <w:tr w14:paraId="176F41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993682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ρ</m:t>
                    </m:r>
                    <m:ctrlPr>
                      <w:rPr>
                        <w:color w:val="auto"/>
                      </w:rPr>
                    </m:ctrlPr>
                  </m:e>
                  <m:sub>
                    <m:r>
                      <m:rPr/>
                      <w:rPr>
                        <w:color w:val="auto"/>
                      </w:rPr>
                      <m:t>p</m:t>
                    </m:r>
                    <m:ctrlPr>
                      <w:rPr>
                        <w:color w:val="auto"/>
                      </w:rPr>
                    </m:ctrlPr>
                  </m:sub>
                </m:sSub>
              </m:oMath>
            </m:oMathPara>
          </w:p>
        </w:tc>
        <w:tc>
          <w:tcPr>
            <w:tcW w:w="0" w:type="auto"/>
            <w:gridSpan w:val="4"/>
            <w:vAlign w:val="center"/>
          </w:tcPr>
          <w:p w14:paraId="7ECA7B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Density of phase </w:t>
            </w:r>
            <m:oMath>
              <m:r>
                <m:rPr/>
                <w:rPr>
                  <w:color w:val="auto"/>
                </w:rPr>
                <m:t>p</m:t>
              </m:r>
            </m:oMath>
          </w:p>
        </w:tc>
        <w:tc>
          <w:tcPr>
            <w:tcW w:w="1266" w:type="dxa"/>
            <w:vAlign w:val="center"/>
          </w:tcPr>
          <w:p w14:paraId="04AF61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kg/m³</w:t>
            </w:r>
          </w:p>
        </w:tc>
      </w:tr>
      <w:tr w14:paraId="3100FD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9E1D057">
            <w:pPr>
              <w:pStyle w:val="24"/>
              <w:snapToGrid w:val="0"/>
              <w:spacing w:before="0" w:after="0"/>
              <w:ind w:left="0" w:leftChars="0" w:right="0" w:rightChars="0" w:firstLineChars="0"/>
              <w:jc w:val="left"/>
              <w:rPr>
                <w:color w:val="auto"/>
              </w:rPr>
            </w:pPr>
            <m:oMathPara>
              <m:oMath>
                <m:r>
                  <m:rPr/>
                  <w:rPr>
                    <w:color w:val="auto"/>
                  </w:rPr>
                  <m:t>ϕ</m:t>
                </m:r>
              </m:oMath>
            </m:oMathPara>
          </w:p>
        </w:tc>
        <w:tc>
          <w:tcPr>
            <w:tcW w:w="0" w:type="auto"/>
            <w:gridSpan w:val="4"/>
            <w:vAlign w:val="center"/>
          </w:tcPr>
          <w:p w14:paraId="13C189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Porosity</w:t>
            </w:r>
          </w:p>
        </w:tc>
        <w:tc>
          <w:tcPr>
            <w:tcW w:w="1266" w:type="dxa"/>
            <w:vAlign w:val="center"/>
          </w:tcPr>
          <w:p w14:paraId="6D1FF1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67F0247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14" w:type="dxa"/>
            <w:vAlign w:val="center"/>
          </w:tcPr>
          <w:p w14:paraId="57956EF0">
            <w:pPr>
              <w:pStyle w:val="24"/>
              <w:snapToGrid w:val="0"/>
              <w:spacing w:before="0" w:after="0"/>
              <w:ind w:left="0" w:leftChars="0" w:right="0" w:rightChars="0" w:firstLineChars="0"/>
              <w:jc w:val="left"/>
              <w:rPr>
                <w:color w:val="auto"/>
              </w:rPr>
            </w:pPr>
            <m:oMathPara>
              <m:oMath>
                <m:r>
                  <m:rPr/>
                  <w:rPr>
                    <w:color w:val="auto"/>
                  </w:rPr>
                  <m:t>ω</m:t>
                </m:r>
              </m:oMath>
            </m:oMathPara>
          </w:p>
        </w:tc>
        <w:tc>
          <w:tcPr>
            <w:tcW w:w="6371" w:type="dxa"/>
            <w:gridSpan w:val="4"/>
            <w:vAlign w:val="center"/>
          </w:tcPr>
          <w:p w14:paraId="2A7CE1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Damped Jacobi smoothing parameter</w:t>
            </w:r>
          </w:p>
        </w:tc>
        <w:tc>
          <w:tcPr>
            <w:tcW w:w="1266" w:type="dxa"/>
            <w:vAlign w:val="center"/>
          </w:tcPr>
          <w:p w14:paraId="50FB214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37DF4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73" w:type="dxa"/>
            <w:gridSpan w:val="3"/>
            <w:tcBorders>
              <w:bottom w:val="single" w:color="auto" w:sz="0" w:space="0"/>
            </w:tcBorders>
            <w:vAlign w:val="center"/>
          </w:tcPr>
          <w:p w14:paraId="49D748D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Abbreviation</w:t>
            </w:r>
          </w:p>
        </w:tc>
        <w:tc>
          <w:tcPr>
            <w:tcW w:w="6978" w:type="dxa"/>
            <w:gridSpan w:val="3"/>
            <w:tcBorders>
              <w:bottom w:val="single" w:color="auto" w:sz="0" w:space="0"/>
            </w:tcBorders>
            <w:vAlign w:val="center"/>
          </w:tcPr>
          <w:p w14:paraId="38A1A0E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r>
      <w:tr w14:paraId="32D917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ED36E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AMG</w:t>
            </w:r>
          </w:p>
        </w:tc>
        <w:tc>
          <w:tcPr>
            <w:tcW w:w="6978" w:type="dxa"/>
            <w:gridSpan w:val="3"/>
            <w:vAlign w:val="center"/>
          </w:tcPr>
          <w:p w14:paraId="1FCBA6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Algebraic Multigrid</w:t>
            </w:r>
          </w:p>
        </w:tc>
      </w:tr>
      <w:tr w14:paraId="76AAEA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5D56B0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6978" w:type="dxa"/>
            <w:gridSpan w:val="3"/>
            <w:vAlign w:val="center"/>
          </w:tcPr>
          <w:p w14:paraId="5C6A393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 Incomplete Lower-Upper factorization (zero fill)</w:t>
            </w:r>
          </w:p>
        </w:tc>
      </w:tr>
      <w:tr w14:paraId="5C3660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BDEEE0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w:t>
            </w:r>
          </w:p>
        </w:tc>
        <w:tc>
          <w:tcPr>
            <w:tcW w:w="6978" w:type="dxa"/>
            <w:gridSpan w:val="3"/>
            <w:vAlign w:val="center"/>
          </w:tcPr>
          <w:p w14:paraId="7D98559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Constrained Pressure Residual</w:t>
            </w:r>
          </w:p>
        </w:tc>
      </w:tr>
      <w:tr w14:paraId="6613AF7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E1218A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DFN</w:t>
            </w:r>
          </w:p>
        </w:tc>
        <w:tc>
          <w:tcPr>
            <w:tcW w:w="6978" w:type="dxa"/>
            <w:gridSpan w:val="3"/>
            <w:vAlign w:val="center"/>
          </w:tcPr>
          <w:p w14:paraId="310F73E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Discrete Fracture Network</w:t>
            </w:r>
          </w:p>
        </w:tc>
      </w:tr>
      <w:tr w14:paraId="60FE41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87333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EDFM</w:t>
            </w:r>
          </w:p>
        </w:tc>
        <w:tc>
          <w:tcPr>
            <w:tcW w:w="6978" w:type="dxa"/>
            <w:gridSpan w:val="3"/>
            <w:vAlign w:val="center"/>
          </w:tcPr>
          <w:p w14:paraId="0BE2A83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Embedded Discrete Fracture Model</w:t>
            </w:r>
          </w:p>
        </w:tc>
      </w:tr>
      <w:tr w14:paraId="2EB8F4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355AA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w:t>
            </w:r>
          </w:p>
        </w:tc>
        <w:tc>
          <w:tcPr>
            <w:tcW w:w="6978" w:type="dxa"/>
            <w:gridSpan w:val="3"/>
            <w:vAlign w:val="center"/>
          </w:tcPr>
          <w:p w14:paraId="53C93E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Generalized Minimum Residual</w:t>
            </w:r>
          </w:p>
        </w:tc>
      </w:tr>
      <w:tr w14:paraId="1CC76E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85FEE5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LGR</w:t>
            </w:r>
          </w:p>
        </w:tc>
        <w:tc>
          <w:tcPr>
            <w:tcW w:w="6978" w:type="dxa"/>
            <w:gridSpan w:val="3"/>
            <w:vAlign w:val="center"/>
          </w:tcPr>
          <w:p w14:paraId="0AF5592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Local Grid Refinement</w:t>
            </w:r>
          </w:p>
        </w:tc>
      </w:tr>
      <w:tr w14:paraId="7DF5DE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23E1AD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MC</w:t>
            </w:r>
          </w:p>
        </w:tc>
        <w:tc>
          <w:tcPr>
            <w:tcW w:w="6978" w:type="dxa"/>
            <w:gridSpan w:val="3"/>
            <w:vAlign w:val="center"/>
          </w:tcPr>
          <w:p w14:paraId="33E9A0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Monte Carlo</w:t>
            </w:r>
          </w:p>
        </w:tc>
      </w:tr>
      <w:tr w14:paraId="437AA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9CFBF7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MPI</w:t>
            </w:r>
          </w:p>
        </w:tc>
        <w:tc>
          <w:tcPr>
            <w:tcW w:w="6978" w:type="dxa"/>
            <w:gridSpan w:val="3"/>
            <w:vAlign w:val="center"/>
          </w:tcPr>
          <w:p w14:paraId="34041DE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Message Passing Interface</w:t>
            </w:r>
          </w:p>
        </w:tc>
      </w:tr>
      <w:tr w14:paraId="141350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AC897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NNC</w:t>
            </w:r>
          </w:p>
        </w:tc>
        <w:tc>
          <w:tcPr>
            <w:tcW w:w="6978" w:type="dxa"/>
            <w:gridSpan w:val="3"/>
            <w:vAlign w:val="center"/>
          </w:tcPr>
          <w:p w14:paraId="61C6C64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Non-Neighboring Connection</w:t>
            </w:r>
          </w:p>
        </w:tc>
      </w:tr>
      <w:tr w14:paraId="2FD95A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676E8F1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6978" w:type="dxa"/>
            <w:gridSpan w:val="3"/>
            <w:vAlign w:val="center"/>
          </w:tcPr>
          <w:p w14:paraId="35217D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Perpendicular Bisector</w:t>
            </w:r>
          </w:p>
        </w:tc>
      </w:tr>
      <w:tr w14:paraId="1CCAA5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537FFB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RTA</w:t>
            </w:r>
          </w:p>
        </w:tc>
        <w:tc>
          <w:tcPr>
            <w:tcW w:w="6978" w:type="dxa"/>
            <w:gridSpan w:val="3"/>
            <w:vAlign w:val="center"/>
          </w:tcPr>
          <w:p w14:paraId="773A9F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Rate Transient Analysis</w:t>
            </w:r>
          </w:p>
        </w:tc>
      </w:tr>
      <w:tr w14:paraId="698B7E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0D6242D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SA</w:t>
            </w:r>
          </w:p>
        </w:tc>
        <w:tc>
          <w:tcPr>
            <w:tcW w:w="6978" w:type="dxa"/>
            <w:gridSpan w:val="3"/>
            <w:vAlign w:val="center"/>
          </w:tcPr>
          <w:p w14:paraId="5CD1FC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Smoothed Aggregation</w:t>
            </w:r>
          </w:p>
        </w:tc>
      </w:tr>
      <w:tr w14:paraId="2C6163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71362A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SPE</w:t>
            </w:r>
          </w:p>
        </w:tc>
        <w:tc>
          <w:tcPr>
            <w:tcW w:w="6978" w:type="dxa"/>
            <w:gridSpan w:val="3"/>
            <w:vAlign w:val="center"/>
          </w:tcPr>
          <w:p w14:paraId="2FDC374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Society of Petroleum Engineers</w:t>
            </w:r>
          </w:p>
        </w:tc>
      </w:tr>
      <w:tr w14:paraId="2EAAE9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F6A410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SRV</w:t>
            </w:r>
          </w:p>
        </w:tc>
        <w:tc>
          <w:tcPr>
            <w:tcW w:w="6978" w:type="dxa"/>
            <w:gridSpan w:val="3"/>
            <w:vAlign w:val="center"/>
          </w:tcPr>
          <w:p w14:paraId="1FED29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Stimulated Reservoir Volume</w:t>
            </w:r>
          </w:p>
        </w:tc>
      </w:tr>
      <w:tr w14:paraId="42CD7E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CF3AA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TPFA</w:t>
            </w:r>
          </w:p>
        </w:tc>
        <w:tc>
          <w:tcPr>
            <w:tcW w:w="6978" w:type="dxa"/>
            <w:gridSpan w:val="3"/>
            <w:vAlign w:val="center"/>
          </w:tcPr>
          <w:p w14:paraId="499F3F5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Two-Point Flux Approximation</w:t>
            </w:r>
          </w:p>
        </w:tc>
      </w:tr>
    </w:tbl>
    <w:p w14:paraId="3B842A7B"/>
    <w:sectPr>
      <w:pgSz w:w="11906" w:h="16838"/>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315DCA"/>
    <w:multiLevelType w:val="multilevel"/>
    <w:tmpl w:val="71315DCA"/>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BEA004A"/>
    <w:rsid w:val="2E8066CA"/>
    <w:rsid w:val="4404213C"/>
    <w:rsid w:val="69344C1E"/>
    <w:rsid w:val="6AE94263"/>
    <w:rsid w:val="71E9219F"/>
    <w:rsid w:val="72DB0834"/>
    <w:rsid w:val="798017B9"/>
    <w:rsid w:val="7BE171C4"/>
    <w:rsid w:val="7D4C298C"/>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ind w:firstLine="720"/>
      <w:jc w:val="both"/>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0"/>
    <w:pPr>
      <w:spacing w:before="360" w:after="120"/>
      <w:jc w:val="left"/>
    </w:pPr>
    <w:rPr>
      <w:rFonts w:ascii="Times New Roman" w:hAnsi="Times New Roman"/>
      <w:b/>
      <w:bCs/>
      <w:sz w:val="28"/>
      <w:szCs w:val="28"/>
    </w:rPr>
  </w:style>
  <w:style w:type="paragraph" w:styleId="4">
    <w:name w:val="heading 2"/>
    <w:basedOn w:val="1"/>
    <w:next w:val="3"/>
    <w:qFormat/>
    <w:uiPriority w:val="0"/>
    <w:pPr>
      <w:spacing w:before="240" w:after="120"/>
      <w:jc w:val="left"/>
    </w:pPr>
    <w:rPr>
      <w:rFonts w:ascii="Times New Roman" w:hAnsi="Times New Roman"/>
      <w:b/>
      <w:bCs/>
      <w:sz w:val="24"/>
      <w:szCs w:val="24"/>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uiPriority w:val="0"/>
    <w:pPr>
      <w:spacing w:line="360" w:lineRule="auto"/>
      <w:ind w:firstLine="480"/>
      <w:jc w:val="both"/>
    </w:pPr>
    <w:rPr>
      <w:rFonts w:ascii="Times New Roman" w:hAnsi="Times New Roman"/>
      <w:sz w:val="24"/>
      <w:szCs w:val="24"/>
    </w:rPr>
  </w:style>
  <w:style w:type="paragraph" w:styleId="12">
    <w:name w:val="caption"/>
    <w:basedOn w:val="1"/>
    <w:uiPriority w:val="0"/>
    <w:pPr>
      <w:spacing w:before="120" w:after="120"/>
      <w:jc w:val="center"/>
    </w:pPr>
    <w:rPr>
      <w:rFonts w:ascii="Times New Roman" w:hAnsi="Times New Roman"/>
      <w:sz w:val="20"/>
      <w:szCs w:val="20"/>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before="0" w:after="120"/>
      <w:ind w:firstLine="720"/>
      <w:jc w:val="both"/>
    </w:pPr>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style>
  <w:style w:type="paragraph" w:customStyle="1" w:styleId="29">
    <w:name w:val="Definition Term"/>
    <w:basedOn w:val="1"/>
    <w:next w:val="30"/>
    <w:qFormat/>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2"/>
    <w:qFormat/>
    <w:uiPriority w:val="0"/>
    <w:pPr>
      <w:keepNext/>
    </w:pPr>
  </w:style>
  <w:style w:type="paragraph" w:customStyle="1" w:styleId="32">
    <w:name w:val="Image Caption"/>
    <w:basedOn w:val="12"/>
    <w:qFormat/>
    <w:uiPriority w:val="0"/>
  </w:style>
  <w:style w:type="paragraph" w:customStyle="1" w:styleId="33">
    <w:name w:val="Figure"/>
    <w:basedOn w:val="1"/>
    <w:qFormat/>
    <w:uiPriority w:val="0"/>
  </w:style>
  <w:style w:type="paragraph" w:customStyle="1" w:styleId="34">
    <w:name w:val="Captioned Figure"/>
    <w:basedOn w:val="33"/>
    <w:qFormat/>
    <w:uiPriority w:val="0"/>
    <w:pPr>
      <w:keepNext/>
    </w:pPr>
  </w:style>
  <w:style w:type="character" w:customStyle="1" w:styleId="35">
    <w:name w:val="Verbatim Char"/>
    <w:basedOn w:val="21"/>
    <w:link w:val="36"/>
    <w:qFormat/>
    <w:uiPriority w:val="0"/>
    <w:rPr>
      <w:rFonts w:ascii="Consolas" w:hAnsi="Consolas"/>
      <w:sz w:val="22"/>
    </w:rPr>
  </w:style>
  <w:style w:type="paragraph" w:customStyle="1" w:styleId="36">
    <w:name w:val="Source Code"/>
    <w:basedOn w:val="1"/>
    <w:link w:val="35"/>
    <w:qFormat/>
    <w:uiPriority w:val="0"/>
    <w:pPr>
      <w:wordWrap w:val="0"/>
    </w:pPr>
  </w:style>
  <w:style w:type="paragraph" w:customStyle="1" w:styleId="37">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8">
    <w:name w:val="KeywordTok"/>
    <w:basedOn w:val="35"/>
    <w:qFormat/>
    <w:uiPriority w:val="0"/>
    <w:rPr>
      <w:b/>
      <w:color w:val="007020"/>
    </w:rPr>
  </w:style>
  <w:style w:type="character" w:customStyle="1" w:styleId="39">
    <w:name w:val="DataTypeTok"/>
    <w:basedOn w:val="35"/>
    <w:qFormat/>
    <w:uiPriority w:val="0"/>
    <w:rPr>
      <w:color w:val="902000"/>
    </w:rPr>
  </w:style>
  <w:style w:type="character" w:customStyle="1" w:styleId="40">
    <w:name w:val="DecValTok"/>
    <w:basedOn w:val="35"/>
    <w:qFormat/>
    <w:uiPriority w:val="0"/>
    <w:rPr>
      <w:color w:val="40A070"/>
    </w:rPr>
  </w:style>
  <w:style w:type="character" w:customStyle="1" w:styleId="41">
    <w:name w:val="BaseNTok"/>
    <w:basedOn w:val="35"/>
    <w:qFormat/>
    <w:uiPriority w:val="0"/>
    <w:rPr>
      <w:color w:val="40A070"/>
    </w:rPr>
  </w:style>
  <w:style w:type="character" w:customStyle="1" w:styleId="42">
    <w:name w:val="FloatTok"/>
    <w:basedOn w:val="35"/>
    <w:qFormat/>
    <w:uiPriority w:val="0"/>
    <w:rPr>
      <w:color w:val="40A070"/>
    </w:rPr>
  </w:style>
  <w:style w:type="character" w:customStyle="1" w:styleId="43">
    <w:name w:val="ConstantTok"/>
    <w:basedOn w:val="35"/>
    <w:qFormat/>
    <w:uiPriority w:val="0"/>
    <w:rPr>
      <w:color w:val="880000"/>
    </w:rPr>
  </w:style>
  <w:style w:type="character" w:customStyle="1" w:styleId="44">
    <w:name w:val="CharTok"/>
    <w:basedOn w:val="35"/>
    <w:qFormat/>
    <w:uiPriority w:val="0"/>
    <w:rPr>
      <w:color w:val="4070A0"/>
    </w:rPr>
  </w:style>
  <w:style w:type="character" w:customStyle="1" w:styleId="45">
    <w:name w:val="SpecialCharTok"/>
    <w:basedOn w:val="35"/>
    <w:qFormat/>
    <w:uiPriority w:val="0"/>
    <w:rPr>
      <w:color w:val="4070A0"/>
    </w:rPr>
  </w:style>
  <w:style w:type="character" w:customStyle="1" w:styleId="46">
    <w:name w:val="StringTok"/>
    <w:basedOn w:val="35"/>
    <w:qFormat/>
    <w:uiPriority w:val="0"/>
    <w:rPr>
      <w:color w:val="4070A0"/>
    </w:rPr>
  </w:style>
  <w:style w:type="character" w:customStyle="1" w:styleId="47">
    <w:name w:val="VerbatimStringTok"/>
    <w:basedOn w:val="35"/>
    <w:qFormat/>
    <w:uiPriority w:val="0"/>
    <w:rPr>
      <w:color w:val="4070A0"/>
    </w:rPr>
  </w:style>
  <w:style w:type="character" w:customStyle="1" w:styleId="48">
    <w:name w:val="SpecialStringTok"/>
    <w:basedOn w:val="35"/>
    <w:qFormat/>
    <w:uiPriority w:val="0"/>
    <w:rPr>
      <w:color w:val="BB6688"/>
    </w:rPr>
  </w:style>
  <w:style w:type="character" w:customStyle="1" w:styleId="49">
    <w:name w:val="ImportTok"/>
    <w:basedOn w:val="35"/>
    <w:qFormat/>
    <w:uiPriority w:val="0"/>
  </w:style>
  <w:style w:type="character" w:customStyle="1" w:styleId="50">
    <w:name w:val="CommentTok"/>
    <w:basedOn w:val="35"/>
    <w:qFormat/>
    <w:uiPriority w:val="0"/>
    <w:rPr>
      <w:i/>
      <w:color w:val="60A0B0"/>
    </w:rPr>
  </w:style>
  <w:style w:type="character" w:customStyle="1" w:styleId="51">
    <w:name w:val="DocumentationTok"/>
    <w:basedOn w:val="35"/>
    <w:qFormat/>
    <w:uiPriority w:val="0"/>
    <w:rPr>
      <w:i/>
      <w:color w:val="BA2121"/>
    </w:rPr>
  </w:style>
  <w:style w:type="character" w:customStyle="1" w:styleId="52">
    <w:name w:val="AnnotationTok"/>
    <w:basedOn w:val="35"/>
    <w:qFormat/>
    <w:uiPriority w:val="0"/>
    <w:rPr>
      <w:b/>
      <w:i/>
      <w:color w:val="60A0B0"/>
    </w:rPr>
  </w:style>
  <w:style w:type="character" w:customStyle="1" w:styleId="53">
    <w:name w:val="CommentVarTok"/>
    <w:basedOn w:val="35"/>
    <w:qFormat/>
    <w:uiPriority w:val="0"/>
    <w:rPr>
      <w:b/>
      <w:i/>
      <w:color w:val="60A0B0"/>
    </w:rPr>
  </w:style>
  <w:style w:type="character" w:customStyle="1" w:styleId="54">
    <w:name w:val="OtherTok"/>
    <w:basedOn w:val="35"/>
    <w:qFormat/>
    <w:uiPriority w:val="0"/>
    <w:rPr>
      <w:color w:val="007020"/>
    </w:rPr>
  </w:style>
  <w:style w:type="character" w:customStyle="1" w:styleId="55">
    <w:name w:val="FunctionTok"/>
    <w:basedOn w:val="35"/>
    <w:qFormat/>
    <w:uiPriority w:val="0"/>
    <w:rPr>
      <w:color w:val="06287E"/>
    </w:rPr>
  </w:style>
  <w:style w:type="character" w:customStyle="1" w:styleId="56">
    <w:name w:val="VariableTok"/>
    <w:basedOn w:val="35"/>
    <w:qFormat/>
    <w:uiPriority w:val="0"/>
    <w:rPr>
      <w:color w:val="19177C"/>
    </w:rPr>
  </w:style>
  <w:style w:type="character" w:customStyle="1" w:styleId="57">
    <w:name w:val="ControlFlowTok"/>
    <w:basedOn w:val="35"/>
    <w:qFormat/>
    <w:uiPriority w:val="0"/>
    <w:rPr>
      <w:b/>
      <w:color w:val="007020"/>
    </w:rPr>
  </w:style>
  <w:style w:type="character" w:customStyle="1" w:styleId="58">
    <w:name w:val="OperatorTok"/>
    <w:basedOn w:val="35"/>
    <w:qFormat/>
    <w:uiPriority w:val="0"/>
    <w:rPr>
      <w:color w:val="666666"/>
    </w:rPr>
  </w:style>
  <w:style w:type="character" w:customStyle="1" w:styleId="59">
    <w:name w:val="BuiltInTok"/>
    <w:basedOn w:val="35"/>
    <w:qFormat/>
    <w:uiPriority w:val="0"/>
  </w:style>
  <w:style w:type="character" w:customStyle="1" w:styleId="60">
    <w:name w:val="ExtensionTok"/>
    <w:basedOn w:val="35"/>
    <w:qFormat/>
    <w:uiPriority w:val="0"/>
  </w:style>
  <w:style w:type="character" w:customStyle="1" w:styleId="61">
    <w:name w:val="PreprocessorTok"/>
    <w:basedOn w:val="35"/>
    <w:qFormat/>
    <w:uiPriority w:val="0"/>
    <w:rPr>
      <w:color w:val="BC7A00"/>
    </w:rPr>
  </w:style>
  <w:style w:type="character" w:customStyle="1" w:styleId="62">
    <w:name w:val="AttributeTok"/>
    <w:basedOn w:val="35"/>
    <w:qFormat/>
    <w:uiPriority w:val="0"/>
    <w:rPr>
      <w:color w:val="7D9029"/>
    </w:rPr>
  </w:style>
  <w:style w:type="character" w:customStyle="1" w:styleId="63">
    <w:name w:val="RegionMarkerTok"/>
    <w:basedOn w:val="35"/>
    <w:qFormat/>
    <w:uiPriority w:val="0"/>
  </w:style>
  <w:style w:type="character" w:customStyle="1" w:styleId="64">
    <w:name w:val="InformationTok"/>
    <w:basedOn w:val="35"/>
    <w:qFormat/>
    <w:uiPriority w:val="0"/>
    <w:rPr>
      <w:b/>
      <w:i/>
      <w:color w:val="60A0B0"/>
    </w:rPr>
  </w:style>
  <w:style w:type="character" w:customStyle="1" w:styleId="65">
    <w:name w:val="WarningTok"/>
    <w:basedOn w:val="35"/>
    <w:qFormat/>
    <w:uiPriority w:val="0"/>
    <w:rPr>
      <w:b/>
      <w:i/>
      <w:color w:val="60A0B0"/>
    </w:rPr>
  </w:style>
  <w:style w:type="character" w:customStyle="1" w:styleId="66">
    <w:name w:val="AlertTok"/>
    <w:basedOn w:val="35"/>
    <w:qFormat/>
    <w:uiPriority w:val="0"/>
    <w:rPr>
      <w:b/>
      <w:color w:val="FF0000"/>
    </w:rPr>
  </w:style>
  <w:style w:type="character" w:customStyle="1" w:styleId="67">
    <w:name w:val="ErrorTok"/>
    <w:basedOn w:val="35"/>
    <w:qFormat/>
    <w:uiPriority w:val="0"/>
    <w:rPr>
      <w:b/>
      <w:color w:val="FF0000"/>
    </w:rPr>
  </w:style>
  <w:style w:type="character" w:customStyle="1" w:styleId="68">
    <w:name w:val="NormalTok"/>
    <w:basedOn w:val="3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39</Pages>
  <Words>1775</Words>
  <Characters>11832</Characters>
  <Lines>12</Lines>
  <Paragraphs>8</Paragraphs>
  <TotalTime>7</TotalTime>
  <ScaleCrop>false</ScaleCrop>
  <LinksUpToDate>false</LinksUpToDate>
  <CharactersWithSpaces>13547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2026-05-25T15:11:00Z</dcterms:created>
  <dc:creator>无为</dc:creator>
  <cp:lastModifiedBy>无为</cp:lastModifiedBy>
  <dcterms:modified xsi:type="dcterms:W3CDTF">2026-06-09T01:00:29Z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eyJoZGlkIjoiNzlhNTE5MGFkZTE2YTc5NGMwYzE1YmZjNWFlNDYzMTkiLCJ1c2VySWQiOiIxMjM2NzIwODI2In0=</vt:lpwstr>
  </property>
  <property fmtid="{D5CDD505-2E9C-101B-9397-08002B2CF9AE}" pid="3" name="KSOProductBuildVer">
    <vt:lpwstr>2052-12.1.0.26895</vt:lpwstr>
  </property>
  <property fmtid="{D5CDD505-2E9C-101B-9397-08002B2CF9AE}" pid="4" name="ICV">
    <vt:lpwstr>D00D5091913443E99741BC6494997341_12</vt:lpwstr>
  </property>
</Properties>
</file>