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Times New Roman" w:hAnsi="Times New Roman"/>
          <w:b w:val="0"/>
          <w:sz w:val="24"/>
        </w:rPr>
        <w:t>June 9, 2026</w:t>
      </w:r>
    </w:p>
    <w:p>
      <w:pPr>
        <w:spacing w:after="120"/>
      </w:pPr>
    </w:p>
    <w:p>
      <w:pPr>
        <w:spacing w:after="120"/>
      </w:pPr>
      <w:r>
        <w:rPr>
          <w:rFonts w:ascii="Times New Roman" w:hAnsi="Times New Roman"/>
          <w:b w:val="0"/>
          <w:sz w:val="24"/>
        </w:rPr>
        <w:t>Dear Editor,</w:t>
      </w:r>
    </w:p>
    <w:p>
      <w:pPr>
        <w:spacing w:after="120"/>
      </w:pPr>
    </w:p>
    <w:p>
      <w:pPr>
        <w:spacing w:after="120"/>
      </w:pPr>
      <w:r>
        <w:rPr>
          <w:rFonts w:ascii="Times New Roman" w:hAnsi="Times New Roman"/>
          <w:b w:val="0"/>
          <w:sz w:val="24"/>
        </w:rPr>
        <w:t>We are pleased to submit our manuscript entitled "Fracture-Conforming PEBI Grids with Integrated CPR-SA-AMG Preconditioning and Non-Blocking MPI Communication for Scalable Black-Oil Simulation of Shale Reservoirs" for consideration for publication in Computers &amp; Geosciences.</w:t>
      </w:r>
    </w:p>
    <w:p>
      <w:pPr>
        <w:spacing w:after="120"/>
      </w:pPr>
    </w:p>
    <w:p>
      <w:pPr>
        <w:spacing w:after="120"/>
      </w:pPr>
      <w:r>
        <w:rPr>
          <w:rFonts w:ascii="Times New Roman" w:hAnsi="Times New Roman"/>
          <w:b w:val="0"/>
          <w:sz w:val="24"/>
        </w:rPr>
        <w:t>The numerical simulation of hydraulically fractured shale-oil reservoirs confronts three interdependent computational bottlenecks: geometric mismatch at fracture-matrix interfaces, severe Jacobian ill-conditioning from extreme permeability contrasts (exceeding nine orders of magnitude), and communication-bound parallel overhead at scale. While Cartesian LGR, EDFM, and standalone solver optimizations address subsets of these challenges, this manuscript demonstrates that mesh generation, pressure-system preconditioning, and MPI communication scheduling are quantitatively coupled and should be treated as a single integrated design problem.</w:t>
      </w:r>
    </w:p>
    <w:p>
      <w:pPr>
        <w:spacing w:after="120"/>
      </w:pPr>
    </w:p>
    <w:p>
      <w:pPr>
        <w:spacing w:after="120"/>
      </w:pPr>
      <w:r>
        <w:rPr>
          <w:rFonts w:ascii="Times New Roman" w:hAnsi="Times New Roman"/>
          <w:b w:val="0"/>
          <w:sz w:val="24"/>
        </w:rPr>
        <w:t>The central contribution is the demonstration of the Geometry-Algebra-Concurrency Triad: fracture-conforming PEBI discretization restores diagonal dominance in the Jacobian, which accelerates AMG convergence, which in turn widens the temporal window for computation-communication overlap. The key findings are:</w:t>
      </w:r>
    </w:p>
    <w:p>
      <w:pPr>
        <w:spacing w:after="120"/>
      </w:pPr>
    </w:p>
    <w:p>
      <w:pPr>
        <w:spacing w:after="120"/>
      </w:pPr>
      <w:r>
        <w:rPr>
          <w:rFonts w:ascii="Times New Roman" w:hAnsi="Times New Roman"/>
          <w:b w:val="0"/>
          <w:sz w:val="24"/>
        </w:rPr>
        <w:t>(1) A fracture-conforming PEBI grid generator based on constrained Delaunay-Voronoi tessellation within a 2.5D extrusion formulation, maintaining K-orthogonality (theta &lt;= 5 deg) across 97.1% of interior faces, with near-fracture pressure error of 0.31% at 1 m (53-83% improvement over EDFM and Cartesian discretizations).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(2) A CPR-SA-AMG preconditioner that reduces GMRES iterations from 312 to 21 (72.7% reduction in linear-solve time), with mesh-isolation experiments confirming that K-orthogonality independently accelerates the solver by a factor of 1.81x.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(3) A non-blocking MPI communication scheme achieving 73% communication overlap, 82.0% strong-scaling efficiency at 512 ranks, and 91.3% weak-scaling efficiency for a 32-million-cell five-well pad configuration.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(4) A spectral conditioning proxy defined via the implicitly restarted Arnoldi method (ARPACK/SLEPc), cross-validated against sparse LU factorization (agreement within 15%). Under 1,247 stochastically generated natural fractures, the proxy rises by only 2.94x (Monte Carlo ensemble, n=25) versus 18.6x for unstructured grids.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(5) DFN Monte Carlo validation (25 realizations) showing ten-year cumulative oil production increases by 21.8 +/- 4.3%, and SPE 10 benchmarking confirming multiphase accuracy on unstructured PEBI grids (0.93% cumulative oil deviation at 47% of the reference cell count). A complementary single-well case confirms robustness to well-pattern variation.</w:t>
      </w:r>
    </w:p>
    <w:p>
      <w:pPr>
        <w:spacing w:after="120"/>
      </w:pPr>
    </w:p>
    <w:p>
      <w:pPr>
        <w:spacing w:after="120"/>
      </w:pPr>
      <w:r>
        <w:rPr>
          <w:rFonts w:ascii="Times New Roman" w:hAnsi="Times New Roman"/>
          <w:b w:val="0"/>
          <w:sz w:val="24"/>
        </w:rPr>
        <w:t>All results are rigorously scoped within the 2.5D extrusion formulation (applicable to reservoirs dominated by vertical or near-vertical fractures), with explicit discussion of limitations regarding fully three-dimensional non-planar fracture networks, compositional extensions, and MPFA-type comparisons (Section 4.3).</w:t>
      </w:r>
    </w:p>
    <w:p>
      <w:pPr>
        <w:spacing w:after="120"/>
      </w:pPr>
    </w:p>
    <w:p>
      <w:pPr>
        <w:spacing w:after="120"/>
      </w:pPr>
      <w:r>
        <w:rPr>
          <w:rFonts w:ascii="Times New Roman" w:hAnsi="Times New Roman"/>
          <w:b w:val="0"/>
          <w:sz w:val="24"/>
        </w:rPr>
        <w:t>This manuscript aligns with the scope of Computers &amp; Geosciences in computational geoscience methodology: it presents a complete numerical framework integrating mesh generation, linear solver design, and parallel implementation for a problem of direct relevance to unconventional reservoir engineering. A reproducible-materials package (meshes, input decks, DFN seeds, tabulated data) accompanies this submission.</w:t>
      </w:r>
    </w:p>
    <w:p>
      <w:pPr>
        <w:spacing w:after="120"/>
      </w:pPr>
    </w:p>
    <w:p>
      <w:pPr>
        <w:spacing w:after="120"/>
      </w:pPr>
      <w:r>
        <w:rPr>
          <w:rFonts w:ascii="Times New Roman" w:hAnsi="Times New Roman"/>
          <w:b w:val="0"/>
          <w:sz w:val="24"/>
        </w:rPr>
        <w:t>This manuscript has not been published previously and is not under consideration elsewhere. All authors have approved the manuscript and agree with its submission to Computers &amp; Geosciences. The authors declare no competing financial interests.</w:t>
      </w:r>
    </w:p>
    <w:p>
      <w:pPr>
        <w:spacing w:after="120"/>
      </w:pPr>
    </w:p>
    <w:p>
      <w:pPr>
        <w:spacing w:after="120"/>
      </w:pPr>
      <w:r>
        <w:rPr>
          <w:rFonts w:ascii="Times New Roman" w:hAnsi="Times New Roman"/>
          <w:b/>
          <w:sz w:val="24"/>
        </w:rPr>
        <w:t>Manuscript Details: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Word count (body): approximately 9,000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Figures: 12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Tables: 19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References: 45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Supplementary materials: Reproducible materials folder (meshes/, input_decks/, dfn_seeds/, tabulated_data/)</w:t>
      </w:r>
    </w:p>
    <w:p>
      <w:pPr>
        <w:spacing w:after="120"/>
      </w:pPr>
    </w:p>
    <w:p>
      <w:pPr>
        <w:spacing w:after="120"/>
      </w:pPr>
      <w:r>
        <w:rPr>
          <w:rFonts w:ascii="Times New Roman" w:hAnsi="Times New Roman"/>
          <w:b w:val="0"/>
          <w:sz w:val="24"/>
        </w:rPr>
        <w:t>We appreciate your time and consideration and look forward to the reviewers' feedback.</w:t>
      </w:r>
    </w:p>
    <w:p>
      <w:pPr>
        <w:spacing w:after="120"/>
      </w:pPr>
    </w:p>
    <w:p>
      <w:pPr>
        <w:spacing w:after="120"/>
      </w:pPr>
      <w:r>
        <w:rPr>
          <w:rFonts w:ascii="Times New Roman" w:hAnsi="Times New Roman"/>
          <w:b w:val="0"/>
          <w:sz w:val="24"/>
        </w:rPr>
        <w:t>Sincerely,</w:t>
      </w:r>
    </w:p>
    <w:p>
      <w:pPr>
        <w:spacing w:after="120"/>
      </w:pPr>
    </w:p>
    <w:p>
      <w:pPr>
        <w:spacing w:after="120"/>
      </w:pPr>
      <w:r>
        <w:rPr>
          <w:rFonts w:ascii="Times New Roman" w:hAnsi="Times New Roman"/>
          <w:b w:val="0"/>
          <w:sz w:val="24"/>
        </w:rPr>
        <w:t>Rongwang Yin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Basic Experiment and Training Center, Hefei University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Hefei 230601, P.R. China</w:t>
      </w:r>
    </w:p>
    <w:p>
      <w:pPr>
        <w:spacing w:after="120"/>
      </w:pPr>
    </w:p>
    <w:p>
      <w:pPr>
        <w:spacing w:after="120"/>
      </w:pPr>
      <w:r>
        <w:rPr>
          <w:rFonts w:ascii="Times New Roman" w:hAnsi="Times New Roman"/>
          <w:b w:val="0"/>
          <w:sz w:val="24"/>
        </w:rPr>
        <w:t>Shaowei Zhang (Corresponding Author)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School of Computer Engineering, Anhui Wenda University of Information Engineering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Hefei 231201, P.R. China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