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Highlights</w:t>
      </w:r>
    </w:p>
    <w:p>
      <w:pPr>
        <w:pStyle w:val="ListBullet"/>
      </w:pPr>
      <w:r>
        <w:rPr>
          <w:rFonts w:ascii="Times New Roman" w:hAnsi="Times New Roman"/>
          <w:sz w:val="24"/>
        </w:rPr>
        <w:t>Fracture-conforming PEBI grids achieve 97.1% K-orthogonality; near-fracture pressure error 0.31% at 1 m (53-83% improvement over EDFM and Cartesian LGR).</w:t>
      </w:r>
    </w:p>
    <w:p>
      <w:pPr>
        <w:pStyle w:val="ListBullet"/>
      </w:pPr>
      <w:r>
        <w:rPr>
          <w:rFonts w:ascii="Times New Roman" w:hAnsi="Times New Roman"/>
          <w:sz w:val="24"/>
        </w:rPr>
        <w:t>CPR-SA-AMG preconditioner reduces GMRES iterations from 312 to 21, yielding a 72.7% reduction in linear-solve time.</w:t>
      </w:r>
    </w:p>
    <w:p>
      <w:pPr>
        <w:pStyle w:val="ListBullet"/>
      </w:pPr>
      <w:r>
        <w:rPr>
          <w:rFonts w:ascii="Times New Roman" w:hAnsi="Times New Roman"/>
          <w:sz w:val="24"/>
        </w:rPr>
        <w:t>Non-blocking MPI communication achieves 73% overlap efficiency; 82.0% strong-scaling and 91.3% weak-scaling efficiency at 512 cores.</w:t>
      </w:r>
    </w:p>
    <w:p>
      <w:pPr>
        <w:pStyle w:val="ListBullet"/>
      </w:pPr>
      <w:r>
        <w:rPr>
          <w:rFonts w:ascii="Times New Roman" w:hAnsi="Times New Roman"/>
          <w:sz w:val="24"/>
        </w:rPr>
        <w:t>DFN Monte Carlo ensemble (n=25, 1,247 fractures): spectral conditioning proxy rises only 2.94x vs 18.6x for unstructured grids; oil recovery increases 21.8 +/- 4.3%.</w:t>
      </w:r>
    </w:p>
    <w:p>
      <w:pPr>
        <w:pStyle w:val="ListBullet"/>
      </w:pPr>
      <w:r>
        <w:rPr>
          <w:rFonts w:ascii="Times New Roman" w:hAnsi="Times New Roman"/>
          <w:sz w:val="24"/>
        </w:rPr>
        <w:t>SPE 10 benchmark: permeability-informed PEBI mesh (0.52M cells) tracks 1.12M-cell reference within 0.93% cumulative oil deviation.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