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A5857A">
      <w:pPr>
        <w:pStyle w:val="2"/>
        <w:spacing w:before="360" w:after="120"/>
        <w:ind w:firstLine="0"/>
        <w:rPr>
          <w:color w:val="auto"/>
        </w:rPr>
      </w:pPr>
      <w:bookmarkStart w:id="0" w:name="Xa89942faaa30bcf8b9c14bc2d5af6cf3118a37d"/>
      <w:bookmarkStart w:id="41" w:name="_GoBack"/>
      <w:r>
        <w:rPr>
          <w:color w:val="auto"/>
        </w:rPr>
        <w:t>Fracture-Conforming PEBI Grids with Integrated CPR–SA-AMG Preconditioning and Non-Blocking MPI Communication for Scalable Black-Oil Simulation of Shale Reservoirs</w:t>
      </w:r>
      <w:bookmarkEnd w:id="0"/>
    </w:p>
    <w:p w14:paraId="72312B2D">
      <w:pPr>
        <w:jc w:val="center"/>
        <w:rPr>
          <w:color w:val="auto"/>
        </w:rPr>
      </w:pPr>
      <w:bookmarkStart w:id="1" w:name="abstract"/>
      <w:r>
        <w:rPr>
          <w:rFonts w:hint="eastAsia" w:ascii="Times New Roman" w:hAnsi="Times New Roman" w:eastAsia="Times New Roman" w:cs="Times New Roman"/>
          <w:color w:val="auto"/>
          <w:sz w:val="24"/>
          <w:szCs w:val="24"/>
        </w:rPr>
        <w:t>Rongwang Yin</w:t>
      </w:r>
      <w:r>
        <w:rPr>
          <w:rFonts w:hint="eastAsia" w:ascii="Times New Roman" w:hAnsi="Times New Roman" w:eastAsia="Times New Roman" w:cs="Times New Roman"/>
          <w:color w:val="auto"/>
          <w:sz w:val="24"/>
          <w:szCs w:val="24"/>
          <w:vertAlign w:val="superscript"/>
        </w:rPr>
        <w:t xml:space="preserve"> 1</w:t>
      </w:r>
      <w:r>
        <w:rPr>
          <w:rFonts w:hint="eastAsia" w:ascii="Times New Roman" w:hAnsi="Times New Roman" w:eastAsia="Times New Roman" w:cs="Times New Roman"/>
          <w:color w:val="auto"/>
          <w:sz w:val="24"/>
          <w:szCs w:val="24"/>
        </w:rPr>
        <w:t>, Shaowei Zhang</w:t>
      </w:r>
      <w:r>
        <w:rPr>
          <w:rFonts w:hint="eastAsia" w:ascii="Times New Roman" w:hAnsi="Times New Roman" w:eastAsia="Times New Roman" w:cs="Times New Roman"/>
          <w:color w:val="auto"/>
          <w:sz w:val="24"/>
          <w:szCs w:val="24"/>
          <w:vertAlign w:val="superscript"/>
        </w:rPr>
        <w:t xml:space="preserve"> 2, *</w:t>
      </w:r>
    </w:p>
    <w:p w14:paraId="424DE2AF">
      <w:pPr>
        <w:rPr>
          <w:rFonts w:ascii="Times New Roman" w:hAnsi="Times New Roman" w:cs="Times New Roman"/>
          <w:color w:val="auto"/>
        </w:rPr>
      </w:pPr>
      <w:r>
        <w:rPr>
          <w:rFonts w:hint="eastAsia" w:ascii="Times New Roman" w:hAnsi="Times New Roman" w:eastAsia="Times New Roman" w:cs="Times New Roman"/>
          <w:color w:val="auto"/>
          <w:sz w:val="24"/>
          <w:szCs w:val="24"/>
        </w:rPr>
        <w:t xml:space="preserve">1. </w:t>
      </w:r>
      <w:r>
        <w:rPr>
          <w:rFonts w:hint="eastAsia" w:ascii="Times New Roman" w:hAnsi="Times New Roman" w:eastAsia="Times New Roman" w:cs="Times New Roman"/>
          <w:color w:val="auto"/>
          <w:sz w:val="24"/>
          <w:szCs w:val="24"/>
          <w:lang w:val="en-US"/>
        </w:rPr>
        <w:t>Basic Experiment and Training Center</w:t>
      </w:r>
      <w:r>
        <w:rPr>
          <w:rFonts w:hint="eastAsia" w:ascii="Times New Roman" w:hAnsi="Times New Roman" w:eastAsia="Times New Roman" w:cs="Times New Roman"/>
          <w:color w:val="auto"/>
          <w:sz w:val="24"/>
          <w:szCs w:val="24"/>
        </w:rPr>
        <w:t>, Hefei University, Hefei 230601, P.R. China</w:t>
      </w:r>
    </w:p>
    <w:p w14:paraId="7A4F5DCD">
      <w:pPr>
        <w:rPr>
          <w:rFonts w:ascii="Times New Roman" w:hAnsi="Times New Roman" w:cs="Times New Roman"/>
          <w:color w:val="auto"/>
        </w:rPr>
      </w:pPr>
      <w:r>
        <w:rPr>
          <w:rFonts w:hint="eastAsia" w:ascii="Times New Roman" w:hAnsi="Times New Roman" w:eastAsia="Times New Roman" w:cs="Times New Roman"/>
          <w:color w:val="auto"/>
          <w:sz w:val="24"/>
          <w:szCs w:val="24"/>
        </w:rPr>
        <w:t>2</w:t>
      </w:r>
      <w:r>
        <w:rPr>
          <w:rFonts w:hint="eastAsia" w:ascii="Times New Roman" w:hAnsi="Times New Roman" w:eastAsia="宋体" w:cs="Times New Roman"/>
          <w:color w:val="auto"/>
          <w:sz w:val="24"/>
          <w:szCs w:val="24"/>
          <w:lang w:val="en-US" w:eastAsia="zh-CN"/>
        </w:rPr>
        <w:t xml:space="preserve">. </w:t>
      </w:r>
      <w:r>
        <w:rPr>
          <w:rFonts w:hint="eastAsia" w:ascii="Times New Roman" w:hAnsi="Times New Roman" w:eastAsia="Times New Roman" w:cs="Times New Roman"/>
          <w:color w:val="auto"/>
          <w:sz w:val="24"/>
          <w:szCs w:val="24"/>
        </w:rPr>
        <w:t>School of Computer Engineering, Anhui Wenda University of Information Engineering, Hefei 231201, P.R. China</w:t>
      </w:r>
    </w:p>
    <w:p w14:paraId="7A37D425">
      <w:pPr>
        <w:pStyle w:val="4"/>
        <w:spacing w:before="360" w:after="120"/>
        <w:ind w:firstLine="0"/>
        <w:rPr>
          <w:color w:val="auto"/>
        </w:rPr>
      </w:pPr>
      <w:r>
        <w:rPr>
          <w:color w:val="auto"/>
        </w:rPr>
        <w:t>Abstract</w:t>
      </w:r>
      <w:bookmarkEnd w:id="1"/>
    </w:p>
    <w:p w14:paraId="66AF63EC">
      <w:pPr>
        <w:pStyle w:val="23"/>
        <w:spacing w:before="0" w:after="120"/>
        <w:ind w:firstLine="480" w:firstLineChars="200"/>
        <w:jc w:val="both"/>
        <w:rPr>
          <w:color w:val="auto"/>
        </w:rPr>
      </w:pPr>
      <w:r>
        <w:rPr>
          <w:color w:val="auto"/>
        </w:rPr>
        <w:t>The numerical simulation of hydraulically fractured shale-oil reservoirs confronts three interdependent computational bottlenecks: geometric mismatch at fracture–matrix interfaces, severe ill-conditioning of the Jacobian system arising from extreme permeability contrasts, and communication-bound parallel overhead at scale. Cartesian local grid refinement (LGR) and embedded discrete fracture models (EDFM) each address only a subset of these challenges in isolation. This paper presents a black-oil simulation framework that treats mesh generation, pressure-system preconditioning, and MPI communication scheduling as a single co-design problem. The framework is built on fracture-conforming perpendicular-bisector (PEBI) grids constructed via constrained Delaunay–Voronoi tessellation within a layered 2.5D extrusion formulation, with generator-point density governed by a hyperbolic-tangent spacing function. K-orthogonality (deviation angle θ ≤ 5°) is maintained across 97.1% of interior faces. Benchmarking against the analytical Ei-function line-source solution yields a near-fracture pressure error of 0.31% at 1 m, representing improvements of 53.0%, 66.3%, and 83.4% over EDFM (0.66%), Cartesian LGR (0.92%), and uniform Cartesian (1.87%) discretizations, respectively. The Constrained Pressure Residual preconditioner accelerated by Smoothed-Aggregation Algebraic Multigrid (CPR–SA-AMG) reduces GMRES iterations from 312 to 21 relative to Block-ILU(0), a 72.7% reduction in linear-solve time. On a 32-million-cell five-well pad problem with 100 hydraulic-fracture stages, the simulator achieves 82.0% strong-scaling efficiency on 512 MPI ranks, with 73% of communication latency masked by non-blocking overlap, and maintains 91.3% weak-scaling efficiency from 64 to 512 ranks at a constant 62,500 cells per rank. Under the insertion of 1,247 stochastically generated natural fractures, the spectral conditioning proxy increases by only 2.87× (single realization; 2.94 ± 0.41× Monte Carlo ensemble mean, n = 25) relative to the DFN-free PEBI baseline, compared with 18.6× and 11.4× for standard unstructured and Cartesian LGR grids under identical DFN placement; ten-year cumulative oil recovery increases by 21.8 ± 4.3% (mean ± 1σ). Validation against the SPE 10 comparative solution on a quarter-five-spot pattern demonstrates that a permeability-informed PEBI mesh of 0.52M cells tracks the 1.12M-cell Cartesian reference to within 0.93% cumulative oil deviation at approximately half the cell count. A complementary single-well depletion case (12 fractures, matched matrix permeability) confirms that the K-orthogonality fraction (96.8%), per-rank solver convergence (22 GMRES iterations), and parallel efficiency (95.4% vs. 96.2% at identical core count) are robust to well-pattern variation. These findings, obtained within a layered 2.5D extrusion formulation for reservoirs dominated by vertical or near-vertical fractures, establish fracture-conforming discretization as an enabling strategy for achieving simultaneous algebraic efficiency and parallel scalability in black-oil shale-reservoir simulation.</w:t>
      </w:r>
      <m:oMath>
        <m:acc>
          <m:accPr>
            <m:chr m:val="0302"/>
          </m:accPr>
          <m:e>
            <m:r>
              <w:rPr>
                <w:rFonts w:ascii="Cambria Math" w:hAnsi="Cambria Math"/>
                <w:i/>
              </w:rPr>
              <m:t xml:space="preserve">κ</m:t>
            </m:r>
          </m:e>
        </m:acc>
        <m:r>
          <w:rPr>
            <w:rFonts w:ascii="Cambria Math" w:hAnsi="Cambria Math"/>
          </w:rPr>
          <m:t xml:space="preserve">(</m:t>
        </m:r>
        <m:r>
          <w:rPr>
            <w:rFonts w:ascii="Cambria Math" w:hAnsi="Cambria Math"/>
            <w:i/>
            <w:b/>
          </w:rPr>
          <m:t xml:space="preserve">A</m:t>
        </m:r>
        <m:r>
          <w:rPr>
            <w:rFonts w:ascii="Cambria Math" w:hAnsi="Cambria Math"/>
          </w:rPr>
          <m:t xml:space="preserve">)</m:t>
        </m:r>
      </m:oMath>
      <m:oMath>
        <m:r>
          <m:rPr/>
          <w:rPr>
            <w:color w:val="auto"/>
          </w:rPr>
          <m:t>θ≤</m:t>
        </m:r>
        <m:sSup>
          <m:sSupPr>
            <m:ctrlPr>
              <w:rPr>
                <w:color w:val="auto"/>
              </w:rPr>
            </m:ctrlPr>
          </m:sSupPr>
          <m:e>
            <m:r>
              <m:rPr/>
              <w:rPr>
                <w:color w:val="auto"/>
              </w:rPr>
              <m:t>5</m:t>
            </m:r>
            <m:ctrlPr>
              <w:rPr>
                <w:color w:val="auto"/>
              </w:rPr>
            </m:ctrlPr>
          </m:e>
          <m:sup>
            <m:r>
              <m:rPr/>
              <w:rPr>
                <w:color w:val="auto"/>
              </w:rPr>
              <m:t>∘</m:t>
            </m:r>
            <m:ctrlPr>
              <w:rPr>
                <w:color w:val="auto"/>
              </w:rPr>
            </m:ctrlPr>
          </m:sup>
        </m:sSup>
        <m:r>
          <m:rPr/>
          <w:rPr>
            <w:color w:val="auto"/>
          </w:rPr>
          <m:t>r=12.94±0.41×n=2521.8±4.3%±σn=25</m:t>
        </m:r>
      </m:oMath>
    </w:p>
    <w:p w14:paraId="7F77BC37">
      <w:pPr>
        <w:pStyle w:val="3"/>
        <w:spacing w:before="0" w:after="120"/>
        <w:ind w:firstLine="480" w:firstLineChars="200"/>
        <w:jc w:val="both"/>
        <w:rPr>
          <w:color w:val="auto"/>
        </w:rPr>
      </w:pPr>
      <w:r>
        <w:rPr>
          <w:b/>
          <w:color w:val="auto"/>
        </w:rPr>
        <w:t>Keywords</w:t>
      </w:r>
      <w:r>
        <w:rPr>
          <w:color w:val="auto"/>
        </w:rPr>
        <w:t>: Perpendicular-bisector (PEBI) grid; K-orthogonality; smoothed aggregation algebraic multigrid; constrained pressure residual preconditioning; discrete fracture network; black-oil simulation; high-performance computing; unconventional reservoirs; parallel efficiency; weak scaling</w:t>
      </w:r>
    </w:p>
    <w:p w14:paraId="252BCAE8">
      <w:pPr>
        <w:pStyle w:val="4"/>
        <w:spacing w:before="360" w:after="120"/>
        <w:ind w:firstLine="0"/>
        <w:rPr>
          <w:color w:val="auto"/>
        </w:rPr>
      </w:pPr>
      <w:bookmarkStart w:id="2" w:name="highlights"/>
      <w:r>
        <w:rPr>
          <w:color w:val="auto"/>
        </w:rPr>
        <w:t>Highlights</w:t>
      </w:r>
      <w:bookmarkEnd w:id="2"/>
    </w:p>
    <w:p w14:paraId="4473916C">
      <w:pPr>
        <w:pStyle w:val="24"/>
        <w:numPr>
          <w:ilvl w:val="0"/>
          <w:numId w:val="1"/>
        </w:numPr>
        <w:ind w:firstLine="0"/>
        <w:rPr>
          <w:color w:val="auto"/>
        </w:rPr>
      </w:pPr>
      <w:r>
        <w:rPr>
          <w:color w:val="auto"/>
        </w:rPr>
        <w:t>Fracture-conforming PEBI grids achieve 97.1% K-orthogonality for shale oil simulation</w:t>
      </w:r>
    </w:p>
    <w:p w14:paraId="32026CF5">
      <w:pPr>
        <w:pStyle w:val="24"/>
        <w:numPr>
          <w:ilvl w:val="0"/>
          <w:numId w:val="1"/>
        </w:numPr>
        <w:ind w:firstLine="0"/>
        <w:rPr>
          <w:color w:val="auto"/>
        </w:rPr>
      </w:pPr>
      <w:r>
        <w:rPr>
          <w:color w:val="auto"/>
        </w:rPr>
        <w:t>CPR–SA-AMG reduces GMRES iterations from 312 to 21, cutting solve time by 72.7%</w:t>
      </w:r>
    </w:p>
    <w:p w14:paraId="3AB6B1C3">
      <w:pPr>
        <w:pStyle w:val="24"/>
        <w:numPr>
          <w:ilvl w:val="0"/>
          <w:numId w:val="1"/>
        </w:numPr>
        <w:ind w:firstLine="0"/>
        <w:rPr>
          <w:color w:val="auto"/>
        </w:rPr>
      </w:pPr>
      <w:r>
        <w:rPr>
          <w:color w:val="auto"/>
        </w:rPr>
        <w:t>Non-blocking MPI overlaps 73% communication, sustaining 82% efficiency to 512 cores</w:t>
      </w:r>
    </w:p>
    <w:p w14:paraId="5F7CE04E">
      <w:pPr>
        <w:pStyle w:val="24"/>
        <w:numPr>
          <w:ilvl w:val="0"/>
          <w:numId w:val="1"/>
        </w:numPr>
        <w:ind w:firstLine="0"/>
        <w:rPr>
          <w:color w:val="auto"/>
        </w:rPr>
      </w:pPr>
      <w:r>
        <w:rPr>
          <w:color w:val="auto"/>
        </w:rPr>
        <w:t>DFN Monte Carlo: PEBI spectral conditioning proxy rises 6.3× slower than standard grids</w:t>
      </w:r>
    </w:p>
    <w:p w14:paraId="75339B7D">
      <w:pPr>
        <w:pStyle w:val="24"/>
        <w:numPr>
          <w:ilvl w:val="0"/>
          <w:numId w:val="1"/>
        </w:numPr>
        <w:ind w:firstLine="0"/>
        <w:rPr>
          <w:color w:val="auto"/>
        </w:rPr>
      </w:pPr>
      <w:r>
        <w:rPr>
          <w:color w:val="auto"/>
        </w:rPr>
        <w:t>SPE 10: PEBI matches 1.12M-cell reference to 0.93% cumulative oil with half the cells</w:t>
      </w:r>
    </w:p>
    <w:p w14:paraId="5009FF25">
      <w:pPr>
        <w:pStyle w:val="4"/>
        <w:spacing w:before="360" w:after="120"/>
        <w:ind w:firstLine="0"/>
        <w:rPr>
          <w:color w:val="auto"/>
        </w:rPr>
      </w:pPr>
      <w:bookmarkStart w:id="3" w:name="introduction"/>
      <w:r>
        <w:rPr>
          <w:color w:val="auto"/>
        </w:rPr>
        <w:t>1 Introduction</w:t>
      </w:r>
      <w:bookmarkEnd w:id="3"/>
    </w:p>
    <w:p w14:paraId="04385718">
      <w:pPr>
        <w:pStyle w:val="23"/>
        <w:spacing w:before="0" w:after="120"/>
        <w:ind w:firstLine="480" w:firstLineChars="200"/>
        <w:jc w:val="both"/>
        <w:rPr>
          <w:color w:val="auto"/>
        </w:rPr>
      </w:pPr>
      <w:r>
        <w:rPr>
          <w:color w:val="auto"/>
        </w:rPr>
        <w:t>Shale-oil reservoirs pose a computational challenge without easy compromise. The matrix sits in the nano-Darcy range while conductive fractures drive permeability contrasts beyond nine orders of magnitude, and the accompanying multiphase thermodynamics are strongly nonlinear (Palagi and Aziz, 1994a; Peaceman, 1983; Saad, 2003). Numerical simulation of multi-stage hydraulically fractured horizontal wells (MFHWs) therefore demands simultaneous fidelity on three fronts: the spatial discretization near fracture faces, the robustness of the algebraic solver under extreme stiffness, and the efficiency of parallel execution. In practice these are seldom tackled together—industrial workflows optimize one piece at a time, shifting the bottleneck elsewhere (Economides and Nolte, 2000; Behie and Forsyth, 1984).</w:t>
      </w:r>
    </w:p>
    <w:p w14:paraId="07B40B91">
      <w:pPr>
        <w:pStyle w:val="5"/>
        <w:spacing w:before="360" w:after="120"/>
        <w:ind w:firstLine="0"/>
        <w:rPr>
          <w:color w:val="auto"/>
        </w:rPr>
      </w:pPr>
      <w:bookmarkStart w:id="4" w:name="limitations-of-current-paradigms"/>
      <w:r>
        <w:rPr>
          <w:color w:val="auto"/>
        </w:rPr>
        <w:t>1.1 Limitations of Current Paradigms</w:t>
      </w:r>
      <w:bookmarkEnd w:id="4"/>
    </w:p>
    <w:p w14:paraId="5902F97C">
      <w:pPr>
        <w:pStyle w:val="23"/>
        <w:spacing w:before="0" w:after="120"/>
        <w:ind w:firstLine="480" w:firstLineChars="200"/>
        <w:jc w:val="both"/>
        <w:rPr>
          <w:color w:val="auto"/>
        </w:rPr>
      </w:pPr>
      <w:r>
        <w:rPr>
          <w:color w:val="auto"/>
        </w:rPr>
        <w:t>Cartesian local grid refinement (LGR) dominates industry practice because the indexing stays structured and it integrates easily into legacy simulators. The difficulty is that a staircase approximation of fracture faces cutting across the grid cannot satisfy the K-orthogonality condition at transition faces. Where the pressure gradient is steepest—precisely at the fracture—the two-point flux approximation (TPFA) accumulates truncation error (Economides and Nolte, 2000; Palagi and Aziz, 1994a; Karimi-Fard et al., 2004; Aavatsmark et al., 1998a). Recent work has challenged this piecewise-optimization approach: Dong et al. (2023) showed that hybrid TPFA–MFD schemes on corner-point grids achieve near-mimetic accuracy by localizing consistent discretization to regions of severe non-K-orthogonality, while da Silva et al. (2024) demonstrated that MPFA-H formulations eliminate grid-orientation effects on unstructured meshes. That error propagates into the transient near-fracture pressure field and then into quantities of direct engineering relevance: early-time linear-flow analysis, well-interference diagnostics, and stimulated-reservoir-volume (SRV) estimates (Peaceman, 1983; Aavatsmark et al., 1998a).</w:t>
      </w:r>
    </w:p>
    <w:p w14:paraId="2531046A">
      <w:pPr>
        <w:pStyle w:val="3"/>
        <w:spacing w:before="0" w:after="120"/>
        <w:ind w:firstLine="480" w:firstLineChars="200"/>
        <w:jc w:val="both"/>
        <w:rPr>
          <w:color w:val="auto"/>
        </w:rPr>
      </w:pPr>
      <w:r>
        <w:rPr>
          <w:color w:val="auto"/>
        </w:rPr>
        <w:t>Embedded discrete fracture models (EDFM) and their projection-based variants take a different path: rather than regridding around fractures, they insert non-neighboring connections (NNCs) between fracture and matrix domains (Karimi-Fard et al., 2004; Moinfar et al., 2014). The past three years have seen rapid maturation of the EDFM family. Projection-based formulations (pEDFM) now resolve blocking fractures through continuous projection algorithms (Rashid and Olorode, 2024), enriched-embedded variants (nEDFM) capture pressure discontinuities on both faces of conductive fractures via local enrichment functions (Jiao et al., 2024), and transient source-function-based corrections (tSEDFM) address the long-standing pseudo-steady-state limitation of classical EDFM transmissibilities (Z. Zhang et al., 2024). A comprehensive review by Poli et al. (2024) catalogues over 150 EDFM publications and identifies fracture-intersection treatment and coupled flow–geomechanics (An et al., 2024) as the dominant active research fronts. Concurrently, the extension of pEDFM to unstructured tetrahedral grids (pEDFM-U; Cavalcante et al., 2024) and the first streamline-based pEDFM formulation (Rao et al., 2025) have extended the reach of NNC methods beyond their original Cartesian scope. The advantage is clear: the grid stays fixed. The trade-off is equally clear: the transfer operators are approximations, and those approximations degrade precisely where fidelity matters most—at dense fracture intersections and near fracture tips, where the r⁻¹ pressure asymptote governs the solution (Moinfar et al., 2014; Bourdet et al., 1989). Dual-continuum approaches are cheaper still computationally, but they collapse discrete fracture character into effective transfer functions. That suffices for a dense, uniform background fracture fabric; it fails for the sparse, heterogeneous conductive pathways controlling many shale plays (Warren and Root, 1963; Kazemi et al., 1976). Recent multi-porosity multi-permeability (MPMP) frameworks (Zheng et al., 2025) now preserve continuum-type computational efficiency while approaching the geometric fidelity of discrete fracture representations. Coupled flow–geomechanics extensions of these hybrid frameworks (Li et al., 2024) have demonstrated up to 20% productivity reduction attributable to stress-dependent fracture conductivity in shale gas wells.</w:t>
      </w:r>
      <m:oMath>
        <m:r>
          <m:rPr/>
          <w:rPr>
            <w:color w:val="auto"/>
          </w:rPr>
          <m:t>1/</m:t>
        </m:r>
        <m:rad>
          <m:radPr>
            <m:degHide m:val="1"/>
            <m:ctrlPr>
              <w:rPr>
                <w:color w:val="auto"/>
              </w:rPr>
            </m:ctrlPr>
          </m:radPr>
          <m:deg>
            <m:ctrlPr>
              <w:rPr>
                <w:color w:val="auto"/>
              </w:rPr>
            </m:ctrlPr>
          </m:deg>
          <m:e>
            <m:r>
              <m:rPr/>
              <w:rPr>
                <w:color w:val="auto"/>
              </w:rPr>
              <m:t>r</m:t>
            </m:r>
            <m:ctrlPr>
              <w:rPr>
                <w:color w:val="auto"/>
              </w:rPr>
            </m:ctrlPr>
          </m:e>
        </m:rad>
      </m:oMath>
    </w:p>
    <w:p w14:paraId="3B947B9D">
      <w:pPr>
        <w:pStyle w:val="3"/>
        <w:spacing w:before="0" w:after="120"/>
        <w:ind w:firstLine="480" w:firstLineChars="200"/>
        <w:jc w:val="both"/>
        <w:rPr>
          <w:color w:val="auto"/>
        </w:rPr>
      </w:pPr>
      <w:r>
        <w:rPr>
          <w:color w:val="auto"/>
        </w:rPr>
        <w:t>On the solver front, the extreme permeability contrast in shale systems drives unpreconditioned Jacobian condition numbers into the 10⁷–10⁸ range when fractures are not grid-conforming. These ill-conditioned systems defeat standard incomplete factorization preconditioners: Block-ILU(0) stagnates, and even more elaborate variants struggle to contain the growth in Krylov subspace dimension, inflating both solve time and synchronization overhead at scale (Behie and Forsyth, 1984; Saad, 2003).</w:t>
      </w:r>
    </w:p>
    <w:p w14:paraId="2233CD7D">
      <w:pPr>
        <w:pStyle w:val="5"/>
        <w:spacing w:before="360" w:after="120"/>
        <w:ind w:firstLine="0"/>
        <w:rPr>
          <w:color w:val="auto"/>
        </w:rPr>
      </w:pPr>
      <w:bookmarkStart w:id="5" w:name="unresolved-scientific-questions"/>
      <w:r>
        <w:rPr>
          <w:color w:val="auto"/>
        </w:rPr>
        <w:t>1.2 Unresolved Scientific Questions</w:t>
      </w:r>
      <w:bookmarkEnd w:id="5"/>
    </w:p>
    <w:p w14:paraId="0F6EA8C6">
      <w:pPr>
        <w:pStyle w:val="23"/>
        <w:spacing w:before="0" w:after="120"/>
        <w:ind w:firstLine="480" w:firstLineChars="200"/>
        <w:jc w:val="both"/>
        <w:rPr>
          <w:color w:val="auto"/>
        </w:rPr>
      </w:pPr>
      <w:r>
        <w:rPr>
          <w:color w:val="auto"/>
        </w:rPr>
        <w:t>The preceding review exposes a structural gap. Fracture-conforming PEBI grids can, in principle, eliminate the geometric error that plagues both LGR and EDFM, but the mesh generation, linear algebra, and parallel decomposition communities have pursued these topics largely in isolation (Cao et al., 2005; Karypis and Kumar, 1998). Recent advances across all three fronts argue for integration. On the solver side, CPR-AMG has been extended to incorporate well degrees of freedom natively (Nilsen et al., 2023), to coupled pressure–temperature systems via the CPTR variant with near-linear strong scaling (Cremon et al., 2024), and to multilevel Schur-complement architectures that outperform standard CPR for thermal-compositional problems (M. Zhang et al., 2024). On the meshing side, advances in anisotropic centroidal Voronoi tessellation algorithms for 3D polyhedral mesh generation (Marin et al., 2024) have broadened the toolkit for constructing high-quality PEBI meshes in geometrically complex domains. On the parallel-computing side, parallel-in-time discretizations (Cheng et al., 2023) now exploit temporal parallelism beyond conventional spatial domain decomposition, and field-split preconditioned algorithms have demonstrated scalability beyond 27,000 cores for black-oil systems (Shi et al., 2024). On the discretization side, grid-orientation benchmarking under the SPE 11 comparative solution project has confirmed that consistent schemes (AvgMPFA, NTPFA) systematically outperform TPFA on non-K-orthogonal unstructured grids (Klemetsdal et al., 2025). Complementing these finite-volume developments, fully implicit discontinuous Galerkin formulations on 3D unstructured grids with bound-preserving limiters (Tu et al., 2024) have demonstrated that higher-order spatial discretization can suppress numerical dispersion in advection-dominated multiphase transport. Graph neural network surrogates trained on EDFM topologies (Jiang, 2024; Diab and Al Kobaisi, 2025) and physics-informed machine learning emulators offer a complementary acceleration pathway, achieving orders-of-magnitude speedups for multi-realization uncertainty quantification.</w:t>
      </w:r>
    </w:p>
    <w:p w14:paraId="738A66E4">
      <w:pPr>
        <w:pStyle w:val="24"/>
        <w:numPr>
          <w:ilvl w:val="0"/>
          <w:numId w:val="2"/>
        </w:numPr>
        <w:ind w:firstLine="0"/>
        <w:rPr>
          <w:color w:val="auto"/>
        </w:rPr>
      </w:pPr>
      <w:r>
        <w:rPr>
          <w:color w:val="auto"/>
        </w:rPr>
        <w:t>Can an automated PEBI generator deliver provable K-orthogonality (</w:t>
      </w:r>
      <m:oMath>
        <m:r>
          <m:rPr/>
          <w:rPr>
            <w:color w:val="auto"/>
          </w:rPr>
          <m:t>θ≤</m:t>
        </m:r>
        <m:sSup>
          <m:sSupPr>
            <m:ctrlPr>
              <w:rPr>
                <w:color w:val="auto"/>
              </w:rPr>
            </m:ctrlPr>
          </m:sSupPr>
          <m:e>
            <m:r>
              <m:rPr/>
              <w:rPr>
                <w:color w:val="auto"/>
              </w:rPr>
              <m:t>5</m:t>
            </m:r>
            <m:ctrlPr>
              <w:rPr>
                <w:color w:val="auto"/>
              </w:rPr>
            </m:ctrlPr>
          </m:e>
          <m:sup>
            <m:r>
              <m:rPr/>
              <w:rPr>
                <w:color w:val="auto"/>
              </w:rPr>
              <m:t>∘</m:t>
            </m:r>
            <m:ctrlPr>
              <w:rPr>
                <w:color w:val="auto"/>
              </w:rPr>
            </m:ctrlPr>
          </m:sup>
        </m:sSup>
      </m:oMath>
      <w:r>
        <w:rPr>
          <w:color w:val="auto"/>
        </w:rPr>
        <w:t>) when multiple intersecting natural fractures constrain the mesh?</w:t>
      </w:r>
    </w:p>
    <w:p w14:paraId="2694481C">
      <w:pPr>
        <w:pStyle w:val="24"/>
        <w:numPr>
          <w:ilvl w:val="0"/>
          <w:numId w:val="2"/>
        </w:numPr>
        <w:ind w:firstLine="0"/>
        <w:rPr>
          <w:color w:val="auto"/>
        </w:rPr>
      </w:pPr>
      <w:r>
        <w:rPr>
          <w:color w:val="auto"/>
        </w:rPr>
        <w:t>If geometric flux error is removed, what happens to the Jacobian condition number — and can a CPR–AMG solver exploit whatever spectral structure emerges in black-oil problems?</w:t>
      </w:r>
    </w:p>
    <w:p w14:paraId="77B865D0">
      <w:pPr>
        <w:pStyle w:val="24"/>
        <w:numPr>
          <w:ilvl w:val="0"/>
          <w:numId w:val="2"/>
        </w:numPr>
        <w:ind w:firstLine="0"/>
        <w:rPr>
          <w:color w:val="auto"/>
        </w:rPr>
      </w:pPr>
      <w:r>
        <w:rPr>
          <w:color w:val="auto"/>
        </w:rPr>
        <w:t>Will persistent asynchronous MPI communication mask the latency-bound halo exchanges that irregular PEBI decompositions incur, and can this be sustained past 512 ranks?</w:t>
      </w:r>
    </w:p>
    <w:p w14:paraId="5A99CE8C">
      <w:pPr>
        <w:pStyle w:val="5"/>
        <w:spacing w:before="360" w:after="120"/>
        <w:ind w:firstLine="0"/>
        <w:rPr>
          <w:color w:val="auto"/>
        </w:rPr>
      </w:pPr>
      <w:bookmarkStart w:id="6" w:name="scope-and-contributions"/>
      <w:r>
        <w:rPr>
          <w:color w:val="auto"/>
        </w:rPr>
        <w:t>1.3 Scope and Contributions</w:t>
      </w:r>
      <w:bookmarkEnd w:id="6"/>
    </w:p>
    <w:p w14:paraId="5066F515">
      <w:pPr>
        <w:pStyle w:val="23"/>
        <w:spacing w:before="0" w:after="120"/>
        <w:ind w:firstLine="480" w:firstLineChars="200"/>
        <w:jc w:val="both"/>
        <w:rPr>
          <w:color w:val="auto"/>
        </w:rPr>
      </w:pPr>
      <w:r>
        <w:rPr>
          <w:color w:val="auto"/>
        </w:rPr>
        <w:t>We start from the premise that geometric discretization error, algebraic stiffness, and communication overhead share a common origin: the computational topology does not match the physical flow topology. The framework described here operates within a layered 2.5D extrusion formulation—the PEBI mesh is built in the areal plane and extruded vertically. This models reservoirs where fractures are predominantly vertical or near-vertical and vertical flow is governed by layer contrasts rather than discrete fracture intersections. Extending these techniques to fully three-dimensional constrained Voronoi meshing introduces additional difficulties that we address in Section 4.3 as ongoing work. Table 1 aligns the specific contributions of this study against the gaps they target.</w:t>
      </w:r>
    </w:p>
    <w:p w14:paraId="51027860">
      <w:pPr>
        <w:pStyle w:val="3"/>
        <w:spacing w:before="0" w:after="120"/>
        <w:ind w:firstLine="480" w:firstLineChars="200"/>
        <w:jc w:val="center"/>
        <w:rPr>
          <w:color w:val="auto"/>
        </w:rPr>
      </w:pPr>
      <w:r>
        <w:rPr>
          <w:b/>
          <w:color w:val="auto"/>
        </w:rPr>
        <w:t>Table 1: Research gaps and corresponding quantified contributions.</w:t>
      </w:r>
    </w:p>
    <w:tbl>
      <w:tblPr>
        <w:tblStyle w:val="28"/>
        <w:tblW w:w="9884" w:type="dxa"/>
        <w:jc w:val="center"/>
        <w:tblLayout w:type="autofit"/>
        <w:tblCellMar>
          <w:top w:w="0" w:type="dxa"/>
          <w:left w:w="108" w:type="dxa"/>
          <w:bottom w:w="0" w:type="dxa"/>
          <w:right w:w="108" w:type="dxa"/>
        </w:tblCellMar>
      </w:tblPr>
      <w:tblGrid>
        <w:gridCol w:w="1368"/>
        <w:gridCol w:w="2619"/>
        <w:gridCol w:w="3241"/>
        <w:gridCol w:w="2656"/>
      </w:tblGrid>
      <w:tr w14:paraId="64882D39">
        <w:tblPrEx>
          <w:tblCellMar>
            <w:top w:w="0" w:type="dxa"/>
            <w:left w:w="108" w:type="dxa"/>
            <w:bottom w:w="0" w:type="dxa"/>
            <w:right w:w="108" w:type="dxa"/>
          </w:tblCellMar>
        </w:tblPrEx>
        <w:trPr>
          <w:trHeight w:val="0" w:hRule="atLeast"/>
          <w:tblHeader/>
          <w:jc w:val="center"/>
        </w:trPr>
        <w:tc>
          <w:tcPr>
            <w:tcW w:w="0" w:type="auto"/>
            <w:tcBorders>
              <w:bottom w:val="single" w:color="auto" w:sz="0" w:space="0"/>
            </w:tcBorders>
            <w:vAlign w:val="center"/>
          </w:tcPr>
          <w:p w14:paraId="24B1824C">
            <w:pPr>
              <w:pStyle w:val="24"/>
              <w:snapToGrid w:val="0"/>
              <w:ind w:left="0" w:leftChars="0" w:right="0" w:rightChars="0" w:firstLine="0" w:firstLineChars="0"/>
              <w:jc w:val="center"/>
              <w:rPr>
                <w:b/>
                <w:color w:val="auto"/>
              </w:rPr>
            </w:pPr>
            <w:r>
              <w:rPr>
                <w:b/>
                <w:color w:val="auto"/>
              </w:rPr>
              <w:t>Domain</w:t>
            </w:r>
          </w:p>
        </w:tc>
        <w:tc>
          <w:tcPr>
            <w:tcW w:w="2633" w:type="dxa"/>
            <w:tcBorders>
              <w:bottom w:val="single" w:color="auto" w:sz="0" w:space="0"/>
            </w:tcBorders>
            <w:vAlign w:val="center"/>
          </w:tcPr>
          <w:p w14:paraId="09423584">
            <w:pPr>
              <w:pStyle w:val="24"/>
              <w:snapToGrid w:val="0"/>
              <w:ind w:left="0" w:leftChars="0" w:right="0" w:rightChars="0" w:firstLine="0" w:firstLineChars="0"/>
              <w:jc w:val="center"/>
              <w:rPr>
                <w:b/>
                <w:color w:val="auto"/>
              </w:rPr>
            </w:pPr>
            <w:r>
              <w:rPr>
                <w:b/>
                <w:color w:val="auto"/>
              </w:rPr>
              <w:t>Identified Limitation</w:t>
            </w:r>
          </w:p>
        </w:tc>
        <w:tc>
          <w:tcPr>
            <w:tcW w:w="3216" w:type="dxa"/>
            <w:tcBorders>
              <w:bottom w:val="single" w:color="auto" w:sz="0" w:space="0"/>
            </w:tcBorders>
            <w:vAlign w:val="center"/>
          </w:tcPr>
          <w:p w14:paraId="73508A34">
            <w:pPr>
              <w:pStyle w:val="24"/>
              <w:snapToGrid w:val="0"/>
              <w:ind w:left="0" w:leftChars="0" w:right="0" w:rightChars="0" w:firstLine="0" w:firstLineChars="0"/>
              <w:jc w:val="center"/>
              <w:rPr>
                <w:b/>
                <w:color w:val="auto"/>
              </w:rPr>
            </w:pPr>
            <w:r>
              <w:rPr>
                <w:b/>
                <w:color w:val="auto"/>
              </w:rPr>
              <w:t>Proposed Innovation</w:t>
            </w:r>
          </w:p>
        </w:tc>
        <w:tc>
          <w:tcPr>
            <w:tcW w:w="2667" w:type="dxa"/>
            <w:tcBorders>
              <w:bottom w:val="single" w:color="auto" w:sz="0" w:space="0"/>
            </w:tcBorders>
            <w:vAlign w:val="center"/>
          </w:tcPr>
          <w:p w14:paraId="6FF1400F">
            <w:pPr>
              <w:pStyle w:val="24"/>
              <w:snapToGrid w:val="0"/>
              <w:ind w:left="0" w:leftChars="0" w:right="0" w:rightChars="0" w:firstLine="0" w:firstLineChars="0"/>
              <w:jc w:val="center"/>
              <w:rPr>
                <w:b/>
                <w:color w:val="auto"/>
              </w:rPr>
            </w:pPr>
            <w:r>
              <w:rPr>
                <w:b/>
                <w:color w:val="auto"/>
              </w:rPr>
              <w:t>Quantified Outcome</w:t>
            </w:r>
          </w:p>
        </w:tc>
      </w:tr>
      <w:tr w14:paraId="60B95D7D">
        <w:tblPrEx>
          <w:tblCellMar>
            <w:top w:w="0" w:type="dxa"/>
            <w:left w:w="108" w:type="dxa"/>
            <w:bottom w:w="0" w:type="dxa"/>
            <w:right w:w="108" w:type="dxa"/>
          </w:tblCellMar>
        </w:tblPrEx>
        <w:trPr>
          <w:trHeight w:val="0" w:hRule="atLeast"/>
          <w:jc w:val="center"/>
        </w:trPr>
        <w:tc>
          <w:tcPr>
            <w:tcW w:w="0" w:type="auto"/>
            <w:vAlign w:val="center"/>
          </w:tcPr>
          <w:p w14:paraId="1FF123CF">
            <w:pPr>
              <w:pStyle w:val="24"/>
              <w:snapToGrid w:val="0"/>
              <w:ind w:left="0" w:leftChars="0" w:right="0" w:rightChars="0" w:firstLine="0" w:firstLineChars="0"/>
              <w:jc w:val="center"/>
              <w:rPr>
                <w:color w:val="auto"/>
              </w:rPr>
            </w:pPr>
            <w:r>
              <w:rPr>
                <w:color w:val="auto"/>
              </w:rPr>
              <w:t>Geometry</w:t>
            </w:r>
          </w:p>
        </w:tc>
        <w:tc>
          <w:tcPr>
            <w:tcW w:w="2633" w:type="dxa"/>
            <w:vAlign w:val="center"/>
          </w:tcPr>
          <w:p w14:paraId="3ECDDD5A">
            <w:pPr>
              <w:pStyle w:val="24"/>
              <w:snapToGrid w:val="0"/>
              <w:ind w:left="0" w:leftChars="0" w:right="0" w:rightChars="0" w:firstLine="0" w:firstLineChars="0"/>
              <w:jc w:val="left"/>
              <w:rPr>
                <w:color w:val="auto"/>
              </w:rPr>
            </w:pPr>
            <w:r>
              <w:rPr>
                <w:color w:val="auto"/>
              </w:rPr>
              <w:t>LGR staircase error (Palagi and Aziz, 1994a); EDFM near-tip transfer error (Moinfar et al., 2014)</w:t>
            </w:r>
          </w:p>
        </w:tc>
        <w:tc>
          <w:tcPr>
            <w:tcW w:w="3216" w:type="dxa"/>
            <w:vAlign w:val="center"/>
          </w:tcPr>
          <w:p w14:paraId="28982B59">
            <w:pPr>
              <w:pStyle w:val="24"/>
              <w:snapToGrid w:val="0"/>
              <w:ind w:left="0" w:leftChars="0" w:right="0" w:rightChars="0" w:firstLine="0" w:firstLineChars="0"/>
              <w:jc w:val="left"/>
              <w:rPr>
                <w:color w:val="auto"/>
              </w:rPr>
            </w:pPr>
            <w:r>
              <w:rPr>
                <w:color w:val="auto"/>
              </w:rPr>
              <w:t xml:space="preserve">Constrained Delaunay PEBI with </w:t>
            </w:r>
            <m:oMath>
              <m:r>
                <m:rPr>
                  <m:nor/>
                  <m:sty m:val="p"/>
                </m:rPr>
                <w:rPr>
                  <w:b w:val="0"/>
                  <w:i w:val="0"/>
                  <w:color w:val="auto"/>
                </w:rPr>
                <m:t>tanh</m:t>
              </m:r>
            </m:oMath>
            <w:r>
              <w:rPr>
                <w:color w:val="auto"/>
              </w:rPr>
              <w:t xml:space="preserve"> density function</w:t>
            </w:r>
          </w:p>
        </w:tc>
        <w:tc>
          <w:tcPr>
            <w:tcW w:w="2667" w:type="dxa"/>
            <w:vAlign w:val="center"/>
          </w:tcPr>
          <w:p w14:paraId="5809FD81">
            <w:pPr>
              <w:pStyle w:val="24"/>
              <w:snapToGrid w:val="0"/>
              <w:ind w:left="0" w:leftChars="0" w:right="0" w:rightChars="0" w:firstLine="0" w:firstLineChars="0"/>
              <w:jc w:val="left"/>
              <w:rPr>
                <w:color w:val="auto"/>
              </w:rPr>
            </w:pPr>
            <w:r>
              <w:rPr>
                <w:color w:val="auto"/>
              </w:rPr>
              <w:t xml:space="preserve">97.1% faces satisfy </w:t>
            </w:r>
            <m:oMath>
              <m:r>
                <m:rPr/>
                <w:rPr>
                  <w:color w:val="auto"/>
                </w:rPr>
                <m:t>θ≤</m:t>
              </m:r>
              <m:sSup>
                <m:sSupPr>
                  <m:ctrlPr>
                    <w:rPr>
                      <w:color w:val="auto"/>
                    </w:rPr>
                  </m:ctrlPr>
                </m:sSupPr>
                <m:e>
                  <m:r>
                    <m:rPr/>
                    <w:rPr>
                      <w:color w:val="auto"/>
                    </w:rPr>
                    <m:t>5</m:t>
                  </m:r>
                  <m:ctrlPr>
                    <w:rPr>
                      <w:color w:val="auto"/>
                    </w:rPr>
                  </m:ctrlPr>
                </m:e>
                <m:sup>
                  <m:r>
                    <m:rPr/>
                    <w:rPr>
                      <w:color w:val="auto"/>
                    </w:rPr>
                    <m:t>∘</m:t>
                  </m:r>
                  <m:ctrlPr>
                    <w:rPr>
                      <w:color w:val="auto"/>
                    </w:rPr>
                  </m:ctrlPr>
                </m:sup>
              </m:sSup>
            </m:oMath>
            <w:r>
              <w:rPr>
                <w:color w:val="auto"/>
              </w:rPr>
              <w:t>; near-fracture pressure error 0.31%</w:t>
            </w:r>
          </w:p>
        </w:tc>
      </w:tr>
      <w:tr w14:paraId="7A06953B">
        <w:tblPrEx>
          <w:tblCellMar>
            <w:top w:w="0" w:type="dxa"/>
            <w:left w:w="108" w:type="dxa"/>
            <w:bottom w:w="0" w:type="dxa"/>
            <w:right w:w="108" w:type="dxa"/>
          </w:tblCellMar>
        </w:tblPrEx>
        <w:trPr>
          <w:trHeight w:val="0" w:hRule="atLeast"/>
          <w:jc w:val="center"/>
        </w:trPr>
        <w:tc>
          <w:tcPr>
            <w:tcW w:w="0" w:type="auto"/>
            <w:vAlign w:val="center"/>
          </w:tcPr>
          <w:p w14:paraId="08C4D037">
            <w:pPr>
              <w:pStyle w:val="24"/>
              <w:snapToGrid w:val="0"/>
              <w:ind w:left="0" w:leftChars="0" w:right="0" w:rightChars="0" w:firstLine="0" w:firstLineChars="0"/>
              <w:jc w:val="center"/>
              <w:rPr>
                <w:color w:val="auto"/>
              </w:rPr>
            </w:pPr>
            <w:r>
              <w:rPr>
                <w:color w:val="auto"/>
              </w:rPr>
              <w:t>Algebra</w:t>
            </w:r>
          </w:p>
        </w:tc>
        <w:tc>
          <w:tcPr>
            <w:tcW w:w="2633" w:type="dxa"/>
            <w:vAlign w:val="center"/>
          </w:tcPr>
          <w:p w14:paraId="61F27723">
            <w:pPr>
              <w:pStyle w:val="24"/>
              <w:snapToGrid w:val="0"/>
              <w:ind w:left="0" w:leftChars="0" w:right="0" w:rightChars="0" w:firstLine="0" w:firstLineChars="0"/>
              <w:jc w:val="left"/>
              <w:rPr>
                <w:color w:val="auto"/>
              </w:rPr>
            </w:pPr>
            <w:r>
              <w:rPr>
                <w:color w:val="auto"/>
              </w:rPr>
              <w:t>ILU stagnation at high conductivity contrast (Wallis et al., 1985; Vaněk et al., 1996)</w:t>
            </w:r>
          </w:p>
        </w:tc>
        <w:tc>
          <w:tcPr>
            <w:tcW w:w="3216" w:type="dxa"/>
            <w:vAlign w:val="center"/>
          </w:tcPr>
          <w:p w14:paraId="00D5C6EE">
            <w:pPr>
              <w:pStyle w:val="24"/>
              <w:snapToGrid w:val="0"/>
              <w:ind w:left="0" w:leftChars="0" w:right="0" w:rightChars="0" w:firstLine="0" w:firstLineChars="0"/>
              <w:jc w:val="left"/>
              <w:rPr>
                <w:color w:val="auto"/>
              </w:rPr>
            </w:pPr>
            <w:r>
              <w:rPr>
                <w:color w:val="auto"/>
              </w:rPr>
              <w:t>CPR + SA-AMG + Block-ILU(0) hybrid preconditioner</w:t>
            </w:r>
          </w:p>
        </w:tc>
        <w:tc>
          <w:tcPr>
            <w:tcW w:w="2667" w:type="dxa"/>
            <w:vAlign w:val="center"/>
          </w:tcPr>
          <w:p w14:paraId="4187CC2F">
            <w:pPr>
              <w:pStyle w:val="24"/>
              <w:snapToGrid w:val="0"/>
              <w:ind w:left="0" w:leftChars="0" w:right="0" w:rightChars="0" w:firstLine="0" w:firstLineChars="0"/>
              <w:jc w:val="left"/>
              <w:rPr>
                <w:color w:val="auto"/>
              </w:rPr>
            </w:pPr>
            <w:r>
              <w:rPr>
                <w:color w:val="auto"/>
              </w:rPr>
              <w:t>GMRES iterations reduced from 312 to 21; linear-solve time reduced by 72.7%</w:t>
            </w:r>
          </w:p>
        </w:tc>
      </w:tr>
      <w:tr w14:paraId="37AE4621">
        <w:tblPrEx>
          <w:tblCellMar>
            <w:top w:w="0" w:type="dxa"/>
            <w:left w:w="108" w:type="dxa"/>
            <w:bottom w:w="0" w:type="dxa"/>
            <w:right w:w="108" w:type="dxa"/>
          </w:tblCellMar>
        </w:tblPrEx>
        <w:trPr>
          <w:trHeight w:val="0" w:hRule="atLeast"/>
          <w:jc w:val="center"/>
        </w:trPr>
        <w:tc>
          <w:tcPr>
            <w:tcW w:w="1368" w:type="dxa"/>
            <w:vAlign w:val="center"/>
          </w:tcPr>
          <w:p w14:paraId="4FB53893">
            <w:pPr>
              <w:pStyle w:val="24"/>
              <w:snapToGrid w:val="0"/>
              <w:ind w:left="0" w:leftChars="0" w:right="0" w:rightChars="0" w:firstLine="0" w:firstLineChars="0"/>
              <w:jc w:val="center"/>
              <w:rPr>
                <w:color w:val="auto"/>
              </w:rPr>
            </w:pPr>
            <w:r>
              <w:rPr>
                <w:color w:val="auto"/>
              </w:rPr>
              <w:t>Parallelism</w:t>
            </w:r>
          </w:p>
        </w:tc>
        <w:tc>
          <w:tcPr>
            <w:tcW w:w="2633" w:type="dxa"/>
            <w:vAlign w:val="center"/>
          </w:tcPr>
          <w:p w14:paraId="74E68967">
            <w:pPr>
              <w:pStyle w:val="24"/>
              <w:snapToGrid w:val="0"/>
              <w:ind w:left="0" w:leftChars="0" w:right="0" w:rightChars="0" w:firstLine="0" w:firstLineChars="0"/>
              <w:jc w:val="left"/>
              <w:rPr>
                <w:color w:val="auto"/>
              </w:rPr>
            </w:pPr>
            <w:r>
              <w:rPr>
                <w:color w:val="auto"/>
              </w:rPr>
              <w:t>Blocking MPI dominates at &gt;256 cores (Karypis and Kumar, 1998; Amdahl, 1967)</w:t>
            </w:r>
          </w:p>
        </w:tc>
        <w:tc>
          <w:tcPr>
            <w:tcW w:w="3216" w:type="dxa"/>
            <w:vAlign w:val="center"/>
          </w:tcPr>
          <w:p w14:paraId="042B834C">
            <w:pPr>
              <w:pStyle w:val="24"/>
              <w:snapToGrid w:val="0"/>
              <w:ind w:left="0" w:leftChars="0" w:right="0" w:rightChars="0" w:firstLine="0" w:firstLineChars="0"/>
              <w:jc w:val="left"/>
              <w:rPr>
                <w:color w:val="auto"/>
              </w:rPr>
            </w:pPr>
            <w:r>
              <w:rPr>
                <w:color w:val="auto"/>
              </w:rPr>
              <w:t>Persistent non-blocking MPI with computation–communication overlap</w:t>
            </w:r>
          </w:p>
        </w:tc>
        <w:tc>
          <w:tcPr>
            <w:tcW w:w="2667" w:type="dxa"/>
            <w:vAlign w:val="center"/>
          </w:tcPr>
          <w:p w14:paraId="3B70A199">
            <w:pPr>
              <w:pStyle w:val="24"/>
              <w:snapToGrid w:val="0"/>
              <w:ind w:left="0" w:leftChars="0" w:right="0" w:rightChars="0" w:firstLine="0" w:firstLineChars="0"/>
              <w:jc w:val="left"/>
              <w:rPr>
                <w:color w:val="auto"/>
              </w:rPr>
            </w:pPr>
            <w:r>
              <w:rPr>
                <w:color w:val="auto"/>
              </w:rPr>
              <w:t>73% communication latency masked; 82.0% strong-scaling efficiency at 512 cores; 91.3% weak-scaling efficiency</w:t>
            </w:r>
          </w:p>
        </w:tc>
      </w:tr>
    </w:tbl>
    <w:p w14:paraId="15695B58">
      <w:pPr>
        <w:pStyle w:val="34"/>
        <w:rPr>
          <w:color w:val="auto"/>
        </w:rPr>
      </w:pPr>
      <w:r>
        <w:rPr>
          <w:color w:val="auto"/>
        </w:rPr>
        <w:drawing>
          <wp:inline distT="0" distB="0" distL="114300" distR="114300">
            <wp:extent cx="5334000" cy="1941195"/>
            <wp:effectExtent l="0" t="0" r="0" b="0"/>
            <wp:docPr id="1" name="Picture" descr="Fig. 1. Conceptual comparison of fracture-simulation paradigms. (a) Cartesian LGR with staircase artifacts at oblique fracture faces. (b) EDFM with non-neighboring connections (dashed lines) coupling fracture and matrix domains. (c) Fracture-conforming PEBI with exact face–fracture alig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 1. Conceptual comparison of fracture-simulation paradigms. (a) Cartesian LGR with staircase artifacts at oblique fracture faces. (b) EDFM with non-neighboring connections (dashed lines) coupling fracture and matrix domains. (c) Fracture-conforming PEBI with exact face–fracture alignment."/>
                    <pic:cNvPicPr>
                      <a:picLocks noChangeAspect="1" noChangeArrowheads="1"/>
                    </pic:cNvPicPr>
                  </pic:nvPicPr>
                  <pic:blipFill>
                    <a:blip r:embed="rId5"/>
                    <a:stretch>
                      <a:fillRect/>
                    </a:stretch>
                  </pic:blipFill>
                  <pic:spPr>
                    <a:xfrm>
                      <a:off x="0" y="0"/>
                      <a:ext cx="5334000" cy="1941526"/>
                    </a:xfrm>
                    <a:prstGeom prst="rect">
                      <a:avLst/>
                    </a:prstGeom>
                    <a:noFill/>
                    <a:ln w="9525">
                      <a:noFill/>
                    </a:ln>
                  </pic:spPr>
                </pic:pic>
              </a:graphicData>
            </a:graphic>
          </wp:inline>
        </w:drawing>
      </w:r>
    </w:p>
    <w:p w14:paraId="3BC295A0">
      <w:pPr>
        <w:pStyle w:val="32"/>
        <w:jc w:val="center"/>
        <w:rPr>
          <w:color w:val="auto"/>
        </w:rPr>
      </w:pPr>
      <w:r>
        <w:rPr>
          <w:color w:val="auto"/>
        </w:rPr>
        <w:t>Fig. 1. Conceptual comparison of fracture-simulation paradigms. (a) Cartesian LGR with staircase artifacts at oblique fracture faces. (b) EDFM with non-neighboring connections (dashed lines) coupling fracture and matrix domains. (c) Fracture-conforming PEBI with exact face–fracture alignment.</w:t>
      </w:r>
    </w:p>
    <w:p w14:paraId="12471079">
      <w:pPr>
        <w:pStyle w:val="3"/>
        <w:spacing w:before="0" w:after="120"/>
        <w:ind w:firstLine="480" w:firstLineChars="200"/>
        <w:jc w:val="both"/>
        <w:rPr>
          <w:color w:val="auto"/>
        </w:rPr>
      </w:pPr>
      <w:r>
        <w:rPr>
          <w:color w:val="auto"/>
        </w:rPr>
        <w:t>Figure 1 provides a conceptual comparison of the three paradigms. Cartesian LGR introduces geometric flux discrepancies at every obliquely oriented transition face; EDFM circumvents regridding but depends on approximate NNC transfer functions whose accuracy degrades near fracture tips; the proposed PEBI formulation eliminates both sources of inaccuracy simultaneously by enforcing exact face–fracture alignment through the Voronoi dual construction. A quantitative comparison of all three approaches follows in Section 3.</w:t>
      </w:r>
    </w:p>
    <w:p>
      <w:pPr>
        <w:pStyle w:val="4"/>
        <w:spacing w:before="360" w:after="120"/>
        <w:ind w:firstLine="0"/>
        <w:rPr>
          <w:color w:val="auto"/>
        </w:rPr>
      </w:pPr>
      <w:r>
        <w:rPr>
          <w:rFonts w:ascii="Times New Roman" w:hAnsi="Times New Roman"/>
          <w:sz w:val="22"/>
        </w:rPr>
        <w:t>The individual components of this framework—PEBI grid generation (Palagi and Aziz, 1994a), CPR preconditioning (Wallis et al., 1985), SA-AMG (Vaněk et al., 1996), and non-blocking MPI communication—are each well-established in their respective literatures. The present contribution lies not in the invention of any single component, but in their co-design within a unified framework that exploits the causal relationships among geometric fidelity (K-orthogonality), algebraic conditioning (diagonal dominance of the Jacobian), and parallel communication concurrency (computation–communication overlap). It is this deliberate integration—rather than independent optimization of each module—that distinguishes the proposed approach from the segmented workflows currently prevailing in industry practice.</w:t>
      </w:r>
    </w:p>
    <w:p w14:paraId="3B77BB2B">
      <w:pPr>
        <w:pStyle w:val="4"/>
        <w:spacing w:before="360" w:after="120"/>
        <w:ind w:firstLine="0"/>
        <w:rPr>
          <w:color w:val="auto"/>
        </w:rPr>
      </w:pPr>
      <w:bookmarkStart w:id="7" w:name="methodology"/>
      <w:r>
        <w:rPr>
          <w:color w:val="auto"/>
        </w:rPr>
        <w:t>2 Methodology</w:t>
      </w:r>
      <w:bookmarkEnd w:id="7"/>
    </w:p>
    <w:p w14:paraId="2C14A57C">
      <w:pPr>
        <w:pStyle w:val="5"/>
        <w:spacing w:before="360" w:after="120"/>
        <w:ind w:firstLine="0"/>
        <w:rPr>
          <w:color w:val="auto"/>
        </w:rPr>
      </w:pPr>
      <w:bookmarkStart w:id="8" w:name="governing-equations"/>
      <w:r>
        <w:rPr>
          <w:color w:val="auto"/>
        </w:rPr>
        <w:t>2.1 Governing Equations</w:t>
      </w:r>
      <w:bookmarkEnd w:id="8"/>
    </w:p>
    <w:p w14:paraId="375B6EB2">
      <w:pPr>
        <w:pStyle w:val="23"/>
        <w:spacing w:before="0" w:after="120"/>
        <w:ind w:firstLine="480" w:firstLineChars="200"/>
        <w:jc w:val="both"/>
        <w:rPr>
          <w:color w:val="auto"/>
        </w:rPr>
      </w:pPr>
      <w:r>
        <w:rPr>
          <w:color w:val="auto"/>
        </w:rPr>
        <w:t xml:space="preserve">Within the fracture-conforming PEBI framework, an isothermal, fully implicit, three-phase black-oil system is solved. The black-oil formulation treats the hydrocarbon system as two pseudo-components (oil and gas) at surface conditions, with mass transfer between phases represented through the solution gas–oil ratio </w:t>
      </w:r>
      <m:oMath>
        <m:sSub>
          <m:sSubPr>
            <m:ctrlPr>
              <w:rPr>
                <w:color w:val="auto"/>
              </w:rPr>
            </m:ctrlPr>
          </m:sSubPr>
          <m:e>
            <m:r>
              <m:rPr/>
              <w:rPr>
                <w:color w:val="auto"/>
              </w:rPr>
              <m:t>R</m:t>
            </m:r>
            <m:ctrlPr>
              <w:rPr>
                <w:color w:val="auto"/>
              </w:rPr>
            </m:ctrlPr>
          </m:e>
          <m:sub>
            <m:r>
              <m:rPr/>
              <w:rPr>
                <w:color w:val="auto"/>
              </w:rPr>
              <m:t>s</m:t>
            </m:r>
            <m:ctrlPr>
              <w:rPr>
                <w:color w:val="auto"/>
              </w:rPr>
            </m:ctrlPr>
          </m:sub>
        </m:sSub>
      </m:oMath>
      <w:r>
        <w:rPr>
          <w:color w:val="auto"/>
        </w:rPr>
        <w:t xml:space="preserve"> and the oil and gas formation volume factors </w:t>
      </w:r>
      <m:oMath>
        <m:sSub>
          <m:sSubPr>
            <m:ctrlPr>
              <w:rPr>
                <w:color w:val="auto"/>
              </w:rPr>
            </m:ctrlPr>
          </m:sSubPr>
          <m:e>
            <m:r>
              <m:rPr/>
              <w:rPr>
                <w:color w:val="auto"/>
              </w:rPr>
              <m:t>B</m:t>
            </m:r>
            <m:ctrlPr>
              <w:rPr>
                <w:color w:val="auto"/>
              </w:rPr>
            </m:ctrlPr>
          </m:e>
          <m:sub>
            <m:r>
              <m:rPr/>
              <w:rPr>
                <w:color w:val="auto"/>
              </w:rPr>
              <m:t>o</m:t>
            </m:r>
            <m:ctrlPr>
              <w:rPr>
                <w:color w:val="auto"/>
              </w:rPr>
            </m:ctrlPr>
          </m:sub>
        </m:sSub>
      </m:oMath>
      <w:r>
        <w:rPr>
          <w:color w:val="auto"/>
        </w:rPr>
        <w:t xml:space="preserve"> and </w:t>
      </w:r>
      <m:oMath>
        <m:sSub>
          <m:sSubPr>
            <m:ctrlPr>
              <w:rPr>
                <w:color w:val="auto"/>
              </w:rPr>
            </m:ctrlPr>
          </m:sSubPr>
          <m:e>
            <m:r>
              <m:rPr/>
              <w:rPr>
                <w:color w:val="auto"/>
              </w:rPr>
              <m:t>B</m:t>
            </m:r>
            <m:ctrlPr>
              <w:rPr>
                <w:color w:val="auto"/>
              </w:rPr>
            </m:ctrlPr>
          </m:e>
          <m:sub>
            <m:r>
              <m:rPr/>
              <w:rPr>
                <w:color w:val="auto"/>
              </w:rPr>
              <m:t>g</m:t>
            </m:r>
            <m:ctrlPr>
              <w:rPr>
                <w:color w:val="auto"/>
              </w:rPr>
            </m:ctrlPr>
          </m:sub>
        </m:sSub>
      </m:oMath>
      <w:r>
        <w:rPr>
          <w:color w:val="auto"/>
        </w:rPr>
        <w:t>. While the framework does not incorporate a fully compositional formulation with equation-of-state-based phase equilibria in the present study, the CPR–SA-AMG preconditioning strategy is designed to extend to compositional systems where the pressure block retains a fundamentally elliptic character; this extension is reserved for future work (see Section 4.3).</w:t>
      </w:r>
    </w:p>
    <w:p w14:paraId="6140413D">
      <w:pPr>
        <w:pStyle w:val="3"/>
        <w:spacing w:before="0" w:after="120"/>
        <w:ind w:firstLine="480" w:firstLineChars="200"/>
        <w:jc w:val="both"/>
        <w:rPr>
          <w:color w:val="auto"/>
        </w:rPr>
      </w:pPr>
      <w:r>
        <w:rPr>
          <w:color w:val="auto"/>
        </w:rPr>
        <w:t xml:space="preserve">For an arbitrary phase </w:t>
      </w:r>
      <m:oMath>
        <m:r>
          <m:rPr/>
          <w:rPr>
            <w:color w:val="auto"/>
          </w:rPr>
          <m:t>p∈{o,g,w}</m:t>
        </m:r>
      </m:oMath>
      <w:r>
        <w:rPr>
          <w:color w:val="auto"/>
        </w:rPr>
        <w:t>, the mass conservation equation is expressed as</w:t>
      </w:r>
    </w:p>
    <w:p w14:paraId="3AE9D73F">
      <w:pPr>
        <w:pStyle w:val="3"/>
        <w:spacing w:before="0" w:after="120"/>
        <w:ind w:firstLine="480" w:firstLineChars="200"/>
        <w:jc w:val="both"/>
        <w:rPr>
          <w:color w:val="auto"/>
        </w:rPr>
      </w:pPr>
      <m:oMathPara>
        <m:oMathParaPr>
          <m:jc m:val="center"/>
        </m:oMathParaPr>
        <m:oMath>
          <m:f>
            <m:fPr>
              <m:ctrlPr>
                <w:rPr>
                  <w:color w:val="auto"/>
                </w:rPr>
              </m:ctrlPr>
            </m:fPr>
            <m:num>
              <m:r>
                <m:rPr/>
                <w:rPr>
                  <w:color w:val="auto"/>
                </w:rPr>
                <m:t>∂</m:t>
              </m:r>
              <m:ctrlPr>
                <w:rPr>
                  <w:color w:val="auto"/>
                </w:rPr>
              </m:ctrlPr>
            </m:num>
            <m:den>
              <m:r>
                <m:rPr/>
                <w:rPr>
                  <w:color w:val="auto"/>
                </w:rPr>
                <m:t>∂t</m:t>
              </m:r>
              <m:ctrlPr>
                <w:rPr>
                  <w:color w:val="auto"/>
                </w:rPr>
              </m:ctrlPr>
            </m:den>
          </m:f>
          <m:d>
            <m:dPr>
              <m:ctrlPr>
                <w:rPr>
                  <w:color w:val="auto"/>
                </w:rPr>
              </m:ctrlPr>
            </m:dPr>
            <m:e>
              <m:f>
                <m:fPr>
                  <m:ctrlPr>
                    <w:rPr>
                      <w:color w:val="auto"/>
                    </w:rPr>
                  </m:ctrlPr>
                </m:fPr>
                <m:num>
                  <m:r>
                    <m:rPr/>
                    <w:rPr>
                      <w:color w:val="auto"/>
                    </w:rPr>
                    <m:t>ϕ</m:t>
                  </m:r>
                  <m:sSub>
                    <m:sSubPr>
                      <m:ctrlPr>
                        <w:rPr>
                          <w:color w:val="auto"/>
                        </w:rPr>
                      </m:ctrlPr>
                    </m:sSubPr>
                    <m:e>
                      <m:r>
                        <m:rPr/>
                        <w:rPr>
                          <w:color w:val="auto"/>
                        </w:rPr>
                        <m:t>S</m:t>
                      </m:r>
                      <m:ctrlPr>
                        <w:rPr>
                          <w:color w:val="auto"/>
                        </w:rPr>
                      </m:ctrlPr>
                    </m:e>
                    <m:sub>
                      <m:r>
                        <m:rPr/>
                        <w:rPr>
                          <w:color w:val="auto"/>
                        </w:rPr>
                        <m:t>p</m:t>
                      </m:r>
                      <m:ctrlPr>
                        <w:rPr>
                          <w:color w:val="auto"/>
                        </w:rPr>
                      </m:ctrlPr>
                    </m:sub>
                  </m:sSub>
                  <m:ctrlPr>
                    <w:rPr>
                      <w:color w:val="auto"/>
                    </w:rPr>
                  </m:ctrlPr>
                </m:num>
                <m:den>
                  <m:sSub>
                    <m:sSubPr>
                      <m:ctrlPr>
                        <w:rPr>
                          <w:color w:val="auto"/>
                        </w:rPr>
                      </m:ctrlPr>
                    </m:sSubPr>
                    <m:e>
                      <m:r>
                        <m:rPr/>
                        <w:rPr>
                          <w:color w:val="auto"/>
                        </w:rPr>
                        <m:t>B</m:t>
                      </m:r>
                      <m:ctrlPr>
                        <w:rPr>
                          <w:color w:val="auto"/>
                        </w:rPr>
                      </m:ctrlPr>
                    </m:e>
                    <m:sub>
                      <m:r>
                        <m:rPr/>
                        <w:rPr>
                          <w:color w:val="auto"/>
                        </w:rPr>
                        <m:t>p</m:t>
                      </m:r>
                      <m:ctrlPr>
                        <w:rPr>
                          <w:color w:val="auto"/>
                        </w:rPr>
                      </m:ctrlPr>
                    </m:sub>
                  </m:sSub>
                  <m:ctrlPr>
                    <w:rPr>
                      <w:color w:val="auto"/>
                    </w:rPr>
                  </m:ctrlPr>
                </m:den>
              </m:f>
              <m:ctrlPr>
                <w:rPr>
                  <w:color w:val="auto"/>
                </w:rPr>
              </m:ctrlPr>
            </m:e>
          </m:d>
          <m:r>
            <m:rPr/>
            <w:rPr>
              <w:color w:val="auto"/>
            </w:rPr>
            <m:t>=∇⋅</m:t>
          </m:r>
          <m:d>
            <m:dPr>
              <m:ctrlPr>
                <w:rPr>
                  <w:color w:val="auto"/>
                </w:rPr>
              </m:ctrlPr>
            </m:dPr>
            <m:e>
              <m:f>
                <m:fPr>
                  <m:ctrlPr>
                    <w:rPr>
                      <w:color w:val="auto"/>
                    </w:rPr>
                  </m:ctrlPr>
                </m:fPr>
                <m:num>
                  <m:sSub>
                    <m:sSubPr>
                      <m:ctrlPr>
                        <w:rPr>
                          <w:color w:val="auto"/>
                        </w:rPr>
                      </m:ctrlPr>
                    </m:sSubPr>
                    <m:e>
                      <m:r>
                        <m:rPr/>
                        <w:rPr>
                          <w:color w:val="auto"/>
                        </w:rPr>
                        <m:t>k</m:t>
                      </m:r>
                      <m:ctrlPr>
                        <w:rPr>
                          <w:color w:val="auto"/>
                        </w:rPr>
                      </m:ctrlPr>
                    </m:e>
                    <m:sub>
                      <m:r>
                        <m:rPr/>
                        <w:rPr>
                          <w:color w:val="auto"/>
                        </w:rPr>
                        <m:t>rp</m:t>
                      </m:r>
                      <m:ctrlPr>
                        <w:rPr>
                          <w:color w:val="auto"/>
                        </w:rPr>
                      </m:ctrlPr>
                    </m:sub>
                  </m:sSub>
                  <m:ctrlPr>
                    <w:rPr>
                      <w:color w:val="auto"/>
                    </w:rPr>
                  </m:ctrlPr>
                </m:num>
                <m:den>
                  <m:sSub>
                    <m:sSubPr>
                      <m:ctrlPr>
                        <w:rPr>
                          <w:color w:val="auto"/>
                        </w:rPr>
                      </m:ctrlPr>
                    </m:sSubPr>
                    <m:e>
                      <m:r>
                        <m:rPr/>
                        <w:rPr>
                          <w:color w:val="auto"/>
                        </w:rPr>
                        <m:t>μ</m:t>
                      </m:r>
                      <m:ctrlPr>
                        <w:rPr>
                          <w:color w:val="auto"/>
                        </w:rPr>
                      </m:ctrlPr>
                    </m:e>
                    <m:sub>
                      <m:r>
                        <m:rPr/>
                        <w:rPr>
                          <w:color w:val="auto"/>
                        </w:rPr>
                        <m:t>p</m:t>
                      </m:r>
                      <m:ctrlPr>
                        <w:rPr>
                          <w:color w:val="auto"/>
                        </w:rPr>
                      </m:ctrlPr>
                    </m:sub>
                  </m:sSub>
                  <m:sSub>
                    <m:sSubPr>
                      <m:ctrlPr>
                        <w:rPr>
                          <w:color w:val="auto"/>
                        </w:rPr>
                      </m:ctrlPr>
                    </m:sSubPr>
                    <m:e>
                      <m:r>
                        <m:rPr/>
                        <w:rPr>
                          <w:color w:val="auto"/>
                        </w:rPr>
                        <m:t>B</m:t>
                      </m:r>
                      <m:ctrlPr>
                        <w:rPr>
                          <w:color w:val="auto"/>
                        </w:rPr>
                      </m:ctrlPr>
                    </m:e>
                    <m:sub>
                      <m:r>
                        <m:rPr/>
                        <w:rPr>
                          <w:color w:val="auto"/>
                        </w:rPr>
                        <m:t>p</m:t>
                      </m:r>
                      <m:ctrlPr>
                        <w:rPr>
                          <w:color w:val="auto"/>
                        </w:rPr>
                      </m:ctrlPr>
                    </m:sub>
                  </m:sSub>
                  <m:ctrlPr>
                    <w:rPr>
                      <w:color w:val="auto"/>
                    </w:rPr>
                  </m:ctrlPr>
                </m:den>
              </m:f>
              <m:r>
                <m:rPr>
                  <m:sty m:val="b"/>
                </m:rPr>
                <w:rPr>
                  <w:color w:val="auto"/>
                </w:rPr>
                <m:t>K</m:t>
              </m:r>
              <m:r>
                <m:rPr/>
                <w:rPr>
                  <w:color w:val="auto"/>
                </w:rPr>
                <m:t>(∇p−</m:t>
              </m:r>
              <m:sSub>
                <m:sSubPr>
                  <m:ctrlPr>
                    <w:rPr>
                      <w:color w:val="auto"/>
                    </w:rPr>
                  </m:ctrlPr>
                </m:sSubPr>
                <m:e>
                  <m:r>
                    <m:rPr/>
                    <w:rPr>
                      <w:color w:val="auto"/>
                    </w:rPr>
                    <m:t>ρ</m:t>
                  </m:r>
                  <m:ctrlPr>
                    <w:rPr>
                      <w:color w:val="auto"/>
                    </w:rPr>
                  </m:ctrlPr>
                </m:e>
                <m:sub>
                  <m:r>
                    <m:rPr/>
                    <w:rPr>
                      <w:color w:val="auto"/>
                    </w:rPr>
                    <m:t>p</m:t>
                  </m:r>
                  <m:ctrlPr>
                    <w:rPr>
                      <w:color w:val="auto"/>
                    </w:rPr>
                  </m:ctrlPr>
                </m:sub>
              </m:sSub>
              <m:r>
                <m:rPr/>
                <w:rPr>
                  <w:color w:val="auto"/>
                </w:rPr>
                <m:t>g∇z)</m:t>
              </m:r>
              <m:ctrlPr>
                <w:rPr>
                  <w:color w:val="auto"/>
                </w:rPr>
              </m:ctrlPr>
            </m:e>
          </m:d>
          <m:r>
            <m:rPr/>
            <w:rPr>
              <w:color w:val="auto"/>
            </w:rPr>
            <m:t>+</m:t>
          </m:r>
          <m:f>
            <m:fPr>
              <m:ctrlPr>
                <w:rPr>
                  <w:color w:val="auto"/>
                </w:rPr>
              </m:ctrlPr>
            </m:fPr>
            <m:num>
              <m:sSub>
                <m:sSubPr>
                  <m:ctrlPr>
                    <w:rPr>
                      <w:color w:val="auto"/>
                    </w:rPr>
                  </m:ctrlPr>
                </m:sSubPr>
                <m:e>
                  <m:r>
                    <m:rPr/>
                    <w:rPr>
                      <w:color w:val="auto"/>
                    </w:rPr>
                    <m:t>q</m:t>
                  </m:r>
                  <m:ctrlPr>
                    <w:rPr>
                      <w:color w:val="auto"/>
                    </w:rPr>
                  </m:ctrlPr>
                </m:e>
                <m:sub>
                  <m:r>
                    <m:rPr/>
                    <w:rPr>
                      <w:color w:val="auto"/>
                    </w:rPr>
                    <m:t>p</m:t>
                  </m:r>
                  <m:ctrlPr>
                    <w:rPr>
                      <w:color w:val="auto"/>
                    </w:rPr>
                  </m:ctrlPr>
                </m:sub>
              </m:sSub>
              <m:ctrlPr>
                <w:rPr>
                  <w:color w:val="auto"/>
                </w:rPr>
              </m:ctrlPr>
            </m:num>
            <m:den>
              <m:sSub>
                <m:sSubPr>
                  <m:ctrlPr>
                    <w:rPr>
                      <w:color w:val="auto"/>
                    </w:rPr>
                  </m:ctrlPr>
                </m:sSubPr>
                <m:e>
                  <m:r>
                    <m:rPr/>
                    <w:rPr>
                      <w:color w:val="auto"/>
                    </w:rPr>
                    <m:t>B</m:t>
                  </m:r>
                  <m:ctrlPr>
                    <w:rPr>
                      <w:color w:val="auto"/>
                    </w:rPr>
                  </m:ctrlPr>
                </m:e>
                <m:sub>
                  <m:r>
                    <m:rPr/>
                    <w:rPr>
                      <w:color w:val="auto"/>
                    </w:rPr>
                    <m:t>p</m:t>
                  </m:r>
                  <m:ctrlPr>
                    <w:rPr>
                      <w:color w:val="auto"/>
                    </w:rPr>
                  </m:ctrlPr>
                </m:sub>
              </m:sSub>
              <m:ctrlPr>
                <w:rPr>
                  <w:color w:val="auto"/>
                </w:rPr>
              </m:ctrlPr>
            </m:den>
          </m:f>
          <m:r>
            <m:rPr/>
            <w:rPr>
              <w:color w:val="auto"/>
            </w:rPr>
            <m:t>  (1)</m:t>
          </m:r>
        </m:oMath>
      </m:oMathPara>
    </w:p>
    <w:p w14:paraId="3CD897E2">
      <w:pPr>
        <w:pStyle w:val="23"/>
        <w:spacing w:before="0" w:after="120"/>
        <w:ind w:firstLine="480" w:firstLineChars="200"/>
        <w:jc w:val="both"/>
        <w:rPr>
          <w:color w:val="auto"/>
        </w:rPr>
      </w:pPr>
      <w:r>
        <w:rPr>
          <w:color w:val="auto"/>
        </w:rPr>
        <w:t xml:space="preserve">where the Darcy velocity for phase </w:t>
      </w:r>
      <m:oMath>
        <m:r>
          <m:rPr/>
          <w:rPr>
            <w:color w:val="auto"/>
          </w:rPr>
          <m:t>p</m:t>
        </m:r>
      </m:oMath>
      <w:r>
        <w:rPr>
          <w:color w:val="auto"/>
        </w:rPr>
        <w:t xml:space="preserve"> is</w:t>
      </w:r>
    </w:p>
    <w:p w14:paraId="5F439B58">
      <w:pPr>
        <w:pStyle w:val="3"/>
        <w:spacing w:before="0" w:after="120"/>
        <w:ind w:firstLine="480" w:firstLineChars="200"/>
        <w:jc w:val="both"/>
        <w:rPr>
          <w:color w:val="auto"/>
        </w:rPr>
      </w:pPr>
      <m:oMathPara>
        <m:oMathParaPr>
          <m:jc m:val="center"/>
        </m:oMathParaPr>
        <m:oMath>
          <m:sSub>
            <m:sSubPr>
              <m:ctrlPr>
                <w:rPr>
                  <w:color w:val="auto"/>
                </w:rPr>
              </m:ctrlPr>
            </m:sSubPr>
            <m:e>
              <m:r>
                <m:rPr>
                  <m:sty m:val="b"/>
                </m:rPr>
                <w:rPr>
                  <w:color w:val="auto"/>
                </w:rPr>
                <m:t>u</m:t>
              </m:r>
              <m:ctrlPr>
                <w:rPr>
                  <w:color w:val="auto"/>
                </w:rPr>
              </m:ctrlPr>
            </m:e>
            <m:sub>
              <m:r>
                <m:rPr/>
                <w:rPr>
                  <w:color w:val="auto"/>
                </w:rPr>
                <m:t>p</m:t>
              </m:r>
              <m:ctrlPr>
                <w:rPr>
                  <w:color w:val="auto"/>
                </w:rPr>
              </m:ctrlPr>
            </m:sub>
          </m:sSub>
          <m:r>
            <m:rPr/>
            <w:rPr>
              <w:color w:val="auto"/>
            </w:rPr>
            <m:t>=−</m:t>
          </m:r>
          <m:f>
            <m:fPr>
              <m:ctrlPr>
                <w:rPr>
                  <w:color w:val="auto"/>
                </w:rPr>
              </m:ctrlPr>
            </m:fPr>
            <m:num>
              <m:sSub>
                <m:sSubPr>
                  <m:ctrlPr>
                    <w:rPr>
                      <w:color w:val="auto"/>
                    </w:rPr>
                  </m:ctrlPr>
                </m:sSubPr>
                <m:e>
                  <m:r>
                    <m:rPr/>
                    <w:rPr>
                      <w:color w:val="auto"/>
                    </w:rPr>
                    <m:t>k</m:t>
                  </m:r>
                  <m:ctrlPr>
                    <w:rPr>
                      <w:color w:val="auto"/>
                    </w:rPr>
                  </m:ctrlPr>
                </m:e>
                <m:sub>
                  <m:r>
                    <m:rPr/>
                    <w:rPr>
                      <w:color w:val="auto"/>
                    </w:rPr>
                    <m:t>rp</m:t>
                  </m:r>
                  <m:ctrlPr>
                    <w:rPr>
                      <w:color w:val="auto"/>
                    </w:rPr>
                  </m:ctrlPr>
                </m:sub>
              </m:sSub>
              <m:ctrlPr>
                <w:rPr>
                  <w:color w:val="auto"/>
                </w:rPr>
              </m:ctrlPr>
            </m:num>
            <m:den>
              <m:sSub>
                <m:sSubPr>
                  <m:ctrlPr>
                    <w:rPr>
                      <w:color w:val="auto"/>
                    </w:rPr>
                  </m:ctrlPr>
                </m:sSubPr>
                <m:e>
                  <m:r>
                    <m:rPr/>
                    <w:rPr>
                      <w:color w:val="auto"/>
                    </w:rPr>
                    <m:t>μ</m:t>
                  </m:r>
                  <m:ctrlPr>
                    <w:rPr>
                      <w:color w:val="auto"/>
                    </w:rPr>
                  </m:ctrlPr>
                </m:e>
                <m:sub>
                  <m:r>
                    <m:rPr/>
                    <w:rPr>
                      <w:color w:val="auto"/>
                    </w:rPr>
                    <m:t>p</m:t>
                  </m:r>
                  <m:ctrlPr>
                    <w:rPr>
                      <w:color w:val="auto"/>
                    </w:rPr>
                  </m:ctrlPr>
                </m:sub>
              </m:sSub>
              <m:ctrlPr>
                <w:rPr>
                  <w:color w:val="auto"/>
                </w:rPr>
              </m:ctrlPr>
            </m:den>
          </m:f>
          <m:r>
            <m:rPr>
              <m:sty m:val="b"/>
            </m:rPr>
            <w:rPr>
              <w:color w:val="auto"/>
            </w:rPr>
            <m:t>K</m:t>
          </m:r>
          <m:r>
            <m:rPr/>
            <w:rPr>
              <w:color w:val="auto"/>
            </w:rPr>
            <m:t>(∇p−</m:t>
          </m:r>
          <m:sSub>
            <m:sSubPr>
              <m:ctrlPr>
                <w:rPr>
                  <w:color w:val="auto"/>
                </w:rPr>
              </m:ctrlPr>
            </m:sSubPr>
            <m:e>
              <m:r>
                <m:rPr/>
                <w:rPr>
                  <w:color w:val="auto"/>
                </w:rPr>
                <m:t>ρ</m:t>
              </m:r>
              <m:ctrlPr>
                <w:rPr>
                  <w:color w:val="auto"/>
                </w:rPr>
              </m:ctrlPr>
            </m:e>
            <m:sub>
              <m:r>
                <m:rPr/>
                <w:rPr>
                  <w:color w:val="auto"/>
                </w:rPr>
                <m:t>p</m:t>
              </m:r>
              <m:ctrlPr>
                <w:rPr>
                  <w:color w:val="auto"/>
                </w:rPr>
              </m:ctrlPr>
            </m:sub>
          </m:sSub>
          <m:r>
            <m:rPr/>
            <w:rPr>
              <w:color w:val="auto"/>
            </w:rPr>
            <m:t>g∇z)  (2)</m:t>
          </m:r>
        </m:oMath>
      </m:oMathPara>
    </w:p>
    <w:p w14:paraId="59B1C8D6">
      <w:pPr>
        <w:pStyle w:val="23"/>
        <w:spacing w:before="0" w:after="120"/>
        <w:ind w:firstLine="480" w:firstLineChars="200"/>
        <w:jc w:val="both"/>
        <w:rPr>
          <w:color w:val="auto"/>
        </w:rPr>
      </w:pPr>
      <w:r>
        <w:rPr>
          <w:color w:val="auto"/>
        </w:rPr>
        <w:t>The accompanying saturation constraint is given by</w:t>
      </w:r>
    </w:p>
    <w:p w14:paraId="7BA9C72A">
      <w:pPr>
        <w:pStyle w:val="3"/>
        <w:spacing w:before="0" w:after="120"/>
        <w:ind w:firstLine="480" w:firstLineChars="200"/>
        <w:jc w:val="both"/>
        <w:rPr>
          <w:color w:val="auto"/>
        </w:rPr>
      </w:pPr>
      <m:oMathPara>
        <m:oMathParaPr>
          <m:jc m:val="center"/>
        </m:oMathParaPr>
        <m:oMath>
          <m:sSub>
            <m:sSubPr>
              <m:ctrlPr>
                <w:rPr>
                  <w:color w:val="auto"/>
                </w:rPr>
              </m:ctrlPr>
            </m:sSubPr>
            <m:e>
              <m:r>
                <m:rPr/>
                <w:rPr>
                  <w:color w:val="auto"/>
                </w:rPr>
                <m:t>S</m:t>
              </m:r>
              <m:ctrlPr>
                <w:rPr>
                  <w:color w:val="auto"/>
                </w:rPr>
              </m:ctrlPr>
            </m:e>
            <m:sub>
              <m:r>
                <m:rPr/>
                <w:rPr>
                  <w:color w:val="auto"/>
                </w:rPr>
                <m:t>o</m:t>
              </m:r>
              <m:ctrlPr>
                <w:rPr>
                  <w:color w:val="auto"/>
                </w:rPr>
              </m:ctrlPr>
            </m:sub>
          </m:sSub>
          <m:r>
            <m:rPr/>
            <w:rPr>
              <w:color w:val="auto"/>
            </w:rPr>
            <m:t>+</m:t>
          </m:r>
          <m:sSub>
            <m:sSubPr>
              <m:ctrlPr>
                <w:rPr>
                  <w:color w:val="auto"/>
                </w:rPr>
              </m:ctrlPr>
            </m:sSubPr>
            <m:e>
              <m:r>
                <m:rPr/>
                <w:rPr>
                  <w:color w:val="auto"/>
                </w:rPr>
                <m:t>S</m:t>
              </m:r>
              <m:ctrlPr>
                <w:rPr>
                  <w:color w:val="auto"/>
                </w:rPr>
              </m:ctrlPr>
            </m:e>
            <m:sub>
              <m:r>
                <m:rPr/>
                <w:rPr>
                  <w:color w:val="auto"/>
                </w:rPr>
                <m:t>g</m:t>
              </m:r>
              <m:ctrlPr>
                <w:rPr>
                  <w:color w:val="auto"/>
                </w:rPr>
              </m:ctrlPr>
            </m:sub>
          </m:sSub>
          <m:r>
            <m:rPr/>
            <w:rPr>
              <w:color w:val="auto"/>
            </w:rPr>
            <m:t>+</m:t>
          </m:r>
          <m:sSub>
            <m:sSubPr>
              <m:ctrlPr>
                <w:rPr>
                  <w:color w:val="auto"/>
                </w:rPr>
              </m:ctrlPr>
            </m:sSubPr>
            <m:e>
              <m:r>
                <m:rPr/>
                <w:rPr>
                  <w:color w:val="auto"/>
                </w:rPr>
                <m:t>S</m:t>
              </m:r>
              <m:ctrlPr>
                <w:rPr>
                  <w:color w:val="auto"/>
                </w:rPr>
              </m:ctrlPr>
            </m:e>
            <m:sub>
              <m:r>
                <m:rPr/>
                <w:rPr>
                  <w:color w:val="auto"/>
                </w:rPr>
                <m:t>w</m:t>
              </m:r>
              <m:ctrlPr>
                <w:rPr>
                  <w:color w:val="auto"/>
                </w:rPr>
              </m:ctrlPr>
            </m:sub>
          </m:sSub>
          <m:r>
            <m:rPr/>
            <w:rPr>
              <w:color w:val="auto"/>
            </w:rPr>
            <m:t>=1  (3)</m:t>
          </m:r>
        </m:oMath>
      </m:oMathPara>
    </w:p>
    <w:p w14:paraId="4014C4BE">
      <w:pPr>
        <w:pStyle w:val="23"/>
        <w:spacing w:before="0" w:after="120"/>
        <w:ind w:firstLine="480" w:firstLineChars="200"/>
        <w:jc w:val="both"/>
        <w:rPr>
          <w:color w:val="auto"/>
        </w:rPr>
      </w:pPr>
      <w:r>
        <w:rPr>
          <w:color w:val="auto"/>
        </w:rPr>
        <w:t>The pressure dependence of porosity is represented through the linear rock compressibility relation</w:t>
      </w:r>
    </w:p>
    <w:p w14:paraId="71BDB753">
      <w:pPr>
        <w:pStyle w:val="3"/>
        <w:spacing w:before="0" w:after="120"/>
        <w:ind w:firstLine="480" w:firstLineChars="200"/>
        <w:jc w:val="both"/>
        <w:rPr>
          <w:color w:val="auto"/>
        </w:rPr>
      </w:pPr>
      <m:oMathPara>
        <m:oMathParaPr>
          <m:jc m:val="center"/>
        </m:oMathParaPr>
        <m:oMath>
          <m:r>
            <m:rPr/>
            <w:rPr>
              <w:color w:val="auto"/>
            </w:rPr>
            <m:t>ϕ=</m:t>
          </m:r>
          <m:sSub>
            <m:sSubPr>
              <m:ctrlPr>
                <w:rPr>
                  <w:color w:val="auto"/>
                </w:rPr>
              </m:ctrlPr>
            </m:sSubPr>
            <m:e>
              <m:r>
                <m:rPr/>
                <w:rPr>
                  <w:color w:val="auto"/>
                </w:rPr>
                <m:t>ϕ</m:t>
              </m:r>
              <m:ctrlPr>
                <w:rPr>
                  <w:color w:val="auto"/>
                </w:rPr>
              </m:ctrlPr>
            </m:e>
            <m:sub>
              <m:r>
                <m:rPr/>
                <w:rPr>
                  <w:color w:val="auto"/>
                </w:rPr>
                <m:t>0</m:t>
              </m:r>
              <m:ctrlPr>
                <w:rPr>
                  <w:color w:val="auto"/>
                </w:rPr>
              </m:ctrlPr>
            </m:sub>
          </m:sSub>
          <m:d>
            <m:dPr>
              <m:begChr m:val="["/>
              <m:endChr m:val="]"/>
              <m:ctrlPr>
                <w:rPr>
                  <w:color w:val="auto"/>
                </w:rPr>
              </m:ctrlPr>
            </m:dPr>
            <m:e>
              <m:r>
                <m:rPr/>
                <w:rPr>
                  <w:color w:val="auto"/>
                </w:rPr>
                <m:t>1+</m:t>
              </m:r>
              <m:sSub>
                <m:sSubPr>
                  <m:ctrlPr>
                    <w:rPr>
                      <w:color w:val="auto"/>
                    </w:rPr>
                  </m:ctrlPr>
                </m:sSubPr>
                <m:e>
                  <m:r>
                    <m:rPr/>
                    <w:rPr>
                      <w:color w:val="auto"/>
                    </w:rPr>
                    <m:t>c</m:t>
                  </m:r>
                  <m:ctrlPr>
                    <w:rPr>
                      <w:color w:val="auto"/>
                    </w:rPr>
                  </m:ctrlPr>
                </m:e>
                <m:sub>
                  <m:r>
                    <m:rPr/>
                    <w:rPr>
                      <w:color w:val="auto"/>
                    </w:rPr>
                    <m:t>r</m:t>
                  </m:r>
                  <m:ctrlPr>
                    <w:rPr>
                      <w:color w:val="auto"/>
                    </w:rPr>
                  </m:ctrlPr>
                </m:sub>
              </m:sSub>
              <m:r>
                <m:rPr/>
                <w:rPr>
                  <w:color w:val="auto"/>
                </w:rPr>
                <m:t>(p−</m:t>
              </m:r>
              <m:sSub>
                <m:sSubPr>
                  <m:ctrlPr>
                    <w:rPr>
                      <w:color w:val="auto"/>
                    </w:rPr>
                  </m:ctrlPr>
                </m:sSubPr>
                <m:e>
                  <m:r>
                    <m:rPr/>
                    <w:rPr>
                      <w:color w:val="auto"/>
                    </w:rPr>
                    <m:t>p</m:t>
                  </m:r>
                  <m:ctrlPr>
                    <w:rPr>
                      <w:color w:val="auto"/>
                    </w:rPr>
                  </m:ctrlPr>
                </m:e>
                <m:sub>
                  <m:r>
                    <m:rPr/>
                    <w:rPr>
                      <w:color w:val="auto"/>
                    </w:rPr>
                    <m:t>0</m:t>
                  </m:r>
                  <m:ctrlPr>
                    <w:rPr>
                      <w:color w:val="auto"/>
                    </w:rPr>
                  </m:ctrlPr>
                </m:sub>
              </m:sSub>
              <m:r>
                <m:rPr/>
                <w:rPr>
                  <w:color w:val="auto"/>
                </w:rPr>
                <m:t>)</m:t>
              </m:r>
              <m:ctrlPr>
                <w:rPr>
                  <w:color w:val="auto"/>
                </w:rPr>
              </m:ctrlPr>
            </m:e>
          </m:d>
          <m:r>
            <m:rPr/>
            <w:rPr>
              <w:color w:val="auto"/>
            </w:rPr>
            <m:t>  (4)</m:t>
          </m:r>
        </m:oMath>
      </m:oMathPara>
    </w:p>
    <w:p w14:paraId="58C792DC">
      <w:pPr>
        <w:pStyle w:val="23"/>
        <w:spacing w:before="0" w:after="120"/>
        <w:ind w:firstLine="480" w:firstLineChars="200"/>
        <w:jc w:val="both"/>
        <w:rPr>
          <w:color w:val="auto"/>
        </w:rPr>
      </w:pPr>
      <w:r>
        <w:rPr>
          <w:color w:val="auto"/>
        </w:rPr>
        <w:t>For the dissolved gas component, the total-gas conservation relation takes the conventional black-oil form</w:t>
      </w:r>
    </w:p>
    <w:p w14:paraId="78A11890">
      <w:pPr>
        <w:pStyle w:val="3"/>
        <w:spacing w:before="0" w:after="120"/>
        <w:ind w:firstLine="480" w:firstLineChars="200"/>
        <w:jc w:val="both"/>
        <w:rPr>
          <w:color w:val="auto"/>
        </w:rPr>
      </w:pPr>
      <m:oMathPara>
        <m:oMathParaPr>
          <m:jc m:val="center"/>
        </m:oMathParaPr>
        <m:oMath>
          <m:f>
            <m:fPr>
              <m:ctrlPr>
                <w:rPr>
                  <w:color w:val="auto"/>
                </w:rPr>
              </m:ctrlPr>
            </m:fPr>
            <m:num>
              <m:r>
                <m:rPr/>
                <w:rPr>
                  <w:color w:val="auto"/>
                </w:rPr>
                <m:t>∂</m:t>
              </m:r>
              <m:ctrlPr>
                <w:rPr>
                  <w:color w:val="auto"/>
                </w:rPr>
              </m:ctrlPr>
            </m:num>
            <m:den>
              <m:r>
                <m:rPr/>
                <w:rPr>
                  <w:color w:val="auto"/>
                </w:rPr>
                <m:t>∂t</m:t>
              </m:r>
              <m:ctrlPr>
                <w:rPr>
                  <w:color w:val="auto"/>
                </w:rPr>
              </m:ctrlPr>
            </m:den>
          </m:f>
          <m:d>
            <m:dPr>
              <m:begChr m:val="["/>
              <m:endChr m:val="]"/>
              <m:ctrlPr>
                <w:rPr>
                  <w:color w:val="auto"/>
                </w:rPr>
              </m:ctrlPr>
            </m:dPr>
            <m:e>
              <m:r>
                <m:rPr/>
                <w:rPr>
                  <w:color w:val="auto"/>
                </w:rPr>
                <m:t>ϕ</m:t>
              </m:r>
              <m:d>
                <m:dPr>
                  <m:ctrlPr>
                    <w:rPr>
                      <w:color w:val="auto"/>
                    </w:rPr>
                  </m:ctrlPr>
                </m:dPr>
                <m:e>
                  <m:f>
                    <m:fPr>
                      <m:ctrlPr>
                        <w:rPr>
                          <w:color w:val="auto"/>
                        </w:rPr>
                      </m:ctrlPr>
                    </m:fPr>
                    <m:num>
                      <m:sSub>
                        <m:sSubPr>
                          <m:ctrlPr>
                            <w:rPr>
                              <w:color w:val="auto"/>
                            </w:rPr>
                          </m:ctrlPr>
                        </m:sSubPr>
                        <m:e>
                          <m:r>
                            <m:rPr/>
                            <w:rPr>
                              <w:color w:val="auto"/>
                            </w:rPr>
                            <m:t>S</m:t>
                          </m:r>
                          <m:ctrlPr>
                            <w:rPr>
                              <w:color w:val="auto"/>
                            </w:rPr>
                          </m:ctrlPr>
                        </m:e>
                        <m:sub>
                          <m:r>
                            <m:rPr/>
                            <w:rPr>
                              <w:color w:val="auto"/>
                            </w:rPr>
                            <m:t>g</m:t>
                          </m:r>
                          <m:ctrlPr>
                            <w:rPr>
                              <w:color w:val="auto"/>
                            </w:rPr>
                          </m:ctrlPr>
                        </m:sub>
                      </m:sSub>
                      <m:ctrlPr>
                        <w:rPr>
                          <w:color w:val="auto"/>
                        </w:rPr>
                      </m:ctrlPr>
                    </m:num>
                    <m:den>
                      <m:sSub>
                        <m:sSubPr>
                          <m:ctrlPr>
                            <w:rPr>
                              <w:color w:val="auto"/>
                            </w:rPr>
                          </m:ctrlPr>
                        </m:sSubPr>
                        <m:e>
                          <m:r>
                            <m:rPr/>
                            <w:rPr>
                              <w:color w:val="auto"/>
                            </w:rPr>
                            <m:t>B</m:t>
                          </m:r>
                          <m:ctrlPr>
                            <w:rPr>
                              <w:color w:val="auto"/>
                            </w:rPr>
                          </m:ctrlPr>
                        </m:e>
                        <m:sub>
                          <m:r>
                            <m:rPr/>
                            <w:rPr>
                              <w:color w:val="auto"/>
                            </w:rPr>
                            <m:t>g</m:t>
                          </m:r>
                          <m:ctrlPr>
                            <w:rPr>
                              <w:color w:val="auto"/>
                            </w:rPr>
                          </m:ctrlPr>
                        </m:sub>
                      </m:sSub>
                      <m:ctrlPr>
                        <w:rPr>
                          <w:color w:val="auto"/>
                        </w:rPr>
                      </m:ctrlPr>
                    </m:den>
                  </m:f>
                  <m:r>
                    <m:rPr/>
                    <w:rPr>
                      <w:color w:val="auto"/>
                    </w:rPr>
                    <m:t>+</m:t>
                  </m:r>
                  <m:f>
                    <m:fPr>
                      <m:ctrlPr>
                        <w:rPr>
                          <w:color w:val="auto"/>
                        </w:rPr>
                      </m:ctrlPr>
                    </m:fPr>
                    <m:num>
                      <m:sSub>
                        <m:sSubPr>
                          <m:ctrlPr>
                            <w:rPr>
                              <w:color w:val="auto"/>
                            </w:rPr>
                          </m:ctrlPr>
                        </m:sSubPr>
                        <m:e>
                          <m:r>
                            <m:rPr/>
                            <w:rPr>
                              <w:color w:val="auto"/>
                            </w:rPr>
                            <m:t>R</m:t>
                          </m:r>
                          <m:ctrlPr>
                            <w:rPr>
                              <w:color w:val="auto"/>
                            </w:rPr>
                          </m:ctrlPr>
                        </m:e>
                        <m:sub>
                          <m:r>
                            <m:rPr/>
                            <w:rPr>
                              <w:color w:val="auto"/>
                            </w:rPr>
                            <m:t>s</m:t>
                          </m:r>
                          <m:ctrlPr>
                            <w:rPr>
                              <w:color w:val="auto"/>
                            </w:rPr>
                          </m:ctrlPr>
                        </m:sub>
                      </m:sSub>
                      <m:sSub>
                        <m:sSubPr>
                          <m:ctrlPr>
                            <w:rPr>
                              <w:color w:val="auto"/>
                            </w:rPr>
                          </m:ctrlPr>
                        </m:sSubPr>
                        <m:e>
                          <m:r>
                            <m:rPr/>
                            <w:rPr>
                              <w:color w:val="auto"/>
                            </w:rPr>
                            <m:t>S</m:t>
                          </m:r>
                          <m:ctrlPr>
                            <w:rPr>
                              <w:color w:val="auto"/>
                            </w:rPr>
                          </m:ctrlPr>
                        </m:e>
                        <m:sub>
                          <m:r>
                            <m:rPr/>
                            <w:rPr>
                              <w:color w:val="auto"/>
                            </w:rPr>
                            <m:t>o</m:t>
                          </m:r>
                          <m:ctrlPr>
                            <w:rPr>
                              <w:color w:val="auto"/>
                            </w:rPr>
                          </m:ctrlPr>
                        </m:sub>
                      </m:sSub>
                      <m:ctrlPr>
                        <w:rPr>
                          <w:color w:val="auto"/>
                        </w:rPr>
                      </m:ctrlPr>
                    </m:num>
                    <m:den>
                      <m:sSub>
                        <m:sSubPr>
                          <m:ctrlPr>
                            <w:rPr>
                              <w:color w:val="auto"/>
                            </w:rPr>
                          </m:ctrlPr>
                        </m:sSubPr>
                        <m:e>
                          <m:r>
                            <m:rPr/>
                            <w:rPr>
                              <w:color w:val="auto"/>
                            </w:rPr>
                            <m:t>B</m:t>
                          </m:r>
                          <m:ctrlPr>
                            <w:rPr>
                              <w:color w:val="auto"/>
                            </w:rPr>
                          </m:ctrlPr>
                        </m:e>
                        <m:sub>
                          <m:r>
                            <m:rPr/>
                            <w:rPr>
                              <w:color w:val="auto"/>
                            </w:rPr>
                            <m:t>o</m:t>
                          </m:r>
                          <m:ctrlPr>
                            <w:rPr>
                              <w:color w:val="auto"/>
                            </w:rPr>
                          </m:ctrlPr>
                        </m:sub>
                      </m:sSub>
                      <m:ctrlPr>
                        <w:rPr>
                          <w:color w:val="auto"/>
                        </w:rPr>
                      </m:ctrlPr>
                    </m:den>
                  </m:f>
                  <m:ctrlPr>
                    <w:rPr>
                      <w:color w:val="auto"/>
                    </w:rPr>
                  </m:ctrlPr>
                </m:e>
              </m:d>
              <m:ctrlPr>
                <w:rPr>
                  <w:color w:val="auto"/>
                </w:rPr>
              </m:ctrlPr>
            </m:e>
          </m:d>
          <m:r>
            <m:rPr/>
            <w:rPr>
              <w:color w:val="auto"/>
            </w:rPr>
            <m:t>=∇⋅</m:t>
          </m:r>
          <m:d>
            <m:dPr>
              <m:ctrlPr>
                <w:rPr>
                  <w:color w:val="auto"/>
                </w:rPr>
              </m:ctrlPr>
            </m:dPr>
            <m:e>
              <m:f>
                <m:fPr>
                  <m:ctrlPr>
                    <w:rPr>
                      <w:color w:val="auto"/>
                    </w:rPr>
                  </m:ctrlPr>
                </m:fPr>
                <m:num>
                  <m:sSub>
                    <m:sSubPr>
                      <m:ctrlPr>
                        <w:rPr>
                          <w:color w:val="auto"/>
                        </w:rPr>
                      </m:ctrlPr>
                    </m:sSubPr>
                    <m:e>
                      <m:r>
                        <m:rPr/>
                        <w:rPr>
                          <w:color w:val="auto"/>
                        </w:rPr>
                        <m:t>k</m:t>
                      </m:r>
                      <m:ctrlPr>
                        <w:rPr>
                          <w:color w:val="auto"/>
                        </w:rPr>
                      </m:ctrlPr>
                    </m:e>
                    <m:sub>
                      <m:r>
                        <m:rPr/>
                        <w:rPr>
                          <w:color w:val="auto"/>
                        </w:rPr>
                        <m:t>rg</m:t>
                      </m:r>
                      <m:ctrlPr>
                        <w:rPr>
                          <w:color w:val="auto"/>
                        </w:rPr>
                      </m:ctrlPr>
                    </m:sub>
                  </m:sSub>
                  <m:ctrlPr>
                    <w:rPr>
                      <w:color w:val="auto"/>
                    </w:rPr>
                  </m:ctrlPr>
                </m:num>
                <m:den>
                  <m:sSub>
                    <m:sSubPr>
                      <m:ctrlPr>
                        <w:rPr>
                          <w:color w:val="auto"/>
                        </w:rPr>
                      </m:ctrlPr>
                    </m:sSubPr>
                    <m:e>
                      <m:r>
                        <m:rPr/>
                        <w:rPr>
                          <w:color w:val="auto"/>
                        </w:rPr>
                        <m:t>μ</m:t>
                      </m:r>
                      <m:ctrlPr>
                        <w:rPr>
                          <w:color w:val="auto"/>
                        </w:rPr>
                      </m:ctrlPr>
                    </m:e>
                    <m:sub>
                      <m:r>
                        <m:rPr/>
                        <w:rPr>
                          <w:color w:val="auto"/>
                        </w:rPr>
                        <m:t>g</m:t>
                      </m:r>
                      <m:ctrlPr>
                        <w:rPr>
                          <w:color w:val="auto"/>
                        </w:rPr>
                      </m:ctrlPr>
                    </m:sub>
                  </m:sSub>
                  <m:sSub>
                    <m:sSubPr>
                      <m:ctrlPr>
                        <w:rPr>
                          <w:color w:val="auto"/>
                        </w:rPr>
                      </m:ctrlPr>
                    </m:sSubPr>
                    <m:e>
                      <m:r>
                        <m:rPr/>
                        <w:rPr>
                          <w:color w:val="auto"/>
                        </w:rPr>
                        <m:t>B</m:t>
                      </m:r>
                      <m:ctrlPr>
                        <w:rPr>
                          <w:color w:val="auto"/>
                        </w:rPr>
                      </m:ctrlPr>
                    </m:e>
                    <m:sub>
                      <m:r>
                        <m:rPr/>
                        <w:rPr>
                          <w:color w:val="auto"/>
                        </w:rPr>
                        <m:t>g</m:t>
                      </m:r>
                      <m:ctrlPr>
                        <w:rPr>
                          <w:color w:val="auto"/>
                        </w:rPr>
                      </m:ctrlPr>
                    </m:sub>
                  </m:sSub>
                  <m:ctrlPr>
                    <w:rPr>
                      <w:color w:val="auto"/>
                    </w:rPr>
                  </m:ctrlPr>
                </m:den>
              </m:f>
              <m:r>
                <m:rPr>
                  <m:sty m:val="b"/>
                </m:rPr>
                <w:rPr>
                  <w:color w:val="auto"/>
                </w:rPr>
                <m:t>K</m:t>
              </m:r>
              <m:r>
                <m:rPr/>
                <w:rPr>
                  <w:color w:val="auto"/>
                </w:rPr>
                <m:t>(∇p−</m:t>
              </m:r>
              <m:sSub>
                <m:sSubPr>
                  <m:ctrlPr>
                    <w:rPr>
                      <w:color w:val="auto"/>
                    </w:rPr>
                  </m:ctrlPr>
                </m:sSubPr>
                <m:e>
                  <m:r>
                    <m:rPr/>
                    <w:rPr>
                      <w:color w:val="auto"/>
                    </w:rPr>
                    <m:t>ρ</m:t>
                  </m:r>
                  <m:ctrlPr>
                    <w:rPr>
                      <w:color w:val="auto"/>
                    </w:rPr>
                  </m:ctrlPr>
                </m:e>
                <m:sub>
                  <m:r>
                    <m:rPr/>
                    <w:rPr>
                      <w:color w:val="auto"/>
                    </w:rPr>
                    <m:t>g</m:t>
                  </m:r>
                  <m:ctrlPr>
                    <w:rPr>
                      <w:color w:val="auto"/>
                    </w:rPr>
                  </m:ctrlPr>
                </m:sub>
              </m:sSub>
              <m:r>
                <m:rPr/>
                <w:rPr>
                  <w:color w:val="auto"/>
                </w:rPr>
                <m:t>g∇z)</m:t>
              </m:r>
              <m:ctrlPr>
                <w:rPr>
                  <w:color w:val="auto"/>
                </w:rPr>
              </m:ctrlPr>
            </m:e>
          </m:d>
          <m:r>
            <m:rPr/>
            <w:rPr>
              <w:color w:val="auto"/>
            </w:rPr>
            <m:t>+∇⋅</m:t>
          </m:r>
          <m:d>
            <m:dPr>
              <m:ctrlPr>
                <w:rPr>
                  <w:color w:val="auto"/>
                </w:rPr>
              </m:ctrlPr>
            </m:dPr>
            <m:e>
              <m:f>
                <m:fPr>
                  <m:ctrlPr>
                    <w:rPr>
                      <w:color w:val="auto"/>
                    </w:rPr>
                  </m:ctrlPr>
                </m:fPr>
                <m:num>
                  <m:sSub>
                    <m:sSubPr>
                      <m:ctrlPr>
                        <w:rPr>
                          <w:color w:val="auto"/>
                        </w:rPr>
                      </m:ctrlPr>
                    </m:sSubPr>
                    <m:e>
                      <m:r>
                        <m:rPr/>
                        <w:rPr>
                          <w:color w:val="auto"/>
                        </w:rPr>
                        <m:t>R</m:t>
                      </m:r>
                      <m:ctrlPr>
                        <w:rPr>
                          <w:color w:val="auto"/>
                        </w:rPr>
                      </m:ctrlPr>
                    </m:e>
                    <m:sub>
                      <m:r>
                        <m:rPr/>
                        <w:rPr>
                          <w:color w:val="auto"/>
                        </w:rPr>
                        <m:t>s</m:t>
                      </m:r>
                      <m:ctrlPr>
                        <w:rPr>
                          <w:color w:val="auto"/>
                        </w:rPr>
                      </m:ctrlPr>
                    </m:sub>
                  </m:sSub>
                  <m:sSub>
                    <m:sSubPr>
                      <m:ctrlPr>
                        <w:rPr>
                          <w:color w:val="auto"/>
                        </w:rPr>
                      </m:ctrlPr>
                    </m:sSubPr>
                    <m:e>
                      <m:r>
                        <m:rPr/>
                        <w:rPr>
                          <w:color w:val="auto"/>
                        </w:rPr>
                        <m:t>k</m:t>
                      </m:r>
                      <m:ctrlPr>
                        <w:rPr>
                          <w:color w:val="auto"/>
                        </w:rPr>
                      </m:ctrlPr>
                    </m:e>
                    <m:sub>
                      <m:r>
                        <m:rPr/>
                        <w:rPr>
                          <w:color w:val="auto"/>
                        </w:rPr>
                        <m:t>ro</m:t>
                      </m:r>
                      <m:ctrlPr>
                        <w:rPr>
                          <w:color w:val="auto"/>
                        </w:rPr>
                      </m:ctrlPr>
                    </m:sub>
                  </m:sSub>
                  <m:ctrlPr>
                    <w:rPr>
                      <w:color w:val="auto"/>
                    </w:rPr>
                  </m:ctrlPr>
                </m:num>
                <m:den>
                  <m:sSub>
                    <m:sSubPr>
                      <m:ctrlPr>
                        <w:rPr>
                          <w:color w:val="auto"/>
                        </w:rPr>
                      </m:ctrlPr>
                    </m:sSubPr>
                    <m:e>
                      <m:r>
                        <m:rPr/>
                        <w:rPr>
                          <w:color w:val="auto"/>
                        </w:rPr>
                        <m:t>μ</m:t>
                      </m:r>
                      <m:ctrlPr>
                        <w:rPr>
                          <w:color w:val="auto"/>
                        </w:rPr>
                      </m:ctrlPr>
                    </m:e>
                    <m:sub>
                      <m:r>
                        <m:rPr/>
                        <w:rPr>
                          <w:color w:val="auto"/>
                        </w:rPr>
                        <m:t>o</m:t>
                      </m:r>
                      <m:ctrlPr>
                        <w:rPr>
                          <w:color w:val="auto"/>
                        </w:rPr>
                      </m:ctrlPr>
                    </m:sub>
                  </m:sSub>
                  <m:sSub>
                    <m:sSubPr>
                      <m:ctrlPr>
                        <w:rPr>
                          <w:color w:val="auto"/>
                        </w:rPr>
                      </m:ctrlPr>
                    </m:sSubPr>
                    <m:e>
                      <m:r>
                        <m:rPr/>
                        <w:rPr>
                          <w:color w:val="auto"/>
                        </w:rPr>
                        <m:t>B</m:t>
                      </m:r>
                      <m:ctrlPr>
                        <w:rPr>
                          <w:color w:val="auto"/>
                        </w:rPr>
                      </m:ctrlPr>
                    </m:e>
                    <m:sub>
                      <m:r>
                        <m:rPr/>
                        <w:rPr>
                          <w:color w:val="auto"/>
                        </w:rPr>
                        <m:t>o</m:t>
                      </m:r>
                      <m:ctrlPr>
                        <w:rPr>
                          <w:color w:val="auto"/>
                        </w:rPr>
                      </m:ctrlPr>
                    </m:sub>
                  </m:sSub>
                  <m:ctrlPr>
                    <w:rPr>
                      <w:color w:val="auto"/>
                    </w:rPr>
                  </m:ctrlPr>
                </m:den>
              </m:f>
              <m:r>
                <m:rPr>
                  <m:sty m:val="b"/>
                </m:rPr>
                <w:rPr>
                  <w:color w:val="auto"/>
                </w:rPr>
                <m:t>K</m:t>
              </m:r>
              <m:r>
                <m:rPr/>
                <w:rPr>
                  <w:color w:val="auto"/>
                </w:rPr>
                <m:t>(∇p−</m:t>
              </m:r>
              <m:sSub>
                <m:sSubPr>
                  <m:ctrlPr>
                    <w:rPr>
                      <w:color w:val="auto"/>
                    </w:rPr>
                  </m:ctrlPr>
                </m:sSubPr>
                <m:e>
                  <m:r>
                    <m:rPr/>
                    <w:rPr>
                      <w:color w:val="auto"/>
                    </w:rPr>
                    <m:t>ρ</m:t>
                  </m:r>
                  <m:ctrlPr>
                    <w:rPr>
                      <w:color w:val="auto"/>
                    </w:rPr>
                  </m:ctrlPr>
                </m:e>
                <m:sub>
                  <m:r>
                    <m:rPr/>
                    <w:rPr>
                      <w:color w:val="auto"/>
                    </w:rPr>
                    <m:t>o</m:t>
                  </m:r>
                  <m:ctrlPr>
                    <w:rPr>
                      <w:color w:val="auto"/>
                    </w:rPr>
                  </m:ctrlPr>
                </m:sub>
              </m:sSub>
              <m:r>
                <m:rPr/>
                <w:rPr>
                  <w:color w:val="auto"/>
                </w:rPr>
                <m:t>g∇z)</m:t>
              </m:r>
              <m:ctrlPr>
                <w:rPr>
                  <w:color w:val="auto"/>
                </w:rPr>
              </m:ctrlPr>
            </m:e>
          </m:d>
          <m:r>
            <m:rPr/>
            <w:rPr>
              <w:color w:val="auto"/>
            </w:rPr>
            <m:t>+</m:t>
          </m:r>
          <m:f>
            <m:fPr>
              <m:ctrlPr>
                <w:rPr>
                  <w:color w:val="auto"/>
                </w:rPr>
              </m:ctrlPr>
            </m:fPr>
            <m:num>
              <m:sSub>
                <m:sSubPr>
                  <m:ctrlPr>
                    <w:rPr>
                      <w:color w:val="auto"/>
                    </w:rPr>
                  </m:ctrlPr>
                </m:sSubPr>
                <m:e>
                  <m:r>
                    <m:rPr/>
                    <w:rPr>
                      <w:color w:val="auto"/>
                    </w:rPr>
                    <m:t>q</m:t>
                  </m:r>
                  <m:ctrlPr>
                    <w:rPr>
                      <w:color w:val="auto"/>
                    </w:rPr>
                  </m:ctrlPr>
                </m:e>
                <m:sub>
                  <m:r>
                    <m:rPr/>
                    <w:rPr>
                      <w:color w:val="auto"/>
                    </w:rPr>
                    <m:t>g</m:t>
                  </m:r>
                  <m:ctrlPr>
                    <w:rPr>
                      <w:color w:val="auto"/>
                    </w:rPr>
                  </m:ctrlPr>
                </m:sub>
              </m:sSub>
              <m:ctrlPr>
                <w:rPr>
                  <w:color w:val="auto"/>
                </w:rPr>
              </m:ctrlPr>
            </m:num>
            <m:den>
              <m:sSub>
                <m:sSubPr>
                  <m:ctrlPr>
                    <w:rPr>
                      <w:color w:val="auto"/>
                    </w:rPr>
                  </m:ctrlPr>
                </m:sSubPr>
                <m:e>
                  <m:r>
                    <m:rPr/>
                    <w:rPr>
                      <w:color w:val="auto"/>
                    </w:rPr>
                    <m:t>B</m:t>
                  </m:r>
                  <m:ctrlPr>
                    <w:rPr>
                      <w:color w:val="auto"/>
                    </w:rPr>
                  </m:ctrlPr>
                </m:e>
                <m:sub>
                  <m:r>
                    <m:rPr/>
                    <w:rPr>
                      <w:color w:val="auto"/>
                    </w:rPr>
                    <m:t>g</m:t>
                  </m:r>
                  <m:ctrlPr>
                    <w:rPr>
                      <w:color w:val="auto"/>
                    </w:rPr>
                  </m:ctrlPr>
                </m:sub>
              </m:sSub>
              <m:ctrlPr>
                <w:rPr>
                  <w:color w:val="auto"/>
                </w:rPr>
              </m:ctrlPr>
            </m:den>
          </m:f>
          <m:r>
            <m:rPr/>
            <w:rPr>
              <w:color w:val="auto"/>
            </w:rPr>
            <m:t>+</m:t>
          </m:r>
          <m:f>
            <m:fPr>
              <m:ctrlPr>
                <w:rPr>
                  <w:color w:val="auto"/>
                </w:rPr>
              </m:ctrlPr>
            </m:fPr>
            <m:num>
              <m:sSub>
                <m:sSubPr>
                  <m:ctrlPr>
                    <w:rPr>
                      <w:color w:val="auto"/>
                    </w:rPr>
                  </m:ctrlPr>
                </m:sSubPr>
                <m:e>
                  <m:r>
                    <m:rPr/>
                    <w:rPr>
                      <w:color w:val="auto"/>
                    </w:rPr>
                    <m:t>R</m:t>
                  </m:r>
                  <m:ctrlPr>
                    <w:rPr>
                      <w:color w:val="auto"/>
                    </w:rPr>
                  </m:ctrlPr>
                </m:e>
                <m:sub>
                  <m:r>
                    <m:rPr/>
                    <w:rPr>
                      <w:color w:val="auto"/>
                    </w:rPr>
                    <m:t>s</m:t>
                  </m:r>
                  <m:ctrlPr>
                    <w:rPr>
                      <w:color w:val="auto"/>
                    </w:rPr>
                  </m:ctrlPr>
                </m:sub>
              </m:sSub>
              <m:sSub>
                <m:sSubPr>
                  <m:ctrlPr>
                    <w:rPr>
                      <w:color w:val="auto"/>
                    </w:rPr>
                  </m:ctrlPr>
                </m:sSubPr>
                <m:e>
                  <m:r>
                    <m:rPr/>
                    <w:rPr>
                      <w:color w:val="auto"/>
                    </w:rPr>
                    <m:t>q</m:t>
                  </m:r>
                  <m:ctrlPr>
                    <w:rPr>
                      <w:color w:val="auto"/>
                    </w:rPr>
                  </m:ctrlPr>
                </m:e>
                <m:sub>
                  <m:r>
                    <m:rPr/>
                    <w:rPr>
                      <w:color w:val="auto"/>
                    </w:rPr>
                    <m:t>o</m:t>
                  </m:r>
                  <m:ctrlPr>
                    <w:rPr>
                      <w:color w:val="auto"/>
                    </w:rPr>
                  </m:ctrlPr>
                </m:sub>
              </m:sSub>
              <m:ctrlPr>
                <w:rPr>
                  <w:color w:val="auto"/>
                </w:rPr>
              </m:ctrlPr>
            </m:num>
            <m:den>
              <m:sSub>
                <m:sSubPr>
                  <m:ctrlPr>
                    <w:rPr>
                      <w:color w:val="auto"/>
                    </w:rPr>
                  </m:ctrlPr>
                </m:sSubPr>
                <m:e>
                  <m:r>
                    <m:rPr/>
                    <w:rPr>
                      <w:color w:val="auto"/>
                    </w:rPr>
                    <m:t>B</m:t>
                  </m:r>
                  <m:ctrlPr>
                    <w:rPr>
                      <w:color w:val="auto"/>
                    </w:rPr>
                  </m:ctrlPr>
                </m:e>
                <m:sub>
                  <m:r>
                    <m:rPr/>
                    <w:rPr>
                      <w:color w:val="auto"/>
                    </w:rPr>
                    <m:t>o</m:t>
                  </m:r>
                  <m:ctrlPr>
                    <w:rPr>
                      <w:color w:val="auto"/>
                    </w:rPr>
                  </m:ctrlPr>
                </m:sub>
              </m:sSub>
              <m:ctrlPr>
                <w:rPr>
                  <w:color w:val="auto"/>
                </w:rPr>
              </m:ctrlPr>
            </m:den>
          </m:f>
          <m:r>
            <m:rPr/>
            <w:rPr>
              <w:color w:val="auto"/>
            </w:rPr>
            <m:t>  (5)</m:t>
          </m:r>
        </m:oMath>
      </m:oMathPara>
    </w:p>
    <w:p w14:paraId="67362A68">
      <w:pPr>
        <w:pStyle w:val="23"/>
        <w:spacing w:before="0" w:after="120"/>
        <w:ind w:firstLine="480" w:firstLineChars="200"/>
        <w:jc w:val="both"/>
        <w:rPr>
          <w:color w:val="auto"/>
        </w:rPr>
      </w:pPr>
      <w:r>
        <w:rPr>
          <w:color w:val="auto"/>
        </w:rPr>
        <w:t xml:space="preserve">In Eq. (5), </w:t>
      </w:r>
      <m:oMath>
        <m:sSub>
          <m:sSubPr>
            <m:ctrlPr>
              <w:rPr>
                <w:color w:val="auto"/>
              </w:rPr>
            </m:ctrlPr>
          </m:sSubPr>
          <m:e>
            <m:r>
              <m:rPr/>
              <w:rPr>
                <w:color w:val="auto"/>
              </w:rPr>
              <m:t>B</m:t>
            </m:r>
            <m:ctrlPr>
              <w:rPr>
                <w:color w:val="auto"/>
              </w:rPr>
            </m:ctrlPr>
          </m:e>
          <m:sub>
            <m:r>
              <m:rPr/>
              <w:rPr>
                <w:color w:val="auto"/>
              </w:rPr>
              <m:t>o</m:t>
            </m:r>
            <m:ctrlPr>
              <w:rPr>
                <w:color w:val="auto"/>
              </w:rPr>
            </m:ctrlPr>
          </m:sub>
        </m:sSub>
      </m:oMath>
      <w:r>
        <w:rPr>
          <w:color w:val="auto"/>
        </w:rPr>
        <w:t xml:space="preserve"> and </w:t>
      </w:r>
      <m:oMath>
        <m:sSub>
          <m:sSubPr>
            <m:ctrlPr>
              <w:rPr>
                <w:color w:val="auto"/>
              </w:rPr>
            </m:ctrlPr>
          </m:sSubPr>
          <m:e>
            <m:r>
              <m:rPr/>
              <w:rPr>
                <w:color w:val="auto"/>
              </w:rPr>
              <m:t>B</m:t>
            </m:r>
            <m:ctrlPr>
              <w:rPr>
                <w:color w:val="auto"/>
              </w:rPr>
            </m:ctrlPr>
          </m:e>
          <m:sub>
            <m:r>
              <m:rPr/>
              <w:rPr>
                <w:color w:val="auto"/>
              </w:rPr>
              <m:t>g</m:t>
            </m:r>
            <m:ctrlPr>
              <w:rPr>
                <w:color w:val="auto"/>
              </w:rPr>
            </m:ctrlPr>
          </m:sub>
        </m:sSub>
      </m:oMath>
      <w:r>
        <w:rPr>
          <w:color w:val="auto"/>
        </w:rPr>
        <w:t xml:space="preserve"> denote the oil and gas formation volume factors, respectively, and </w:t>
      </w:r>
      <m:oMath>
        <m:sSub>
          <m:sSubPr>
            <m:ctrlPr>
              <w:rPr>
                <w:color w:val="auto"/>
              </w:rPr>
            </m:ctrlPr>
          </m:sSubPr>
          <m:e>
            <m:r>
              <m:rPr/>
              <w:rPr>
                <w:color w:val="auto"/>
              </w:rPr>
              <m:t>R</m:t>
            </m:r>
            <m:ctrlPr>
              <w:rPr>
                <w:color w:val="auto"/>
              </w:rPr>
            </m:ctrlPr>
          </m:e>
          <m:sub>
            <m:r>
              <m:rPr/>
              <w:rPr>
                <w:color w:val="auto"/>
              </w:rPr>
              <m:t>s</m:t>
            </m:r>
            <m:ctrlPr>
              <w:rPr>
                <w:color w:val="auto"/>
              </w:rPr>
            </m:ctrlPr>
          </m:sub>
        </m:sSub>
      </m:oMath>
      <w:r>
        <w:rPr>
          <w:color w:val="auto"/>
        </w:rPr>
        <w:t xml:space="preserve"> represents the solution gas–oil ratio. Together with the oil and water conservation statements (Eq. (1)), this completes the system of governing equations. We note that the vaporized oil–gas ratio </w:t>
      </w:r>
      <m:oMath>
        <m:sSub>
          <m:sSubPr>
            <m:ctrlPr>
              <w:rPr>
                <w:color w:val="auto"/>
              </w:rPr>
            </m:ctrlPr>
          </m:sSubPr>
          <m:e>
            <m:r>
              <m:rPr/>
              <w:rPr>
                <w:color w:val="auto"/>
              </w:rPr>
              <m:t>R</m:t>
            </m:r>
            <m:ctrlPr>
              <w:rPr>
                <w:color w:val="auto"/>
              </w:rPr>
            </m:ctrlPr>
          </m:e>
          <m:sub>
            <m:r>
              <m:rPr/>
              <w:rPr>
                <w:color w:val="auto"/>
              </w:rPr>
              <m:t>v</m:t>
            </m:r>
            <m:ctrlPr>
              <w:rPr>
                <w:color w:val="auto"/>
              </w:rPr>
            </m:ctrlPr>
          </m:sub>
        </m:sSub>
      </m:oMath>
      <w:r>
        <w:rPr>
          <w:color w:val="auto"/>
        </w:rPr>
        <w:t xml:space="preserve"> is neglected, which is appropriate for black-oil systems operating below the critical point where oil vaporization into the gas phase is negligible.</w:t>
      </w:r>
    </w:p>
    <w:p w14:paraId="6460963F">
      <w:pPr>
        <w:pStyle w:val="3"/>
        <w:spacing w:before="0" w:after="120"/>
        <w:ind w:firstLine="480" w:firstLineChars="200"/>
        <w:jc w:val="center"/>
        <w:rPr>
          <w:color w:val="auto"/>
        </w:rPr>
      </w:pPr>
      <w:r>
        <w:rPr>
          <w:b/>
          <w:color w:val="auto"/>
        </w:rPr>
        <w:t>Table 2: Primary physical variables and representative shale-oil ranges.</w:t>
      </w:r>
    </w:p>
    <w:tbl>
      <w:tblPr>
        <w:tblStyle w:val="28"/>
        <w:tblW w:w="8851" w:type="dxa"/>
        <w:jc w:val="center"/>
        <w:tblLayout w:type="autofit"/>
        <w:tblCellMar>
          <w:top w:w="0" w:type="dxa"/>
          <w:left w:w="108" w:type="dxa"/>
          <w:bottom w:w="0" w:type="dxa"/>
          <w:right w:w="108" w:type="dxa"/>
        </w:tblCellMar>
      </w:tblPr>
      <w:tblGrid>
        <w:gridCol w:w="1205"/>
        <w:gridCol w:w="3946"/>
        <w:gridCol w:w="2306"/>
        <w:gridCol w:w="1394"/>
      </w:tblGrid>
      <w:tr w14:paraId="41B2495D">
        <w:tblPrEx>
          <w:tblCellMar>
            <w:top w:w="0" w:type="dxa"/>
            <w:left w:w="108" w:type="dxa"/>
            <w:bottom w:w="0" w:type="dxa"/>
            <w:right w:w="108" w:type="dxa"/>
          </w:tblCellMar>
        </w:tblPrEx>
        <w:trPr>
          <w:trHeight w:val="0" w:hRule="atLeast"/>
          <w:tblHeader/>
          <w:jc w:val="center"/>
        </w:trPr>
        <w:tc>
          <w:tcPr>
            <w:tcW w:w="0" w:type="auto"/>
            <w:tcBorders>
              <w:bottom w:val="single" w:color="auto" w:sz="0" w:space="0"/>
            </w:tcBorders>
            <w:vAlign w:val="center"/>
          </w:tcPr>
          <w:p w14:paraId="3D456BF5">
            <w:pPr>
              <w:pStyle w:val="24"/>
              <w:snapToGrid w:val="0"/>
              <w:ind w:left="0" w:leftChars="0" w:right="0" w:rightChars="0" w:firstLine="0" w:firstLineChars="0"/>
              <w:jc w:val="center"/>
              <w:rPr>
                <w:b/>
                <w:color w:val="auto"/>
              </w:rPr>
            </w:pPr>
            <w:r>
              <w:rPr>
                <w:b/>
                <w:color w:val="auto"/>
              </w:rPr>
              <w:t>Symbol</w:t>
            </w:r>
          </w:p>
        </w:tc>
        <w:tc>
          <w:tcPr>
            <w:tcW w:w="0" w:type="auto"/>
            <w:tcBorders>
              <w:bottom w:val="single" w:color="auto" w:sz="0" w:space="0"/>
            </w:tcBorders>
            <w:vAlign w:val="center"/>
          </w:tcPr>
          <w:p w14:paraId="3F2F36A6">
            <w:pPr>
              <w:pStyle w:val="24"/>
              <w:snapToGrid w:val="0"/>
              <w:ind w:left="0" w:leftChars="0" w:right="0" w:rightChars="0" w:firstLine="0" w:firstLineChars="0"/>
              <w:jc w:val="center"/>
              <w:rPr>
                <w:b/>
                <w:color w:val="auto"/>
              </w:rPr>
            </w:pPr>
            <w:r>
              <w:rPr>
                <w:b/>
                <w:color w:val="auto"/>
              </w:rPr>
              <w:t>Meaning</w:t>
            </w:r>
          </w:p>
        </w:tc>
        <w:tc>
          <w:tcPr>
            <w:tcW w:w="0" w:type="auto"/>
            <w:tcBorders>
              <w:bottom w:val="single" w:color="auto" w:sz="0" w:space="0"/>
            </w:tcBorders>
            <w:vAlign w:val="center"/>
          </w:tcPr>
          <w:p w14:paraId="45EABE90">
            <w:pPr>
              <w:pStyle w:val="24"/>
              <w:snapToGrid w:val="0"/>
              <w:ind w:left="0" w:leftChars="0" w:right="0" w:rightChars="0" w:firstLine="0" w:firstLineChars="0"/>
              <w:jc w:val="center"/>
              <w:rPr>
                <w:b/>
                <w:color w:val="auto"/>
              </w:rPr>
            </w:pPr>
            <w:r>
              <w:rPr>
                <w:b/>
                <w:color w:val="auto"/>
              </w:rPr>
              <w:t>Typical Range</w:t>
            </w:r>
          </w:p>
        </w:tc>
        <w:tc>
          <w:tcPr>
            <w:tcW w:w="1394" w:type="dxa"/>
            <w:tcBorders>
              <w:bottom w:val="single" w:color="auto" w:sz="0" w:space="0"/>
            </w:tcBorders>
            <w:vAlign w:val="center"/>
          </w:tcPr>
          <w:p w14:paraId="0B8A316C">
            <w:pPr>
              <w:pStyle w:val="24"/>
              <w:snapToGrid w:val="0"/>
              <w:ind w:left="0" w:leftChars="0" w:right="0" w:rightChars="0" w:firstLine="0" w:firstLineChars="0"/>
              <w:jc w:val="center"/>
              <w:rPr>
                <w:b/>
                <w:color w:val="auto"/>
              </w:rPr>
            </w:pPr>
            <w:r>
              <w:rPr>
                <w:b/>
                <w:color w:val="auto"/>
              </w:rPr>
              <w:t>Units</w:t>
            </w:r>
          </w:p>
        </w:tc>
      </w:tr>
      <w:tr w14:paraId="3F3A376C">
        <w:tblPrEx>
          <w:tblCellMar>
            <w:top w:w="0" w:type="dxa"/>
            <w:left w:w="108" w:type="dxa"/>
            <w:bottom w:w="0" w:type="dxa"/>
            <w:right w:w="108" w:type="dxa"/>
          </w:tblCellMar>
        </w:tblPrEx>
        <w:trPr>
          <w:trHeight w:val="0" w:hRule="atLeast"/>
          <w:jc w:val="center"/>
        </w:trPr>
        <w:tc>
          <w:tcPr>
            <w:tcW w:w="0" w:type="auto"/>
            <w:vAlign w:val="center"/>
          </w:tcPr>
          <w:p w14:paraId="7F986E15">
            <w:pPr>
              <w:pStyle w:val="24"/>
              <w:snapToGrid w:val="0"/>
              <w:ind w:left="0" w:leftChars="0" w:right="0" w:rightChars="0" w:firstLine="0" w:firstLineChars="0"/>
              <w:jc w:val="center"/>
              <w:rPr>
                <w:color w:val="auto"/>
              </w:rPr>
            </w:pPr>
            <m:oMathPara>
              <m:oMath>
                <m:r>
                  <m:rPr>
                    <m:sty m:val="b"/>
                  </m:rPr>
                  <w:rPr>
                    <w:color w:val="auto"/>
                  </w:rPr>
                  <m:t>K</m:t>
                </m:r>
              </m:oMath>
            </m:oMathPara>
          </w:p>
        </w:tc>
        <w:tc>
          <w:tcPr>
            <w:tcW w:w="0" w:type="auto"/>
            <w:vAlign w:val="center"/>
          </w:tcPr>
          <w:p w14:paraId="723D6375">
            <w:pPr>
              <w:pStyle w:val="24"/>
              <w:snapToGrid w:val="0"/>
              <w:ind w:left="0" w:leftChars="0" w:right="0" w:rightChars="0" w:firstLine="0" w:firstLineChars="0"/>
              <w:jc w:val="left"/>
              <w:rPr>
                <w:color w:val="auto"/>
              </w:rPr>
            </w:pPr>
            <w:r>
              <w:rPr>
                <w:color w:val="auto"/>
              </w:rPr>
              <w:t>Absolute permeability tensor</w:t>
            </w:r>
          </w:p>
        </w:tc>
        <w:tc>
          <w:tcPr>
            <w:tcW w:w="0" w:type="auto"/>
            <w:vAlign w:val="center"/>
          </w:tcPr>
          <w:p w14:paraId="636E3A41">
            <w:pPr>
              <w:pStyle w:val="24"/>
              <w:snapToGrid w:val="0"/>
              <w:ind w:left="0" w:leftChars="0" w:right="0" w:rightChars="0" w:firstLine="0" w:firstLineChars="0"/>
              <w:jc w:val="left"/>
              <w:rPr>
                <w:color w:val="auto"/>
              </w:rPr>
            </w:pPr>
            <m:oMath>
              <m:sSup>
                <m:sSupPr>
                  <m:ctrlPr>
                    <w:rPr>
                      <w:color w:val="auto"/>
                    </w:rPr>
                  </m:ctrlPr>
                </m:sSupPr>
                <m:e>
                  <m:r>
                    <m:rPr/>
                    <w:rPr>
                      <w:color w:val="auto"/>
                    </w:rPr>
                    <m:t>10</m:t>
                  </m:r>
                  <m:ctrlPr>
                    <w:rPr>
                      <w:color w:val="auto"/>
                    </w:rPr>
                  </m:ctrlPr>
                </m:e>
                <m:sup>
                  <m:r>
                    <m:rPr/>
                    <w:rPr>
                      <w:color w:val="auto"/>
                    </w:rPr>
                    <m:t>−3</m:t>
                  </m:r>
                  <m:ctrlPr>
                    <w:rPr>
                      <w:color w:val="auto"/>
                    </w:rPr>
                  </m:ctrlPr>
                </m:sup>
              </m:sSup>
            </m:oMath>
            <w:r>
              <w:rPr>
                <w:color w:val="auto"/>
              </w:rPr>
              <w:t>–</w:t>
            </w:r>
            <m:oMath>
              <m:sSup>
                <m:sSupPr>
                  <m:ctrlPr>
                    <w:rPr>
                      <w:color w:val="auto"/>
                    </w:rPr>
                  </m:ctrlPr>
                </m:sSupPr>
                <m:e>
                  <m:r>
                    <m:rPr/>
                    <w:rPr>
                      <w:color w:val="auto"/>
                    </w:rPr>
                    <m:t>10</m:t>
                  </m:r>
                  <m:ctrlPr>
                    <w:rPr>
                      <w:color w:val="auto"/>
                    </w:rPr>
                  </m:ctrlPr>
                </m:e>
                <m:sup>
                  <m:r>
                    <m:rPr/>
                    <w:rPr>
                      <w:color w:val="auto"/>
                    </w:rPr>
                    <m:t>−1</m:t>
                  </m:r>
                  <m:ctrlPr>
                    <w:rPr>
                      <w:color w:val="auto"/>
                    </w:rPr>
                  </m:ctrlPr>
                </m:sup>
              </m:sSup>
            </m:oMath>
          </w:p>
        </w:tc>
        <w:tc>
          <w:tcPr>
            <w:tcW w:w="1394" w:type="dxa"/>
            <w:vAlign w:val="center"/>
          </w:tcPr>
          <w:p w14:paraId="46F820BC">
            <w:pPr>
              <w:pStyle w:val="24"/>
              <w:snapToGrid w:val="0"/>
              <w:ind w:left="0" w:leftChars="0" w:right="0" w:rightChars="0" w:firstLine="0" w:firstLineChars="0"/>
              <w:jc w:val="left"/>
              <w:rPr>
                <w:color w:val="auto"/>
              </w:rPr>
            </w:pPr>
            <w:r>
              <w:rPr>
                <w:color w:val="auto"/>
              </w:rPr>
              <w:t>mD</w:t>
            </w:r>
          </w:p>
        </w:tc>
      </w:tr>
      <w:tr w14:paraId="02D1DD63">
        <w:tblPrEx>
          <w:tblCellMar>
            <w:top w:w="0" w:type="dxa"/>
            <w:left w:w="108" w:type="dxa"/>
            <w:bottom w:w="0" w:type="dxa"/>
            <w:right w:w="108" w:type="dxa"/>
          </w:tblCellMar>
        </w:tblPrEx>
        <w:trPr>
          <w:trHeight w:val="0" w:hRule="atLeast"/>
          <w:jc w:val="center"/>
        </w:trPr>
        <w:tc>
          <w:tcPr>
            <w:tcW w:w="0" w:type="auto"/>
            <w:vAlign w:val="center"/>
          </w:tcPr>
          <w:p w14:paraId="56B5BA6A">
            <w:pPr>
              <w:pStyle w:val="24"/>
              <w:snapToGrid w:val="0"/>
              <w:ind w:left="0" w:leftChars="0" w:right="0" w:rightChars="0" w:firstLine="0" w:firstLineChars="0"/>
              <w:jc w:val="center"/>
              <w:rPr>
                <w:color w:val="auto"/>
              </w:rPr>
            </w:pPr>
            <m:oMathPara>
              <m:oMath>
                <m:r>
                  <m:rPr/>
                  <w:rPr>
                    <w:color w:val="auto"/>
                  </w:rPr>
                  <m:t>ϕ</m:t>
                </m:r>
              </m:oMath>
            </m:oMathPara>
          </w:p>
        </w:tc>
        <w:tc>
          <w:tcPr>
            <w:tcW w:w="0" w:type="auto"/>
            <w:vAlign w:val="center"/>
          </w:tcPr>
          <w:p w14:paraId="6BCF7361">
            <w:pPr>
              <w:pStyle w:val="24"/>
              <w:snapToGrid w:val="0"/>
              <w:ind w:left="0" w:leftChars="0" w:right="0" w:rightChars="0" w:firstLine="0" w:firstLineChars="0"/>
              <w:jc w:val="left"/>
              <w:rPr>
                <w:color w:val="auto"/>
              </w:rPr>
            </w:pPr>
            <w:r>
              <w:rPr>
                <w:color w:val="auto"/>
              </w:rPr>
              <w:t>Porosity</w:t>
            </w:r>
          </w:p>
        </w:tc>
        <w:tc>
          <w:tcPr>
            <w:tcW w:w="0" w:type="auto"/>
            <w:vAlign w:val="center"/>
          </w:tcPr>
          <w:p w14:paraId="5B587E94">
            <w:pPr>
              <w:pStyle w:val="24"/>
              <w:snapToGrid w:val="0"/>
              <w:ind w:left="0" w:leftChars="0" w:right="0" w:rightChars="0" w:firstLine="0" w:firstLineChars="0"/>
              <w:jc w:val="left"/>
              <w:rPr>
                <w:color w:val="auto"/>
              </w:rPr>
            </w:pPr>
            <w:r>
              <w:rPr>
                <w:color w:val="auto"/>
              </w:rPr>
              <w:t>0.04–0.12</w:t>
            </w:r>
          </w:p>
        </w:tc>
        <w:tc>
          <w:tcPr>
            <w:tcW w:w="1394" w:type="dxa"/>
            <w:vAlign w:val="center"/>
          </w:tcPr>
          <w:p w14:paraId="4669F05F">
            <w:pPr>
              <w:pStyle w:val="24"/>
              <w:snapToGrid w:val="0"/>
              <w:ind w:left="0" w:leftChars="0" w:right="0" w:rightChars="0" w:firstLine="0" w:firstLineChars="0"/>
              <w:jc w:val="left"/>
              <w:rPr>
                <w:color w:val="auto"/>
              </w:rPr>
            </w:pPr>
            <w:r>
              <w:rPr>
                <w:color w:val="auto"/>
              </w:rPr>
              <w:t>—</w:t>
            </w:r>
          </w:p>
        </w:tc>
      </w:tr>
      <w:tr w14:paraId="05E09D38">
        <w:tblPrEx>
          <w:tblCellMar>
            <w:top w:w="0" w:type="dxa"/>
            <w:left w:w="108" w:type="dxa"/>
            <w:bottom w:w="0" w:type="dxa"/>
            <w:right w:w="108" w:type="dxa"/>
          </w:tblCellMar>
        </w:tblPrEx>
        <w:trPr>
          <w:trHeight w:val="0" w:hRule="atLeast"/>
          <w:jc w:val="center"/>
        </w:trPr>
        <w:tc>
          <w:tcPr>
            <w:tcW w:w="0" w:type="auto"/>
            <w:vAlign w:val="center"/>
          </w:tcPr>
          <w:p w14:paraId="53530DE2">
            <w:pPr>
              <w:pStyle w:val="24"/>
              <w:snapToGrid w:val="0"/>
              <w:ind w:left="0" w:leftChars="0" w:right="0" w:rightChars="0" w:firstLine="0" w:firstLineChars="0"/>
              <w:jc w:val="center"/>
              <w:rPr>
                <w:color w:val="auto"/>
              </w:rPr>
            </w:pPr>
            <m:oMathPara>
              <m:oMath>
                <m:sSub>
                  <m:sSubPr>
                    <m:ctrlPr>
                      <w:rPr>
                        <w:color w:val="auto"/>
                      </w:rPr>
                    </m:ctrlPr>
                  </m:sSubPr>
                  <m:e>
                    <m:r>
                      <m:rPr/>
                      <w:rPr>
                        <w:color w:val="auto"/>
                      </w:rPr>
                      <m:t>R</m:t>
                    </m:r>
                    <m:ctrlPr>
                      <w:rPr>
                        <w:color w:val="auto"/>
                      </w:rPr>
                    </m:ctrlPr>
                  </m:e>
                  <m:sub>
                    <m:r>
                      <m:rPr/>
                      <w:rPr>
                        <w:color w:val="auto"/>
                      </w:rPr>
                      <m:t>s</m:t>
                    </m:r>
                    <m:ctrlPr>
                      <w:rPr>
                        <w:color w:val="auto"/>
                      </w:rPr>
                    </m:ctrlPr>
                  </m:sub>
                </m:sSub>
              </m:oMath>
            </m:oMathPara>
          </w:p>
        </w:tc>
        <w:tc>
          <w:tcPr>
            <w:tcW w:w="0" w:type="auto"/>
            <w:vAlign w:val="center"/>
          </w:tcPr>
          <w:p w14:paraId="2478FF94">
            <w:pPr>
              <w:pStyle w:val="24"/>
              <w:snapToGrid w:val="0"/>
              <w:ind w:left="0" w:leftChars="0" w:right="0" w:rightChars="0" w:firstLine="0" w:firstLineChars="0"/>
              <w:jc w:val="left"/>
              <w:rPr>
                <w:color w:val="auto"/>
              </w:rPr>
            </w:pPr>
            <w:r>
              <w:rPr>
                <w:color w:val="auto"/>
              </w:rPr>
              <w:t>Solution gas–oil ratio</w:t>
            </w:r>
          </w:p>
        </w:tc>
        <w:tc>
          <w:tcPr>
            <w:tcW w:w="0" w:type="auto"/>
            <w:vAlign w:val="center"/>
          </w:tcPr>
          <w:p w14:paraId="52F7985C">
            <w:pPr>
              <w:pStyle w:val="24"/>
              <w:snapToGrid w:val="0"/>
              <w:ind w:left="0" w:leftChars="0" w:right="0" w:rightChars="0" w:firstLine="0" w:firstLineChars="0"/>
              <w:jc w:val="left"/>
              <w:rPr>
                <w:color w:val="auto"/>
              </w:rPr>
            </w:pPr>
            <w:r>
              <w:rPr>
                <w:color w:val="auto"/>
              </w:rPr>
              <w:t>50–200</w:t>
            </w:r>
          </w:p>
        </w:tc>
        <w:tc>
          <w:tcPr>
            <w:tcW w:w="1394" w:type="dxa"/>
            <w:vAlign w:val="center"/>
          </w:tcPr>
          <w:p w14:paraId="4EE690B9">
            <w:pPr>
              <w:pStyle w:val="24"/>
              <w:snapToGrid w:val="0"/>
              <w:ind w:left="0" w:leftChars="0" w:right="0" w:rightChars="0" w:firstLine="0" w:firstLineChars="0"/>
              <w:jc w:val="left"/>
              <w:rPr>
                <w:color w:val="auto"/>
              </w:rPr>
            </w:pPr>
            <w:r>
              <w:rPr>
                <w:color w:val="auto"/>
              </w:rPr>
              <w:t>sm³/sm³</w:t>
            </w:r>
          </w:p>
        </w:tc>
      </w:tr>
      <w:tr w14:paraId="5A34B011">
        <w:tblPrEx>
          <w:tblCellMar>
            <w:top w:w="0" w:type="dxa"/>
            <w:left w:w="108" w:type="dxa"/>
            <w:bottom w:w="0" w:type="dxa"/>
            <w:right w:w="108" w:type="dxa"/>
          </w:tblCellMar>
        </w:tblPrEx>
        <w:trPr>
          <w:trHeight w:val="0" w:hRule="atLeast"/>
          <w:jc w:val="center"/>
        </w:trPr>
        <w:tc>
          <w:tcPr>
            <w:tcW w:w="0" w:type="auto"/>
            <w:vAlign w:val="center"/>
          </w:tcPr>
          <w:p w14:paraId="318AA814">
            <w:pPr>
              <w:pStyle w:val="24"/>
              <w:snapToGrid w:val="0"/>
              <w:ind w:left="0" w:leftChars="0" w:right="0" w:rightChars="0" w:firstLine="0" w:firstLineChars="0"/>
              <w:jc w:val="center"/>
              <w:rPr>
                <w:color w:val="auto"/>
              </w:rPr>
            </w:pPr>
            <m:oMathPara>
              <m:oMath>
                <m:sSub>
                  <m:sSubPr>
                    <m:ctrlPr>
                      <w:rPr>
                        <w:color w:val="auto"/>
                      </w:rPr>
                    </m:ctrlPr>
                  </m:sSubPr>
                  <m:e>
                    <m:r>
                      <m:rPr/>
                      <w:rPr>
                        <w:color w:val="auto"/>
                      </w:rPr>
                      <m:t>c</m:t>
                    </m:r>
                    <m:ctrlPr>
                      <w:rPr>
                        <w:color w:val="auto"/>
                      </w:rPr>
                    </m:ctrlPr>
                  </m:e>
                  <m:sub>
                    <m:r>
                      <m:rPr/>
                      <w:rPr>
                        <w:color w:val="auto"/>
                      </w:rPr>
                      <m:t>r</m:t>
                    </m:r>
                    <m:ctrlPr>
                      <w:rPr>
                        <w:color w:val="auto"/>
                      </w:rPr>
                    </m:ctrlPr>
                  </m:sub>
                </m:sSub>
              </m:oMath>
            </m:oMathPara>
          </w:p>
        </w:tc>
        <w:tc>
          <w:tcPr>
            <w:tcW w:w="0" w:type="auto"/>
            <w:vAlign w:val="center"/>
          </w:tcPr>
          <w:p w14:paraId="7D5612C7">
            <w:pPr>
              <w:pStyle w:val="24"/>
              <w:snapToGrid w:val="0"/>
              <w:ind w:left="0" w:leftChars="0" w:right="0" w:rightChars="0" w:firstLine="0" w:firstLineChars="0"/>
              <w:jc w:val="left"/>
              <w:rPr>
                <w:color w:val="auto"/>
              </w:rPr>
            </w:pPr>
            <w:r>
              <w:rPr>
                <w:color w:val="auto"/>
              </w:rPr>
              <w:t>Rock compressibility</w:t>
            </w:r>
          </w:p>
        </w:tc>
        <w:tc>
          <w:tcPr>
            <w:tcW w:w="0" w:type="auto"/>
            <w:vAlign w:val="center"/>
          </w:tcPr>
          <w:p w14:paraId="353BC0E0">
            <w:pPr>
              <w:pStyle w:val="24"/>
              <w:snapToGrid w:val="0"/>
              <w:ind w:left="0" w:leftChars="0" w:right="0" w:rightChars="0" w:firstLine="0" w:firstLineChars="0"/>
              <w:jc w:val="left"/>
              <w:rPr>
                <w:color w:val="auto"/>
              </w:rPr>
            </w:pPr>
            <m:oMath>
              <m:r>
                <m:rPr/>
                <w:rPr>
                  <w:color w:val="auto"/>
                </w:rPr>
                <m:t>3×</m:t>
              </m:r>
              <m:sSup>
                <m:sSupPr>
                  <m:ctrlPr>
                    <w:rPr>
                      <w:color w:val="auto"/>
                    </w:rPr>
                  </m:ctrlPr>
                </m:sSupPr>
                <m:e>
                  <m:r>
                    <m:rPr/>
                    <w:rPr>
                      <w:color w:val="auto"/>
                    </w:rPr>
                    <m:t>10</m:t>
                  </m:r>
                  <m:ctrlPr>
                    <w:rPr>
                      <w:color w:val="auto"/>
                    </w:rPr>
                  </m:ctrlPr>
                </m:e>
                <m:sup>
                  <m:r>
                    <m:rPr/>
                    <w:rPr>
                      <w:color w:val="auto"/>
                    </w:rPr>
                    <m:t>−6</m:t>
                  </m:r>
                  <m:ctrlPr>
                    <w:rPr>
                      <w:color w:val="auto"/>
                    </w:rPr>
                  </m:ctrlPr>
                </m:sup>
              </m:sSup>
            </m:oMath>
            <w:r>
              <w:rPr>
                <w:color w:val="auto"/>
              </w:rPr>
              <w:t>–</w:t>
            </w:r>
            <m:oMath>
              <m:r>
                <m:rPr/>
                <w:rPr>
                  <w:color w:val="auto"/>
                </w:rPr>
                <m:t>1×</m:t>
              </m:r>
              <m:sSup>
                <m:sSupPr>
                  <m:ctrlPr>
                    <w:rPr>
                      <w:color w:val="auto"/>
                    </w:rPr>
                  </m:ctrlPr>
                </m:sSupPr>
                <m:e>
                  <m:r>
                    <m:rPr/>
                    <w:rPr>
                      <w:color w:val="auto"/>
                    </w:rPr>
                    <m:t>10</m:t>
                  </m:r>
                  <m:ctrlPr>
                    <w:rPr>
                      <w:color w:val="auto"/>
                    </w:rPr>
                  </m:ctrlPr>
                </m:e>
                <m:sup>
                  <m:r>
                    <m:rPr/>
                    <w:rPr>
                      <w:color w:val="auto"/>
                    </w:rPr>
                    <m:t>−5</m:t>
                  </m:r>
                  <m:ctrlPr>
                    <w:rPr>
                      <w:color w:val="auto"/>
                    </w:rPr>
                  </m:ctrlPr>
                </m:sup>
              </m:sSup>
            </m:oMath>
          </w:p>
        </w:tc>
        <w:tc>
          <w:tcPr>
            <w:tcW w:w="1394" w:type="dxa"/>
            <w:vAlign w:val="center"/>
          </w:tcPr>
          <w:p w14:paraId="328DBCA6">
            <w:pPr>
              <w:pStyle w:val="24"/>
              <w:snapToGrid w:val="0"/>
              <w:ind w:left="0" w:leftChars="0" w:right="0" w:rightChars="0" w:firstLine="0" w:firstLineChars="0"/>
              <w:jc w:val="left"/>
              <w:rPr>
                <w:color w:val="auto"/>
              </w:rPr>
            </w:pPr>
            <w:r>
              <w:rPr>
                <w:color w:val="auto"/>
              </w:rPr>
              <w:t>psi⁻¹</w:t>
            </w:r>
          </w:p>
        </w:tc>
      </w:tr>
      <w:tr w14:paraId="42E862C6">
        <w:tblPrEx>
          <w:tblCellMar>
            <w:top w:w="0" w:type="dxa"/>
            <w:left w:w="108" w:type="dxa"/>
            <w:bottom w:w="0" w:type="dxa"/>
            <w:right w:w="108" w:type="dxa"/>
          </w:tblCellMar>
        </w:tblPrEx>
        <w:trPr>
          <w:trHeight w:val="0" w:hRule="atLeast"/>
          <w:jc w:val="center"/>
        </w:trPr>
        <w:tc>
          <w:tcPr>
            <w:tcW w:w="0" w:type="auto"/>
            <w:vAlign w:val="center"/>
          </w:tcPr>
          <w:p w14:paraId="2758B3F7">
            <w:pPr>
              <w:pStyle w:val="24"/>
              <w:snapToGrid w:val="0"/>
              <w:ind w:left="0" w:leftChars="0" w:right="0" w:rightChars="0" w:firstLine="0" w:firstLineChars="0"/>
              <w:jc w:val="center"/>
              <w:rPr>
                <w:color w:val="auto"/>
              </w:rPr>
            </w:pPr>
            <m:oMathPara>
              <m:oMath>
                <m:sSub>
                  <m:sSubPr>
                    <m:ctrlPr>
                      <w:rPr>
                        <w:color w:val="auto"/>
                      </w:rPr>
                    </m:ctrlPr>
                  </m:sSubPr>
                  <m:e>
                    <m:r>
                      <m:rPr/>
                      <w:rPr>
                        <w:color w:val="auto"/>
                      </w:rPr>
                      <m:t>a</m:t>
                    </m:r>
                    <m:ctrlPr>
                      <w:rPr>
                        <w:color w:val="auto"/>
                      </w:rPr>
                    </m:ctrlPr>
                  </m:e>
                  <m:sub>
                    <m:r>
                      <m:rPr/>
                      <w:rPr>
                        <w:color w:val="auto"/>
                      </w:rPr>
                      <m:t>f</m:t>
                    </m:r>
                    <m:ctrlPr>
                      <w:rPr>
                        <w:color w:val="auto"/>
                      </w:rPr>
                    </m:ctrlPr>
                  </m:sub>
                </m:sSub>
              </m:oMath>
            </m:oMathPara>
          </w:p>
        </w:tc>
        <w:tc>
          <w:tcPr>
            <w:tcW w:w="0" w:type="auto"/>
            <w:vAlign w:val="center"/>
          </w:tcPr>
          <w:p w14:paraId="63A1E2B9">
            <w:pPr>
              <w:pStyle w:val="24"/>
              <w:snapToGrid w:val="0"/>
              <w:ind w:left="0" w:leftChars="0" w:right="0" w:rightChars="0" w:firstLine="0" w:firstLineChars="0"/>
              <w:jc w:val="left"/>
              <w:rPr>
                <w:color w:val="auto"/>
              </w:rPr>
            </w:pPr>
            <w:r>
              <w:rPr>
                <w:color w:val="auto"/>
              </w:rPr>
              <w:t>Fracture aperture</w:t>
            </w:r>
          </w:p>
        </w:tc>
        <w:tc>
          <w:tcPr>
            <w:tcW w:w="0" w:type="auto"/>
            <w:vAlign w:val="center"/>
          </w:tcPr>
          <w:p w14:paraId="12D90B3A">
            <w:pPr>
              <w:pStyle w:val="24"/>
              <w:snapToGrid w:val="0"/>
              <w:ind w:left="0" w:leftChars="0" w:right="0" w:rightChars="0" w:firstLine="0" w:firstLineChars="0"/>
              <w:jc w:val="left"/>
              <w:rPr>
                <w:color w:val="auto"/>
              </w:rPr>
            </w:pPr>
            <w:r>
              <w:rPr>
                <w:color w:val="auto"/>
              </w:rPr>
              <w:t>1–5</w:t>
            </w:r>
          </w:p>
        </w:tc>
        <w:tc>
          <w:tcPr>
            <w:tcW w:w="1394" w:type="dxa"/>
            <w:vAlign w:val="center"/>
          </w:tcPr>
          <w:p w14:paraId="6F8D7946">
            <w:pPr>
              <w:pStyle w:val="24"/>
              <w:snapToGrid w:val="0"/>
              <w:ind w:left="0" w:leftChars="0" w:right="0" w:rightChars="0" w:firstLine="0" w:firstLineChars="0"/>
              <w:jc w:val="left"/>
              <w:rPr>
                <w:color w:val="auto"/>
              </w:rPr>
            </w:pPr>
            <w:r>
              <w:rPr>
                <w:color w:val="auto"/>
              </w:rPr>
              <w:t>mm</w:t>
            </w:r>
          </w:p>
        </w:tc>
      </w:tr>
      <w:tr w14:paraId="1CB6A927">
        <w:tblPrEx>
          <w:tblCellMar>
            <w:top w:w="0" w:type="dxa"/>
            <w:left w:w="108" w:type="dxa"/>
            <w:bottom w:w="0" w:type="dxa"/>
            <w:right w:w="108" w:type="dxa"/>
          </w:tblCellMar>
        </w:tblPrEx>
        <w:trPr>
          <w:trHeight w:val="0" w:hRule="atLeast"/>
          <w:jc w:val="center"/>
        </w:trPr>
        <w:tc>
          <w:tcPr>
            <w:tcW w:w="1205" w:type="dxa"/>
            <w:vAlign w:val="center"/>
          </w:tcPr>
          <w:p w14:paraId="7DA60DAC">
            <w:pPr>
              <w:pStyle w:val="24"/>
              <w:snapToGrid w:val="0"/>
              <w:ind w:left="0" w:leftChars="0" w:right="0" w:rightChars="0" w:firstLine="0" w:firstLineChars="0"/>
              <w:jc w:val="center"/>
              <w:rPr>
                <w:color w:val="auto"/>
              </w:rPr>
            </w:pPr>
            <m:oMathPara>
              <m:oMath>
                <m:sSub>
                  <m:sSubPr>
                    <m:ctrlPr>
                      <w:rPr>
                        <w:color w:val="auto"/>
                      </w:rPr>
                    </m:ctrlPr>
                  </m:sSubPr>
                  <m:e>
                    <m:r>
                      <m:rPr/>
                      <w:rPr>
                        <w:color w:val="auto"/>
                      </w:rPr>
                      <m:t>K</m:t>
                    </m:r>
                    <m:ctrlPr>
                      <w:rPr>
                        <w:color w:val="auto"/>
                      </w:rPr>
                    </m:ctrlPr>
                  </m:e>
                  <m:sub>
                    <m:r>
                      <m:rPr/>
                      <w:rPr>
                        <w:color w:val="auto"/>
                      </w:rPr>
                      <m:t>f</m:t>
                    </m:r>
                    <m:ctrlPr>
                      <w:rPr>
                        <w:color w:val="auto"/>
                      </w:rPr>
                    </m:ctrlPr>
                  </m:sub>
                </m:sSub>
              </m:oMath>
            </m:oMathPara>
          </w:p>
        </w:tc>
        <w:tc>
          <w:tcPr>
            <w:tcW w:w="3946" w:type="dxa"/>
            <w:vAlign w:val="center"/>
          </w:tcPr>
          <w:p w14:paraId="4533DA18">
            <w:pPr>
              <w:pStyle w:val="24"/>
              <w:snapToGrid w:val="0"/>
              <w:ind w:left="0" w:leftChars="0" w:right="0" w:rightChars="0" w:firstLine="0" w:firstLineChars="0"/>
              <w:jc w:val="left"/>
              <w:rPr>
                <w:color w:val="auto"/>
              </w:rPr>
            </w:pPr>
            <w:r>
              <w:rPr>
                <w:color w:val="auto"/>
              </w:rPr>
              <w:t>Fracture permeability</w:t>
            </w:r>
          </w:p>
        </w:tc>
        <w:tc>
          <w:tcPr>
            <w:tcW w:w="2306" w:type="dxa"/>
            <w:vAlign w:val="center"/>
          </w:tcPr>
          <w:p w14:paraId="3D6873A5">
            <w:pPr>
              <w:pStyle w:val="24"/>
              <w:snapToGrid w:val="0"/>
              <w:ind w:left="0" w:leftChars="0" w:right="0" w:rightChars="0" w:firstLine="0" w:firstLineChars="0"/>
              <w:jc w:val="left"/>
              <w:rPr>
                <w:color w:val="auto"/>
              </w:rPr>
            </w:pPr>
            <m:oMath>
              <m:sSup>
                <m:sSupPr>
                  <m:ctrlPr>
                    <w:rPr>
                      <w:color w:val="auto"/>
                    </w:rPr>
                  </m:ctrlPr>
                </m:sSupPr>
                <m:e>
                  <m:r>
                    <m:rPr/>
                    <w:rPr>
                      <w:color w:val="auto"/>
                    </w:rPr>
                    <m:t>10</m:t>
                  </m:r>
                  <m:ctrlPr>
                    <w:rPr>
                      <w:color w:val="auto"/>
                    </w:rPr>
                  </m:ctrlPr>
                </m:e>
                <m:sup>
                  <m:r>
                    <m:rPr/>
                    <w:rPr>
                      <w:color w:val="auto"/>
                    </w:rPr>
                    <m:t>3</m:t>
                  </m:r>
                  <m:ctrlPr>
                    <w:rPr>
                      <w:color w:val="auto"/>
                    </w:rPr>
                  </m:ctrlPr>
                </m:sup>
              </m:sSup>
            </m:oMath>
            <w:r>
              <w:rPr>
                <w:color w:val="auto"/>
              </w:rPr>
              <w:t>–</w:t>
            </w:r>
            <m:oMath>
              <m:sSup>
                <m:sSupPr>
                  <m:ctrlPr>
                    <w:rPr>
                      <w:color w:val="auto"/>
                    </w:rPr>
                  </m:ctrlPr>
                </m:sSupPr>
                <m:e>
                  <m:r>
                    <m:rPr/>
                    <w:rPr>
                      <w:color w:val="auto"/>
                    </w:rPr>
                    <m:t>10</m:t>
                  </m:r>
                  <m:ctrlPr>
                    <w:rPr>
                      <w:color w:val="auto"/>
                    </w:rPr>
                  </m:ctrlPr>
                </m:e>
                <m:sup>
                  <m:r>
                    <m:rPr/>
                    <w:rPr>
                      <w:color w:val="auto"/>
                    </w:rPr>
                    <m:t>6</m:t>
                  </m:r>
                  <m:ctrlPr>
                    <w:rPr>
                      <w:color w:val="auto"/>
                    </w:rPr>
                  </m:ctrlPr>
                </m:sup>
              </m:sSup>
            </m:oMath>
          </w:p>
        </w:tc>
        <w:tc>
          <w:tcPr>
            <w:tcW w:w="1394" w:type="dxa"/>
            <w:vAlign w:val="center"/>
          </w:tcPr>
          <w:p w14:paraId="3AE036D6">
            <w:pPr>
              <w:pStyle w:val="24"/>
              <w:snapToGrid w:val="0"/>
              <w:ind w:left="0" w:leftChars="0" w:right="0" w:rightChars="0" w:firstLine="0" w:firstLineChars="0"/>
              <w:jc w:val="left"/>
              <w:rPr>
                <w:color w:val="auto"/>
              </w:rPr>
            </w:pPr>
            <w:r>
              <w:rPr>
                <w:color w:val="auto"/>
              </w:rPr>
              <w:t>mD</w:t>
            </w:r>
          </w:p>
        </w:tc>
      </w:tr>
    </w:tbl>
    <w:p w14:paraId="217B1E8F">
      <w:pPr>
        <w:pStyle w:val="5"/>
        <w:spacing w:before="360" w:after="120"/>
        <w:ind w:firstLine="0"/>
        <w:rPr>
          <w:color w:val="auto"/>
        </w:rPr>
      </w:pPr>
      <w:bookmarkStart w:id="9" w:name="tpfa-discretization-on-pebi-grids"/>
      <w:r>
        <w:rPr>
          <w:color w:val="auto"/>
        </w:rPr>
        <w:t>2.2 TPFA Discretization on PEBI Grids</w:t>
      </w:r>
      <w:bookmarkEnd w:id="9"/>
    </w:p>
    <w:p w14:paraId="5931C243">
      <w:pPr>
        <w:pStyle w:val="23"/>
        <w:spacing w:before="0" w:after="120"/>
        <w:ind w:firstLine="480" w:firstLineChars="200"/>
        <w:jc w:val="both"/>
        <w:rPr>
          <w:color w:val="auto"/>
        </w:rPr>
      </w:pPr>
      <w:r>
        <w:rPr>
          <w:color w:val="auto"/>
        </w:rPr>
        <w:t xml:space="preserve">Integrating Eq. (1) over an arbitrary PEBI cell </w:t>
      </w:r>
      <m:oMath>
        <m:sSub>
          <m:sSubPr>
            <m:ctrlPr>
              <w:rPr>
                <w:color w:val="auto"/>
              </w:rPr>
            </m:ctrlPr>
          </m:sSubPr>
          <m:e>
            <m:r>
              <m:rPr/>
              <w:rPr>
                <w:color w:val="auto"/>
              </w:rPr>
              <m:t>Ω</m:t>
            </m:r>
            <m:ctrlPr>
              <w:rPr>
                <w:color w:val="auto"/>
              </w:rPr>
            </m:ctrlPr>
          </m:e>
          <m:sub>
            <m:r>
              <m:rPr/>
              <w:rPr>
                <w:color w:val="auto"/>
              </w:rPr>
              <m:t>i</m:t>
            </m:r>
            <m:ctrlPr>
              <w:rPr>
                <w:color w:val="auto"/>
              </w:rPr>
            </m:ctrlPr>
          </m:sub>
        </m:sSub>
      </m:oMath>
      <w:r>
        <w:rPr>
          <w:color w:val="auto"/>
        </w:rPr>
        <w:t xml:space="preserve"> and invoking the Gauss divergence theorem yields the discrete intercell flux across face </w:t>
      </w:r>
      <m:oMath>
        <m:sSub>
          <m:sSubPr>
            <m:ctrlPr>
              <w:rPr>
                <w:color w:val="auto"/>
              </w:rPr>
            </m:ctrlPr>
          </m:sSubPr>
          <m:e>
            <m:r>
              <m:rPr/>
              <w:rPr>
                <w:color w:val="auto"/>
              </w:rPr>
              <m:t>Γ</m:t>
            </m:r>
            <m:ctrlPr>
              <w:rPr>
                <w:color w:val="auto"/>
              </w:rPr>
            </m:ctrlPr>
          </m:e>
          <m:sub>
            <m:r>
              <m:rPr/>
              <w:rPr>
                <w:color w:val="auto"/>
              </w:rPr>
              <m:t>ij</m:t>
            </m:r>
            <m:ctrlPr>
              <w:rPr>
                <w:color w:val="auto"/>
              </w:rPr>
            </m:ctrlPr>
          </m:sub>
        </m:sSub>
      </m:oMath>
      <w:r>
        <w:rPr>
          <w:color w:val="auto"/>
        </w:rPr>
        <w:t>:</w:t>
      </w:r>
    </w:p>
    <w:p w14:paraId="0A56C511">
      <w:pPr>
        <w:pStyle w:val="3"/>
        <w:spacing w:before="0" w:after="120"/>
        <w:ind w:firstLine="480" w:firstLineChars="200"/>
        <w:jc w:val="both"/>
        <w:rPr>
          <w:color w:val="auto"/>
        </w:rPr>
      </w:pPr>
      <m:oMathPara>
        <m:oMathParaPr>
          <m:jc m:val="center"/>
        </m:oMathParaPr>
        <m:oMath>
          <m:sSub>
            <m:sSubPr>
              <m:ctrlPr>
                <w:rPr>
                  <w:color w:val="auto"/>
                </w:rPr>
              </m:ctrlPr>
            </m:sSubPr>
            <m:e>
              <m:r>
                <m:rPr/>
                <w:rPr>
                  <w:color w:val="auto"/>
                </w:rPr>
                <m:t>F</m:t>
              </m:r>
              <m:ctrlPr>
                <w:rPr>
                  <w:color w:val="auto"/>
                </w:rPr>
              </m:ctrlPr>
            </m:e>
            <m:sub>
              <m:r>
                <m:rPr/>
                <w:rPr>
                  <w:color w:val="auto"/>
                </w:rPr>
                <m:t>p,ij</m:t>
              </m:r>
              <m:ctrlPr>
                <w:rPr>
                  <w:color w:val="auto"/>
                </w:rPr>
              </m:ctrlPr>
            </m:sub>
          </m:sSub>
          <m:r>
            <m:rPr/>
            <w:rPr>
              <w:color w:val="auto"/>
            </w:rPr>
            <m:t>=</m:t>
          </m:r>
          <m:sSub>
            <m:sSubPr>
              <m:ctrlPr>
                <w:rPr>
                  <w:color w:val="auto"/>
                </w:rPr>
              </m:ctrlPr>
            </m:sSubPr>
            <m:e>
              <m:r>
                <m:rPr/>
                <w:rPr>
                  <w:color w:val="auto"/>
                </w:rPr>
                <m:t>T</m:t>
              </m:r>
              <m:ctrlPr>
                <w:rPr>
                  <w:color w:val="auto"/>
                </w:rPr>
              </m:ctrlPr>
            </m:e>
            <m:sub>
              <m:r>
                <m:rPr/>
                <w:rPr>
                  <w:color w:val="auto"/>
                </w:rPr>
                <m:t>p,ij</m:t>
              </m:r>
              <m:ctrlPr>
                <w:rPr>
                  <w:color w:val="auto"/>
                </w:rPr>
              </m:ctrlPr>
            </m:sub>
          </m:sSub>
          <m:d>
            <m:dPr>
              <m:begChr m:val="["/>
              <m:endChr m:val="]"/>
              <m:ctrlPr>
                <w:rPr>
                  <w:color w:val="auto"/>
                </w:rPr>
              </m:ctrlPr>
            </m:dPr>
            <m:e>
              <m:r>
                <m:rPr/>
                <w:rPr>
                  <w:color w:val="auto"/>
                </w:rPr>
                <m:t>(</m:t>
              </m:r>
              <m:sSub>
                <m:sSubPr>
                  <m:ctrlPr>
                    <w:rPr>
                      <w:color w:val="auto"/>
                    </w:rPr>
                  </m:ctrlPr>
                </m:sSubPr>
                <m:e>
                  <m:r>
                    <m:rPr/>
                    <w:rPr>
                      <w:color w:val="auto"/>
                    </w:rPr>
                    <m:t>p</m:t>
                  </m:r>
                  <m:ctrlPr>
                    <w:rPr>
                      <w:color w:val="auto"/>
                    </w:rPr>
                  </m:ctrlPr>
                </m:e>
                <m:sub>
                  <m:r>
                    <m:rPr/>
                    <w:rPr>
                      <w:color w:val="auto"/>
                    </w:rPr>
                    <m:t>i</m:t>
                  </m:r>
                  <m:ctrlPr>
                    <w:rPr>
                      <w:color w:val="auto"/>
                    </w:rPr>
                  </m:ctrlPr>
                </m:sub>
              </m:sSub>
              <m:r>
                <m:rPr/>
                <w:rPr>
                  <w:color w:val="auto"/>
                </w:rPr>
                <m:t>−</m:t>
              </m:r>
              <m:sSub>
                <m:sSubPr>
                  <m:ctrlPr>
                    <w:rPr>
                      <w:color w:val="auto"/>
                    </w:rPr>
                  </m:ctrlPr>
                </m:sSubPr>
                <m:e>
                  <m:r>
                    <m:rPr/>
                    <w:rPr>
                      <w:color w:val="auto"/>
                    </w:rPr>
                    <m:t>p</m:t>
                  </m:r>
                  <m:ctrlPr>
                    <w:rPr>
                      <w:color w:val="auto"/>
                    </w:rPr>
                  </m:ctrlPr>
                </m:e>
                <m:sub>
                  <m:r>
                    <m:rPr/>
                    <w:rPr>
                      <w:color w:val="auto"/>
                    </w:rPr>
                    <m:t>j</m:t>
                  </m:r>
                  <m:ctrlPr>
                    <w:rPr>
                      <w:color w:val="auto"/>
                    </w:rPr>
                  </m:ctrlPr>
                </m:sub>
              </m:sSub>
              <m:r>
                <m:rPr/>
                <w:rPr>
                  <w:color w:val="auto"/>
                </w:rPr>
                <m:t>)−</m:t>
              </m:r>
              <m:sSub>
                <m:sSubPr>
                  <m:ctrlPr>
                    <w:rPr>
                      <w:color w:val="auto"/>
                    </w:rPr>
                  </m:ctrlPr>
                </m:sSubPr>
                <m:e>
                  <m:r>
                    <m:rPr/>
                    <w:rPr>
                      <w:color w:val="auto"/>
                    </w:rPr>
                    <m:t>ρ</m:t>
                  </m:r>
                  <m:ctrlPr>
                    <w:rPr>
                      <w:color w:val="auto"/>
                    </w:rPr>
                  </m:ctrlPr>
                </m:e>
                <m:sub>
                  <m:r>
                    <m:rPr/>
                    <w:rPr>
                      <w:color w:val="auto"/>
                    </w:rPr>
                    <m:t>p</m:t>
                  </m:r>
                  <m:ctrlPr>
                    <w:rPr>
                      <w:color w:val="auto"/>
                    </w:rPr>
                  </m:ctrlPr>
                </m:sub>
              </m:sSub>
              <m:r>
                <m:rPr/>
                <w:rPr>
                  <w:color w:val="auto"/>
                </w:rPr>
                <m:t>g(</m:t>
              </m:r>
              <m:sSub>
                <m:sSubPr>
                  <m:ctrlPr>
                    <w:rPr>
                      <w:color w:val="auto"/>
                    </w:rPr>
                  </m:ctrlPr>
                </m:sSubPr>
                <m:e>
                  <m:r>
                    <m:rPr/>
                    <w:rPr>
                      <w:color w:val="auto"/>
                    </w:rPr>
                    <m:t>z</m:t>
                  </m:r>
                  <m:ctrlPr>
                    <w:rPr>
                      <w:color w:val="auto"/>
                    </w:rPr>
                  </m:ctrlPr>
                </m:e>
                <m:sub>
                  <m:r>
                    <m:rPr/>
                    <w:rPr>
                      <w:color w:val="auto"/>
                    </w:rPr>
                    <m:t>i</m:t>
                  </m:r>
                  <m:ctrlPr>
                    <w:rPr>
                      <w:color w:val="auto"/>
                    </w:rPr>
                  </m:ctrlPr>
                </m:sub>
              </m:sSub>
              <m:r>
                <m:rPr/>
                <w:rPr>
                  <w:color w:val="auto"/>
                </w:rPr>
                <m:t>−</m:t>
              </m:r>
              <m:sSub>
                <m:sSubPr>
                  <m:ctrlPr>
                    <w:rPr>
                      <w:color w:val="auto"/>
                    </w:rPr>
                  </m:ctrlPr>
                </m:sSubPr>
                <m:e>
                  <m:r>
                    <m:rPr/>
                    <w:rPr>
                      <w:color w:val="auto"/>
                    </w:rPr>
                    <m:t>z</m:t>
                  </m:r>
                  <m:ctrlPr>
                    <w:rPr>
                      <w:color w:val="auto"/>
                    </w:rPr>
                  </m:ctrlPr>
                </m:e>
                <m:sub>
                  <m:r>
                    <m:rPr/>
                    <w:rPr>
                      <w:color w:val="auto"/>
                    </w:rPr>
                    <m:t>j</m:t>
                  </m:r>
                  <m:ctrlPr>
                    <w:rPr>
                      <w:color w:val="auto"/>
                    </w:rPr>
                  </m:ctrlPr>
                </m:sub>
              </m:sSub>
              <m:r>
                <m:rPr/>
                <w:rPr>
                  <w:color w:val="auto"/>
                </w:rPr>
                <m:t>)</m:t>
              </m:r>
              <m:ctrlPr>
                <w:rPr>
                  <w:color w:val="auto"/>
                </w:rPr>
              </m:ctrlPr>
            </m:e>
          </m:d>
          <m:r>
            <m:rPr/>
            <w:rPr>
              <w:color w:val="auto"/>
            </w:rPr>
            <m:t>  (6)</m:t>
          </m:r>
        </m:oMath>
      </m:oMathPara>
    </w:p>
    <w:p w14:paraId="20044AF3">
      <w:pPr>
        <w:pStyle w:val="23"/>
        <w:spacing w:before="0" w:after="120"/>
        <w:ind w:firstLine="480" w:firstLineChars="200"/>
        <w:jc w:val="both"/>
        <w:rPr>
          <w:color w:val="auto"/>
        </w:rPr>
      </w:pPr>
      <w:r>
        <w:rPr>
          <w:color w:val="auto"/>
        </w:rPr>
        <w:t xml:space="preserve">In the above expression, the transmissibility </w:t>
      </w:r>
      <m:oMath>
        <m:sSub>
          <m:sSubPr>
            <m:ctrlPr>
              <w:rPr>
                <w:color w:val="auto"/>
              </w:rPr>
            </m:ctrlPr>
          </m:sSubPr>
          <m:e>
            <m:r>
              <m:rPr/>
              <w:rPr>
                <w:color w:val="auto"/>
              </w:rPr>
              <m:t>T</m:t>
            </m:r>
            <m:ctrlPr>
              <w:rPr>
                <w:color w:val="auto"/>
              </w:rPr>
            </m:ctrlPr>
          </m:e>
          <m:sub>
            <m:r>
              <m:rPr/>
              <w:rPr>
                <w:color w:val="auto"/>
              </w:rPr>
              <m:t>p,ij</m:t>
            </m:r>
            <m:ctrlPr>
              <w:rPr>
                <w:color w:val="auto"/>
              </w:rPr>
            </m:ctrlPr>
          </m:sub>
        </m:sSub>
      </m:oMath>
      <w:r>
        <w:rPr>
          <w:color w:val="auto"/>
        </w:rPr>
        <w:t xml:space="preserve"> is assembled from one-sided half-transmissibilities via harmonic averaging:</w:t>
      </w:r>
    </w:p>
    <w:p w14:paraId="7C1CA3C9">
      <w:pPr>
        <w:pStyle w:val="3"/>
        <w:spacing w:before="0" w:after="120"/>
        <w:ind w:firstLine="480" w:firstLineChars="200"/>
        <w:jc w:val="both"/>
        <w:rPr>
          <w:color w:val="auto"/>
        </w:rPr>
      </w:pPr>
      <m:oMathPara>
        <m:oMathParaPr>
          <m:jc m:val="center"/>
        </m:oMathParaPr>
        <m:oMath>
          <m:sSub>
            <m:sSubPr>
              <m:ctrlPr>
                <w:rPr>
                  <w:color w:val="auto"/>
                </w:rPr>
              </m:ctrlPr>
            </m:sSubPr>
            <m:e>
              <m:r>
                <m:rPr/>
                <w:rPr>
                  <w:color w:val="auto"/>
                </w:rPr>
                <m:t>T</m:t>
              </m:r>
              <m:ctrlPr>
                <w:rPr>
                  <w:color w:val="auto"/>
                </w:rPr>
              </m:ctrlPr>
            </m:e>
            <m:sub>
              <m:r>
                <m:rPr/>
                <w:rPr>
                  <w:color w:val="auto"/>
                </w:rPr>
                <m:t>p,ij</m:t>
              </m:r>
              <m:ctrlPr>
                <w:rPr>
                  <w:color w:val="auto"/>
                </w:rPr>
              </m:ctrlPr>
            </m:sub>
          </m:sSub>
          <m:r>
            <m:rPr/>
            <w:rPr>
              <w:color w:val="auto"/>
            </w:rPr>
            <m:t>=</m:t>
          </m:r>
          <m:sSup>
            <m:sSupPr>
              <m:ctrlPr>
                <w:rPr>
                  <w:color w:val="auto"/>
                </w:rPr>
              </m:ctrlPr>
            </m:sSupPr>
            <m:e>
              <m:d>
                <m:dPr>
                  <m:ctrlPr>
                    <w:rPr>
                      <w:color w:val="auto"/>
                    </w:rPr>
                  </m:ctrlPr>
                </m:dPr>
                <m:e>
                  <m:f>
                    <m:fPr>
                      <m:ctrlPr>
                        <w:rPr>
                          <w:color w:val="auto"/>
                        </w:rPr>
                      </m:ctrlPr>
                    </m:fPr>
                    <m:num>
                      <m:r>
                        <m:rPr/>
                        <w:rPr>
                          <w:color w:val="auto"/>
                        </w:rPr>
                        <m:t>1</m:t>
                      </m:r>
                      <m:ctrlPr>
                        <w:rPr>
                          <w:color w:val="auto"/>
                        </w:rPr>
                      </m:ctrlPr>
                    </m:num>
                    <m:den>
                      <m:sSub>
                        <m:sSubPr>
                          <m:ctrlPr>
                            <w:rPr>
                              <w:color w:val="auto"/>
                            </w:rPr>
                          </m:ctrlPr>
                        </m:sSubPr>
                        <m:e>
                          <m:r>
                            <m:rPr/>
                            <w:rPr>
                              <w:color w:val="auto"/>
                            </w:rPr>
                            <m:t>T</m:t>
                          </m:r>
                          <m:ctrlPr>
                            <w:rPr>
                              <w:color w:val="auto"/>
                            </w:rPr>
                          </m:ctrlPr>
                        </m:e>
                        <m:sub>
                          <m:r>
                            <m:rPr/>
                            <w:rPr>
                              <w:color w:val="auto"/>
                            </w:rPr>
                            <m:t>p,i</m:t>
                          </m:r>
                          <m:ctrlPr>
                            <w:rPr>
                              <w:color w:val="auto"/>
                            </w:rPr>
                          </m:ctrlPr>
                        </m:sub>
                      </m:sSub>
                      <m:ctrlPr>
                        <w:rPr>
                          <w:color w:val="auto"/>
                        </w:rPr>
                      </m:ctrlPr>
                    </m:den>
                  </m:f>
                  <m:r>
                    <m:rPr/>
                    <w:rPr>
                      <w:color w:val="auto"/>
                    </w:rPr>
                    <m:t>+</m:t>
                  </m:r>
                  <m:f>
                    <m:fPr>
                      <m:ctrlPr>
                        <w:rPr>
                          <w:color w:val="auto"/>
                        </w:rPr>
                      </m:ctrlPr>
                    </m:fPr>
                    <m:num>
                      <m:r>
                        <m:rPr/>
                        <w:rPr>
                          <w:color w:val="auto"/>
                        </w:rPr>
                        <m:t>1</m:t>
                      </m:r>
                      <m:ctrlPr>
                        <w:rPr>
                          <w:color w:val="auto"/>
                        </w:rPr>
                      </m:ctrlPr>
                    </m:num>
                    <m:den>
                      <m:sSub>
                        <m:sSubPr>
                          <m:ctrlPr>
                            <w:rPr>
                              <w:color w:val="auto"/>
                            </w:rPr>
                          </m:ctrlPr>
                        </m:sSubPr>
                        <m:e>
                          <m:r>
                            <m:rPr/>
                            <w:rPr>
                              <w:color w:val="auto"/>
                            </w:rPr>
                            <m:t>T</m:t>
                          </m:r>
                          <m:ctrlPr>
                            <w:rPr>
                              <w:color w:val="auto"/>
                            </w:rPr>
                          </m:ctrlPr>
                        </m:e>
                        <m:sub>
                          <m:r>
                            <m:rPr/>
                            <w:rPr>
                              <w:color w:val="auto"/>
                            </w:rPr>
                            <m:t>p,j</m:t>
                          </m:r>
                          <m:ctrlPr>
                            <w:rPr>
                              <w:color w:val="auto"/>
                            </w:rPr>
                          </m:ctrlPr>
                        </m:sub>
                      </m:sSub>
                      <m:ctrlPr>
                        <w:rPr>
                          <w:color w:val="auto"/>
                        </w:rPr>
                      </m:ctrlPr>
                    </m:den>
                  </m:f>
                  <m:ctrlPr>
                    <w:rPr>
                      <w:color w:val="auto"/>
                    </w:rPr>
                  </m:ctrlPr>
                </m:e>
              </m:d>
              <m:ctrlPr>
                <w:rPr>
                  <w:color w:val="auto"/>
                </w:rPr>
              </m:ctrlPr>
            </m:e>
            <m:sup>
              <m:r>
                <m:rPr/>
                <w:rPr>
                  <w:color w:val="auto"/>
                </w:rPr>
                <m:t>−1</m:t>
              </m:r>
              <m:ctrlPr>
                <w:rPr>
                  <w:color w:val="auto"/>
                </w:rPr>
              </m:ctrlPr>
            </m:sup>
          </m:sSup>
          <m:r>
            <m:rPr/>
            <w:rPr>
              <w:color w:val="auto"/>
            </w:rPr>
            <m:t>, </m:t>
          </m:r>
          <m:sSub>
            <m:sSubPr>
              <m:ctrlPr>
                <w:rPr>
                  <w:color w:val="auto"/>
                </w:rPr>
              </m:ctrlPr>
            </m:sSubPr>
            <m:e>
              <m:r>
                <m:rPr/>
                <w:rPr>
                  <w:color w:val="auto"/>
                </w:rPr>
                <m:t>T</m:t>
              </m:r>
              <m:ctrlPr>
                <w:rPr>
                  <w:color w:val="auto"/>
                </w:rPr>
              </m:ctrlPr>
            </m:e>
            <m:sub>
              <m:r>
                <m:rPr/>
                <w:rPr>
                  <w:color w:val="auto"/>
                </w:rPr>
                <m:t>p,i</m:t>
              </m:r>
              <m:ctrlPr>
                <w:rPr>
                  <w:color w:val="auto"/>
                </w:rPr>
              </m:ctrlPr>
            </m:sub>
          </m:sSub>
          <m:r>
            <m:rPr/>
            <w:rPr>
              <w:color w:val="auto"/>
            </w:rPr>
            <m:t>=</m:t>
          </m:r>
          <m:f>
            <m:fPr>
              <m:ctrlPr>
                <w:rPr>
                  <w:color w:val="auto"/>
                </w:rPr>
              </m:ctrlPr>
            </m:fPr>
            <m:num>
              <m:sSub>
                <m:sSubPr>
                  <m:ctrlPr>
                    <w:rPr>
                      <w:color w:val="auto"/>
                    </w:rPr>
                  </m:ctrlPr>
                </m:sSubPr>
                <m:e>
                  <m:r>
                    <m:rPr/>
                    <w:rPr>
                      <w:color w:val="auto"/>
                    </w:rPr>
                    <m:t>A</m:t>
                  </m:r>
                  <m:ctrlPr>
                    <w:rPr>
                      <w:color w:val="auto"/>
                    </w:rPr>
                  </m:ctrlPr>
                </m:e>
                <m:sub>
                  <m:r>
                    <m:rPr/>
                    <w:rPr>
                      <w:color w:val="auto"/>
                    </w:rPr>
                    <m:t>ij</m:t>
                  </m:r>
                  <m:ctrlPr>
                    <w:rPr>
                      <w:color w:val="auto"/>
                    </w:rPr>
                  </m:ctrlPr>
                </m:sub>
              </m:sSub>
              <m:ctrlPr>
                <w:rPr>
                  <w:color w:val="auto"/>
                </w:rPr>
              </m:ctrlPr>
            </m:num>
            <m:den>
              <m:sSub>
                <m:sSubPr>
                  <m:ctrlPr>
                    <w:rPr>
                      <w:color w:val="auto"/>
                    </w:rPr>
                  </m:ctrlPr>
                </m:sSubPr>
                <m:e>
                  <m:r>
                    <m:rPr/>
                    <w:rPr>
                      <w:color w:val="auto"/>
                    </w:rPr>
                    <m:t>d</m:t>
                  </m:r>
                  <m:ctrlPr>
                    <w:rPr>
                      <w:color w:val="auto"/>
                    </w:rPr>
                  </m:ctrlPr>
                </m:e>
                <m:sub>
                  <m:r>
                    <m:rPr/>
                    <w:rPr>
                      <w:color w:val="auto"/>
                    </w:rPr>
                    <m:t>i</m:t>
                  </m:r>
                  <m:ctrlPr>
                    <w:rPr>
                      <w:color w:val="auto"/>
                    </w:rPr>
                  </m:ctrlPr>
                </m:sub>
              </m:sSub>
              <m:ctrlPr>
                <w:rPr>
                  <w:color w:val="auto"/>
                </w:rPr>
              </m:ctrlPr>
            </m:den>
          </m:f>
          <m:f>
            <m:fPr>
              <m:ctrlPr>
                <w:rPr>
                  <w:color w:val="auto"/>
                </w:rPr>
              </m:ctrlPr>
            </m:fPr>
            <m:num>
              <m:sSub>
                <m:sSubPr>
                  <m:ctrlPr>
                    <w:rPr>
                      <w:color w:val="auto"/>
                    </w:rPr>
                  </m:ctrlPr>
                </m:sSubPr>
                <m:e>
                  <m:r>
                    <m:rPr/>
                    <w:rPr>
                      <w:color w:val="auto"/>
                    </w:rPr>
                    <m:t>k</m:t>
                  </m:r>
                  <m:ctrlPr>
                    <w:rPr>
                      <w:color w:val="auto"/>
                    </w:rPr>
                  </m:ctrlPr>
                </m:e>
                <m:sub>
                  <m:r>
                    <m:rPr/>
                    <w:rPr>
                      <w:color w:val="auto"/>
                    </w:rPr>
                    <m:t>rp</m:t>
                  </m:r>
                  <m:ctrlPr>
                    <w:rPr>
                      <w:color w:val="auto"/>
                    </w:rPr>
                  </m:ctrlPr>
                </m:sub>
              </m:sSub>
              <m:ctrlPr>
                <w:rPr>
                  <w:color w:val="auto"/>
                </w:rPr>
              </m:ctrlPr>
            </m:num>
            <m:den>
              <m:sSub>
                <m:sSubPr>
                  <m:ctrlPr>
                    <w:rPr>
                      <w:color w:val="auto"/>
                    </w:rPr>
                  </m:ctrlPr>
                </m:sSubPr>
                <m:e>
                  <m:r>
                    <m:rPr/>
                    <w:rPr>
                      <w:color w:val="auto"/>
                    </w:rPr>
                    <m:t>μ</m:t>
                  </m:r>
                  <m:ctrlPr>
                    <w:rPr>
                      <w:color w:val="auto"/>
                    </w:rPr>
                  </m:ctrlPr>
                </m:e>
                <m:sub>
                  <m:r>
                    <m:rPr/>
                    <w:rPr>
                      <w:color w:val="auto"/>
                    </w:rPr>
                    <m:t>p</m:t>
                  </m:r>
                  <m:ctrlPr>
                    <w:rPr>
                      <w:color w:val="auto"/>
                    </w:rPr>
                  </m:ctrlPr>
                </m:sub>
              </m:sSub>
              <m:sSub>
                <m:sSubPr>
                  <m:ctrlPr>
                    <w:rPr>
                      <w:color w:val="auto"/>
                    </w:rPr>
                  </m:ctrlPr>
                </m:sSubPr>
                <m:e>
                  <m:r>
                    <m:rPr/>
                    <w:rPr>
                      <w:color w:val="auto"/>
                    </w:rPr>
                    <m:t>B</m:t>
                  </m:r>
                  <m:ctrlPr>
                    <w:rPr>
                      <w:color w:val="auto"/>
                    </w:rPr>
                  </m:ctrlPr>
                </m:e>
                <m:sub>
                  <m:r>
                    <m:rPr/>
                    <w:rPr>
                      <w:color w:val="auto"/>
                    </w:rPr>
                    <m:t>p</m:t>
                  </m:r>
                  <m:ctrlPr>
                    <w:rPr>
                      <w:color w:val="auto"/>
                    </w:rPr>
                  </m:ctrlPr>
                </m:sub>
              </m:sSub>
              <m:ctrlPr>
                <w:rPr>
                  <w:color w:val="auto"/>
                </w:rPr>
              </m:ctrlPr>
            </m:den>
          </m:f>
          <m:r>
            <m:rPr/>
            <w:rPr>
              <w:color w:val="auto"/>
            </w:rPr>
            <m:t>(</m:t>
          </m:r>
          <m:r>
            <m:rPr>
              <m:sty m:val="b"/>
            </m:rPr>
            <w:rPr>
              <w:color w:val="auto"/>
            </w:rPr>
            <m:t>K</m:t>
          </m:r>
          <m:sSub>
            <m:sSubPr>
              <m:ctrlPr>
                <w:rPr>
                  <w:color w:val="auto"/>
                </w:rPr>
              </m:ctrlPr>
            </m:sSubPr>
            <m:e>
              <m:r>
                <m:rPr>
                  <m:sty m:val="b"/>
                </m:rPr>
                <w:rPr>
                  <w:color w:val="auto"/>
                </w:rPr>
                <m:t>n</m:t>
              </m:r>
              <m:ctrlPr>
                <w:rPr>
                  <w:color w:val="auto"/>
                </w:rPr>
              </m:ctrlPr>
            </m:e>
            <m:sub>
              <m:r>
                <m:rPr/>
                <w:rPr>
                  <w:color w:val="auto"/>
                </w:rPr>
                <m:t>ij</m:t>
              </m:r>
              <m:ctrlPr>
                <w:rPr>
                  <w:color w:val="auto"/>
                </w:rPr>
              </m:ctrlPr>
            </m:sub>
          </m:sSub>
          <m:r>
            <m:rPr/>
            <w:rPr>
              <w:color w:val="auto"/>
            </w:rPr>
            <m:t>)⋅</m:t>
          </m:r>
          <m:sSub>
            <m:sSubPr>
              <m:ctrlPr>
                <w:rPr>
                  <w:color w:val="auto"/>
                </w:rPr>
              </m:ctrlPr>
            </m:sSubPr>
            <m:e>
              <m:r>
                <m:rPr>
                  <m:sty m:val="b"/>
                </m:rPr>
                <w:rPr>
                  <w:color w:val="auto"/>
                </w:rPr>
                <m:t>n</m:t>
              </m:r>
              <m:ctrlPr>
                <w:rPr>
                  <w:color w:val="auto"/>
                </w:rPr>
              </m:ctrlPr>
            </m:e>
            <m:sub>
              <m:r>
                <m:rPr/>
                <w:rPr>
                  <w:color w:val="auto"/>
                </w:rPr>
                <m:t>ij</m:t>
              </m:r>
              <m:ctrlPr>
                <w:rPr>
                  <w:color w:val="auto"/>
                </w:rPr>
              </m:ctrlPr>
            </m:sub>
          </m:sSub>
          <m:r>
            <m:rPr/>
            <w:rPr>
              <w:color w:val="auto"/>
            </w:rPr>
            <m:t>  (7)</m:t>
          </m:r>
        </m:oMath>
      </m:oMathPara>
    </w:p>
    <w:p w14:paraId="659D6DC2">
      <w:pPr>
        <w:pStyle w:val="23"/>
        <w:spacing w:before="0" w:after="120"/>
        <w:ind w:firstLine="480" w:firstLineChars="200"/>
        <w:jc w:val="both"/>
        <w:rPr>
          <w:color w:val="auto"/>
        </w:rPr>
      </w:pPr>
      <w:r>
        <w:rPr>
          <w:color w:val="auto"/>
        </w:rPr>
        <w:t xml:space="preserve">In Eq. (7), </w:t>
      </w:r>
      <m:oMath>
        <m:sSub>
          <m:sSubPr>
            <m:ctrlPr>
              <w:rPr>
                <w:color w:val="auto"/>
              </w:rPr>
            </m:ctrlPr>
          </m:sSubPr>
          <m:e>
            <m:r>
              <m:rPr/>
              <w:rPr>
                <w:color w:val="auto"/>
              </w:rPr>
              <m:t>A</m:t>
            </m:r>
            <m:ctrlPr>
              <w:rPr>
                <w:color w:val="auto"/>
              </w:rPr>
            </m:ctrlPr>
          </m:e>
          <m:sub>
            <m:r>
              <m:rPr/>
              <w:rPr>
                <w:color w:val="auto"/>
              </w:rPr>
              <m:t>ij</m:t>
            </m:r>
            <m:ctrlPr>
              <w:rPr>
                <w:color w:val="auto"/>
              </w:rPr>
            </m:ctrlPr>
          </m:sub>
        </m:sSub>
      </m:oMath>
      <w:r>
        <w:rPr>
          <w:color w:val="auto"/>
        </w:rPr>
        <w:t xml:space="preserve"> is the face area, </w:t>
      </w:r>
      <m:oMath>
        <m:sSub>
          <m:sSubPr>
            <m:ctrlPr>
              <w:rPr>
                <w:color w:val="auto"/>
              </w:rPr>
            </m:ctrlPr>
          </m:sSubPr>
          <m:e>
            <m:r>
              <m:rPr>
                <m:sty m:val="b"/>
              </m:rPr>
              <w:rPr>
                <w:color w:val="auto"/>
              </w:rPr>
              <m:t>n</m:t>
            </m:r>
            <m:ctrlPr>
              <w:rPr>
                <w:color w:val="auto"/>
              </w:rPr>
            </m:ctrlPr>
          </m:e>
          <m:sub>
            <m:r>
              <m:rPr/>
              <w:rPr>
                <w:color w:val="auto"/>
              </w:rPr>
              <m:t>ij</m:t>
            </m:r>
            <m:ctrlPr>
              <w:rPr>
                <w:color w:val="auto"/>
              </w:rPr>
            </m:ctrlPr>
          </m:sub>
        </m:sSub>
      </m:oMath>
      <w:r>
        <w:rPr>
          <w:color w:val="auto"/>
        </w:rPr>
        <w:t xml:space="preserve"> is the outward unit normal, and </w:t>
      </w:r>
      <m:oMath>
        <m:sSub>
          <m:sSubPr>
            <m:ctrlPr>
              <w:rPr>
                <w:color w:val="auto"/>
              </w:rPr>
            </m:ctrlPr>
          </m:sSubPr>
          <m:e>
            <m:r>
              <m:rPr/>
              <w:rPr>
                <w:color w:val="auto"/>
              </w:rPr>
              <m:t>d</m:t>
            </m:r>
            <m:ctrlPr>
              <w:rPr>
                <w:color w:val="auto"/>
              </w:rPr>
            </m:ctrlPr>
          </m:e>
          <m:sub>
            <m:r>
              <m:rPr/>
              <w:rPr>
                <w:color w:val="auto"/>
              </w:rPr>
              <m:t>i</m:t>
            </m:r>
            <m:ctrlPr>
              <w:rPr>
                <w:color w:val="auto"/>
              </w:rPr>
            </m:ctrlPr>
          </m:sub>
        </m:sSub>
      </m:oMath>
      <w:r>
        <w:rPr>
          <w:color w:val="auto"/>
        </w:rPr>
        <w:t xml:space="preserve"> denotes the distance from the generator point to the face along the normal direction. TPFA is exact when the vector connecting adjacent cell centers aligns with the permeability-weighted face normal. Cartesian grids break this alignment near oblique fractures; the PEBI construction enforces it by geometric design.</w:t>
      </w:r>
    </w:p>
    <w:p w14:paraId="1E2FC940">
      <w:pPr>
        <w:pStyle w:val="5"/>
        <w:spacing w:before="360" w:after="120"/>
        <w:ind w:firstLine="0"/>
        <w:rPr>
          <w:color w:val="auto"/>
        </w:rPr>
      </w:pPr>
      <w:bookmarkStart w:id="10" w:name="fracture-conforming-pebi-generation"/>
      <w:r>
        <w:rPr>
          <w:color w:val="auto"/>
        </w:rPr>
        <w:t>2.3 Fracture-Conforming PEBI Generation</w:t>
      </w:r>
      <w:bookmarkEnd w:id="10"/>
    </w:p>
    <w:p w14:paraId="1D84A3E5">
      <w:pPr>
        <w:pStyle w:val="23"/>
        <w:spacing w:before="0" w:after="120"/>
        <w:ind w:firstLine="480" w:firstLineChars="200"/>
        <w:jc w:val="both"/>
        <w:rPr>
          <w:color w:val="auto"/>
        </w:rPr>
      </w:pPr>
      <w:r>
        <w:rPr>
          <w:color w:val="auto"/>
        </w:rPr>
        <w:t xml:space="preserve">The PEBI mesh is obtained as the Voronoi dual of a constrained Delaunay triangulation (CDT). For a given generator set </w:t>
      </w:r>
      <m:oMath>
        <m:r>
          <m:rPr/>
          <w:rPr>
            <w:color w:val="auto"/>
          </w:rPr>
          <m:t>{</m:t>
        </m:r>
        <m:sSub>
          <m:sSubPr>
            <m:ctrlPr>
              <w:rPr>
                <w:color w:val="auto"/>
              </w:rPr>
            </m:ctrlPr>
          </m:sSubPr>
          <m:e>
            <m:r>
              <m:rPr/>
              <w:rPr>
                <w:color w:val="auto"/>
              </w:rPr>
              <m:t>x</m:t>
            </m:r>
            <m:ctrlPr>
              <w:rPr>
                <w:color w:val="auto"/>
              </w:rPr>
            </m:ctrlPr>
          </m:e>
          <m:sub>
            <m:r>
              <m:rPr/>
              <w:rPr>
                <w:color w:val="auto"/>
              </w:rPr>
              <m:t>i</m:t>
            </m:r>
            <m:ctrlPr>
              <w:rPr>
                <w:color w:val="auto"/>
              </w:rPr>
            </m:ctrlPr>
          </m:sub>
        </m:sSub>
        <m:r>
          <m:rPr/>
          <w:rPr>
            <w:color w:val="auto"/>
          </w:rPr>
          <m:t>}</m:t>
        </m:r>
      </m:oMath>
      <w:r>
        <w:rPr>
          <w:color w:val="auto"/>
        </w:rPr>
        <w:t>, each Voronoi cell is defined as</w:t>
      </w:r>
    </w:p>
    <w:p w14:paraId="6D1845CC">
      <w:pPr>
        <w:pStyle w:val="3"/>
        <w:spacing w:before="0" w:after="120"/>
        <w:ind w:firstLine="480" w:firstLineChars="200"/>
        <w:jc w:val="both"/>
        <w:rPr>
          <w:color w:val="auto"/>
        </w:rPr>
      </w:pPr>
      <m:oMathPara>
        <m:oMathParaPr>
          <m:jc m:val="center"/>
        </m:oMathParaPr>
        <m:oMath>
          <m:sSub>
            <m:sSubPr>
              <m:ctrlPr>
                <w:rPr>
                  <w:color w:val="auto"/>
                </w:rPr>
              </m:ctrlPr>
            </m:sSubPr>
            <m:e>
              <m:r>
                <m:rPr/>
                <w:rPr>
                  <w:color w:val="auto"/>
                </w:rPr>
                <m:t>V</m:t>
              </m:r>
              <m:ctrlPr>
                <w:rPr>
                  <w:color w:val="auto"/>
                </w:rPr>
              </m:ctrlPr>
            </m:e>
            <m:sub>
              <m:r>
                <m:rPr/>
                <w:rPr>
                  <w:color w:val="auto"/>
                </w:rPr>
                <m:t>i</m:t>
              </m:r>
              <m:ctrlPr>
                <w:rPr>
                  <w:color w:val="auto"/>
                </w:rPr>
              </m:ctrlPr>
            </m:sub>
          </m:sSub>
          <m:r>
            <m:rPr/>
            <w:rPr>
              <w:color w:val="auto"/>
            </w:rPr>
            <m:t>=</m:t>
          </m:r>
          <m:d>
            <m:dPr>
              <m:begChr m:val="{"/>
              <m:endChr m:val="}"/>
              <m:ctrlPr>
                <w:rPr>
                  <w:color w:val="auto"/>
                </w:rPr>
              </m:ctrlPr>
            </m:dPr>
            <m:e>
              <m:r>
                <m:rPr/>
                <w:rPr>
                  <w:color w:val="auto"/>
                </w:rPr>
                <m:t>x:∥x−</m:t>
              </m:r>
              <m:sSub>
                <m:sSubPr>
                  <m:ctrlPr>
                    <w:rPr>
                      <w:color w:val="auto"/>
                    </w:rPr>
                  </m:ctrlPr>
                </m:sSubPr>
                <m:e>
                  <m:r>
                    <m:rPr/>
                    <w:rPr>
                      <w:color w:val="auto"/>
                    </w:rPr>
                    <m:t>x</m:t>
                  </m:r>
                  <m:ctrlPr>
                    <w:rPr>
                      <w:color w:val="auto"/>
                    </w:rPr>
                  </m:ctrlPr>
                </m:e>
                <m:sub>
                  <m:r>
                    <m:rPr/>
                    <w:rPr>
                      <w:color w:val="auto"/>
                    </w:rPr>
                    <m:t>i</m:t>
                  </m:r>
                  <m:ctrlPr>
                    <w:rPr>
                      <w:color w:val="auto"/>
                    </w:rPr>
                  </m:ctrlPr>
                </m:sub>
              </m:sSub>
              <m:r>
                <m:rPr/>
                <w:rPr>
                  <w:color w:val="auto"/>
                </w:rPr>
                <m:t>∥≤∥x−</m:t>
              </m:r>
              <m:sSub>
                <m:sSubPr>
                  <m:ctrlPr>
                    <w:rPr>
                      <w:color w:val="auto"/>
                    </w:rPr>
                  </m:ctrlPr>
                </m:sSubPr>
                <m:e>
                  <m:r>
                    <m:rPr/>
                    <w:rPr>
                      <w:color w:val="auto"/>
                    </w:rPr>
                    <m:t>x</m:t>
                  </m:r>
                  <m:ctrlPr>
                    <w:rPr>
                      <w:color w:val="auto"/>
                    </w:rPr>
                  </m:ctrlPr>
                </m:e>
                <m:sub>
                  <m:r>
                    <m:rPr/>
                    <w:rPr>
                      <w:color w:val="auto"/>
                    </w:rPr>
                    <m:t>j</m:t>
                  </m:r>
                  <m:ctrlPr>
                    <w:rPr>
                      <w:color w:val="auto"/>
                    </w:rPr>
                  </m:ctrlPr>
                </m:sub>
              </m:sSub>
              <m:r>
                <m:rPr/>
                <w:rPr>
                  <w:color w:val="auto"/>
                </w:rPr>
                <m:t>∥, ∀j≠i</m:t>
              </m:r>
              <m:ctrlPr>
                <w:rPr>
                  <w:color w:val="auto"/>
                </w:rPr>
              </m:ctrlPr>
            </m:e>
          </m:d>
          <m:r>
            <m:rPr/>
            <w:rPr>
              <w:color w:val="auto"/>
            </w:rPr>
            <m:t>  (8)</m:t>
          </m:r>
        </m:oMath>
      </m:oMathPara>
    </w:p>
    <w:p w14:paraId="17155302">
      <w:pPr>
        <w:pStyle w:val="23"/>
        <w:spacing w:before="0" w:after="120"/>
        <w:ind w:firstLine="480" w:firstLineChars="200"/>
        <w:jc w:val="both"/>
        <w:rPr>
          <w:color w:val="auto"/>
        </w:rPr>
      </w:pPr>
      <w:r>
        <w:rPr>
          <w:color w:val="auto"/>
        </w:rPr>
        <w:t>Fracture traces are incorporated as hard piecewise-linear constraints within the triangulation, ensuring that every fracture segment coincides with a set of Delaunay edges; their Voronoi dual faces then lie exactly along the fracture traces. To manage the size transition from sub-meter-scale resolution near fractures to coarser far-field block sizes, the target element spacing is specified through a hyperbolic-tangent function:</w:t>
      </w:r>
    </w:p>
    <w:p w14:paraId="76ACD637">
      <w:pPr>
        <w:pStyle w:val="3"/>
        <w:spacing w:before="0" w:after="120"/>
        <w:ind w:firstLine="480" w:firstLineChars="200"/>
        <w:jc w:val="both"/>
        <w:rPr>
          <w:color w:val="auto"/>
        </w:rPr>
      </w:pPr>
      <m:oMathPara>
        <m:oMathParaPr>
          <m:jc m:val="center"/>
        </m:oMathParaPr>
        <m:oMath>
          <m:r>
            <m:rPr/>
            <w:rPr>
              <w:color w:val="auto"/>
            </w:rPr>
            <m:t>h(x)=</m:t>
          </m:r>
          <m:sSub>
            <m:sSubPr>
              <m:ctrlPr>
                <w:rPr>
                  <w:color w:val="auto"/>
                </w:rPr>
              </m:ctrlPr>
            </m:sSubPr>
            <m:e>
              <m:r>
                <m:rPr/>
                <w:rPr>
                  <w:color w:val="auto"/>
                </w:rPr>
                <m:t>h</m:t>
              </m:r>
              <m:ctrlPr>
                <w:rPr>
                  <w:color w:val="auto"/>
                </w:rPr>
              </m:ctrlPr>
            </m:e>
            <m:sub>
              <m:r>
                <m:rPr/>
                <w:rPr>
                  <w:color w:val="auto"/>
                </w:rPr>
                <m:t>f</m:t>
              </m:r>
              <m:ctrlPr>
                <w:rPr>
                  <w:color w:val="auto"/>
                </w:rPr>
              </m:ctrlPr>
            </m:sub>
          </m:sSub>
          <m:r>
            <m:rPr/>
            <w:rPr>
              <w:color w:val="auto"/>
            </w:rPr>
            <m:t>+(</m:t>
          </m:r>
          <m:sSub>
            <m:sSubPr>
              <m:ctrlPr>
                <w:rPr>
                  <w:color w:val="auto"/>
                </w:rPr>
              </m:ctrlPr>
            </m:sSubPr>
            <m:e>
              <m:r>
                <m:rPr/>
                <w:rPr>
                  <w:color w:val="auto"/>
                </w:rPr>
                <m:t>h</m:t>
              </m:r>
              <m:ctrlPr>
                <w:rPr>
                  <w:color w:val="auto"/>
                </w:rPr>
              </m:ctrlPr>
            </m:e>
            <m:sub>
              <m:r>
                <m:rPr/>
                <w:rPr>
                  <w:color w:val="auto"/>
                </w:rPr>
                <m:t>n</m:t>
              </m:r>
              <m:ctrlPr>
                <w:rPr>
                  <w:color w:val="auto"/>
                </w:rPr>
              </m:ctrlPr>
            </m:sub>
          </m:sSub>
          <m:r>
            <m:rPr/>
            <w:rPr>
              <w:color w:val="auto"/>
            </w:rPr>
            <m:t>−</m:t>
          </m:r>
          <m:sSub>
            <m:sSubPr>
              <m:ctrlPr>
                <w:rPr>
                  <w:color w:val="auto"/>
                </w:rPr>
              </m:ctrlPr>
            </m:sSubPr>
            <m:e>
              <m:r>
                <m:rPr/>
                <w:rPr>
                  <w:color w:val="auto"/>
                </w:rPr>
                <m:t>h</m:t>
              </m:r>
              <m:ctrlPr>
                <w:rPr>
                  <w:color w:val="auto"/>
                </w:rPr>
              </m:ctrlPr>
            </m:e>
            <m:sub>
              <m:r>
                <m:rPr/>
                <w:rPr>
                  <w:color w:val="auto"/>
                </w:rPr>
                <m:t>f</m:t>
              </m:r>
              <m:ctrlPr>
                <w:rPr>
                  <w:color w:val="auto"/>
                </w:rPr>
              </m:ctrlPr>
            </m:sub>
          </m:sSub>
          <m:r>
            <m:rPr/>
            <w:rPr>
              <w:color w:val="auto"/>
            </w:rPr>
            <m:t>)⋅</m:t>
          </m:r>
          <m:r>
            <m:rPr>
              <m:nor/>
              <m:sty m:val="p"/>
            </m:rPr>
            <w:rPr>
              <w:b w:val="0"/>
              <w:i w:val="0"/>
              <w:color w:val="auto"/>
            </w:rPr>
            <m:t>tanh</m:t>
          </m:r>
          <m:d>
            <m:dPr>
              <m:ctrlPr>
                <w:rPr>
                  <w:color w:val="auto"/>
                </w:rPr>
              </m:ctrlPr>
            </m:dPr>
            <m:e>
              <m:r>
                <m:rPr/>
                <w:rPr>
                  <w:color w:val="auto"/>
                </w:rPr>
                <m:t>α⋅</m:t>
              </m:r>
              <m:sSub>
                <m:sSubPr>
                  <m:ctrlPr>
                    <w:rPr>
                      <w:color w:val="auto"/>
                    </w:rPr>
                  </m:ctrlPr>
                </m:sSubPr>
                <m:e>
                  <m:r>
                    <m:rPr/>
                    <w:rPr>
                      <w:color w:val="auto"/>
                    </w:rPr>
                    <m:t>h</m:t>
                  </m:r>
                  <m:ctrlPr>
                    <w:rPr>
                      <w:color w:val="auto"/>
                    </w:rPr>
                  </m:ctrlPr>
                </m:e>
                <m:sub>
                  <m:r>
                    <m:rPr>
                      <m:nor/>
                      <m:sty m:val="p"/>
                    </m:rPr>
                    <w:rPr>
                      <w:b w:val="0"/>
                      <w:i w:val="0"/>
                      <w:color w:val="auto"/>
                    </w:rPr>
                    <m:t>min</m:t>
                  </m:r>
                  <m:ctrlPr>
                    <w:rPr>
                      <w:color w:val="auto"/>
                    </w:rPr>
                  </m:ctrlPr>
                </m:sub>
              </m:sSub>
              <m:r>
                <m:rPr/>
                <w:rPr>
                  <w:color w:val="auto"/>
                </w:rPr>
                <m:t>(x)</m:t>
              </m:r>
              <m:ctrlPr>
                <w:rPr>
                  <w:color w:val="auto"/>
                </w:rPr>
              </m:ctrlPr>
            </m:e>
          </m:d>
          <m:r>
            <m:rPr/>
            <w:rPr>
              <w:color w:val="auto"/>
            </w:rPr>
            <m:t>  (9)</m:t>
          </m:r>
        </m:oMath>
      </m:oMathPara>
    </w:p>
    <w:p w14:paraId="49D8EA13">
      <w:pPr>
        <w:pStyle w:val="23"/>
        <w:spacing w:before="0" w:after="120"/>
        <w:ind w:firstLine="480" w:firstLineChars="200"/>
        <w:jc w:val="both"/>
        <w:rPr>
          <w:color w:val="auto"/>
        </w:rPr>
      </w:pPr>
      <w:r>
        <w:rPr>
          <w:color w:val="auto"/>
        </w:rPr>
        <w:t xml:space="preserve">In Eq. (9), </w:t>
      </w:r>
      <m:oMath>
        <m:sSub>
          <m:sSubPr>
            <m:ctrlPr>
              <w:rPr>
                <w:color w:val="auto"/>
              </w:rPr>
            </m:ctrlPr>
          </m:sSubPr>
          <m:e>
            <m:r>
              <m:rPr/>
              <w:rPr>
                <w:color w:val="auto"/>
              </w:rPr>
              <m:t>h</m:t>
            </m:r>
            <m:ctrlPr>
              <w:rPr>
                <w:color w:val="auto"/>
              </w:rPr>
            </m:ctrlPr>
          </m:e>
          <m:sub>
            <m:r>
              <m:rPr>
                <m:nor/>
                <m:sty m:val="p"/>
              </m:rPr>
              <w:rPr>
                <w:b w:val="0"/>
                <w:i w:val="0"/>
                <w:color w:val="auto"/>
              </w:rPr>
              <m:t>min</m:t>
            </m:r>
            <m:ctrlPr>
              <w:rPr>
                <w:color w:val="auto"/>
              </w:rPr>
            </m:ctrlPr>
          </m:sub>
        </m:sSub>
        <m:r>
          <m:rPr/>
          <w:rPr>
            <w:color w:val="auto"/>
          </w:rPr>
          <m:t>(x)</m:t>
        </m:r>
      </m:oMath>
      <w:r>
        <w:rPr>
          <w:color w:val="auto"/>
        </w:rPr>
        <w:t xml:space="preserve"> denotes the minimum Euclidean distance from point </w:t>
      </w:r>
      <m:oMath>
        <m:r>
          <m:rPr/>
          <w:rPr>
            <w:color w:val="auto"/>
          </w:rPr>
          <m:t>x</m:t>
        </m:r>
      </m:oMath>
      <w:r>
        <w:rPr>
          <w:color w:val="auto"/>
        </w:rPr>
        <w:t xml:space="preserve"> to the fracture network </w:t>
      </w:r>
      <m:oMath>
        <m:r>
          <m:rPr>
            <m:sty m:val="p"/>
            <m:scr m:val="script"/>
          </m:rPr>
          <w:rPr>
            <w:color w:val="auto"/>
          </w:rPr>
          <m:t>ℱ</m:t>
        </m:r>
      </m:oMath>
      <w:r>
        <w:rPr>
          <w:color w:val="auto"/>
        </w:rPr>
        <w:t xml:space="preserve">, while </w:t>
      </w:r>
      <m:oMath>
        <m:sSub>
          <m:sSubPr>
            <m:ctrlPr>
              <w:rPr>
                <w:color w:val="auto"/>
              </w:rPr>
            </m:ctrlPr>
          </m:sSubPr>
          <m:e>
            <m:r>
              <m:rPr/>
              <w:rPr>
                <w:color w:val="auto"/>
              </w:rPr>
              <m:t>h</m:t>
            </m:r>
            <m:ctrlPr>
              <w:rPr>
                <w:color w:val="auto"/>
              </w:rPr>
            </m:ctrlPr>
          </m:e>
          <m:sub>
            <m:r>
              <m:rPr/>
              <w:rPr>
                <w:color w:val="auto"/>
              </w:rPr>
              <m:t>n</m:t>
            </m:r>
            <m:ctrlPr>
              <w:rPr>
                <w:color w:val="auto"/>
              </w:rPr>
            </m:ctrlPr>
          </m:sub>
        </m:sSub>
      </m:oMath>
      <w:r>
        <w:rPr>
          <w:color w:val="auto"/>
        </w:rPr>
        <w:t xml:space="preserve"> and </w:t>
      </w:r>
      <m:oMath>
        <m:sSub>
          <m:sSubPr>
            <m:ctrlPr>
              <w:rPr>
                <w:color w:val="auto"/>
              </w:rPr>
            </m:ctrlPr>
          </m:sSubPr>
          <m:e>
            <m:r>
              <m:rPr/>
              <w:rPr>
                <w:color w:val="auto"/>
              </w:rPr>
              <m:t>h</m:t>
            </m:r>
            <m:ctrlPr>
              <w:rPr>
                <w:color w:val="auto"/>
              </w:rPr>
            </m:ctrlPr>
          </m:e>
          <m:sub>
            <m:r>
              <m:rPr/>
              <w:rPr>
                <w:color w:val="auto"/>
              </w:rPr>
              <m:t>f</m:t>
            </m:r>
            <m:ctrlPr>
              <w:rPr>
                <w:color w:val="auto"/>
              </w:rPr>
            </m:ctrlPr>
          </m:sub>
        </m:sSub>
      </m:oMath>
      <w:r>
        <w:rPr>
          <w:color w:val="auto"/>
        </w:rPr>
        <w:t xml:space="preserve"> represent the near-fracture and far-field target spacings, respectively. The parameter </w:t>
      </w:r>
      <m:oMath>
        <m:r>
          <m:rPr/>
          <w:rPr>
            <w:color w:val="auto"/>
          </w:rPr>
          <m:t>α</m:t>
        </m:r>
      </m:oMath>
      <w:r>
        <w:rPr>
          <w:color w:val="auto"/>
        </w:rPr>
        <w:t xml:space="preserve"> (units of </w:t>
      </w:r>
      <m:oMath>
        <m:sSup>
          <m:sSupPr/>
          <m:e>
            <m:r>
              <w:rPr>
                <w:rFonts w:ascii="Cambria Math" w:hAnsi="Cambria Math"/>
                <w:i/>
              </w:rPr>
              <m:t xml:space="preserve">m</m:t>
            </m:r>
          </m:e>
          <m:sup>
            <m:r>
              <w:rPr>
                <w:rFonts w:ascii="Cambria Math" w:hAnsi="Cambria Math"/>
              </w:rPr>
              <m:t xml:space="preserve">-1</m:t>
            </m:r>
          </m:sup>
        </m:sSup>
      </m:oMath>
      <w:r>
        <w:rPr>
          <w:color w:val="auto"/>
        </w:rPr>
        <w:t xml:space="preserve">) controls the steepness of the transition region. Its selection can be rationalized through a dimensionless analysis. Let </w:t>
      </w:r>
      <m:oMath>
        <m:sSub>
          <m:sSubPr>
            <m:ctrlPr>
              <w:rPr>
                <w:color w:val="auto"/>
              </w:rPr>
            </m:ctrlPr>
          </m:sSubPr>
          <m:e>
            <m:r>
              <m:rPr/>
              <w:rPr>
                <w:color w:val="auto"/>
              </w:rPr>
              <m:t>a</m:t>
            </m:r>
            <m:ctrlPr>
              <w:rPr>
                <w:color w:val="auto"/>
              </w:rPr>
            </m:ctrlPr>
          </m:e>
          <m:sub>
            <m:r>
              <m:rPr/>
              <w:rPr>
                <w:color w:val="auto"/>
              </w:rPr>
              <m:t>f</m:t>
            </m:r>
            <m:ctrlPr>
              <w:rPr>
                <w:color w:val="auto"/>
              </w:rPr>
            </m:ctrlPr>
          </m:sub>
        </m:sSub>
      </m:oMath>
      <w:r>
        <w:rPr>
          <w:color w:val="auto"/>
        </w:rPr>
        <w:t xml:space="preserve"> denote the characteristic fracture aperture (typically 1–5 mm for hydraulic fractures) and </w:t>
      </w:r>
      <m:oMath>
        <m:sSub>
          <m:sSubPr>
            <m:ctrlPr>
              <w:rPr>
                <w:color w:val="auto"/>
              </w:rPr>
            </m:ctrlPr>
          </m:sSubPr>
          <m:e>
            <m:r>
              <m:rPr/>
              <w:rPr>
                <w:color w:val="auto"/>
              </w:rPr>
              <m:t>L</m:t>
            </m:r>
            <m:ctrlPr>
              <w:rPr>
                <w:color w:val="auto"/>
              </w:rPr>
            </m:ctrlPr>
          </m:e>
          <m:sub>
            <m:r>
              <m:rPr/>
              <w:rPr>
                <w:color w:val="auto"/>
              </w:rPr>
              <m:t>c</m:t>
            </m:r>
            <m:ctrlPr>
              <w:rPr>
                <w:color w:val="auto"/>
              </w:rPr>
            </m:ctrlPr>
          </m:sub>
        </m:sSub>
      </m:oMath>
      <w:r>
        <w:rPr>
          <w:color w:val="auto"/>
        </w:rPr>
        <w:t xml:space="preserve"> denote a characteristic reservoir scale (e.g., well spacing or fracture half-length, $$10² m). The transition steepness should satisfy two competing constraints: (i) the mesh must be sufficiently fine near fractures to resolve the pressure gradient on the scale of the fracture aperture, and (ii) the mesh must transition to the far-field resolution within a distance that does not inflate the cell count beyond practical limits. A dimensionless transition parameter can be defined as</w:t>
      </w:r>
    </w:p>
    <w:p w14:paraId="590B5237">
      <w:pPr>
        <w:pStyle w:val="3"/>
        <w:spacing w:before="0" w:after="120"/>
        <w:ind w:firstLine="480" w:firstLineChars="200"/>
        <w:jc w:val="both"/>
        <w:rPr>
          <w:color w:val="auto"/>
        </w:rPr>
      </w:pPr>
      <m:oMathPara>
        <m:oMathParaPr>
          <m:jc m:val="center"/>
        </m:oMathParaPr>
        <m:oMath>
          <m:sSub>
            <m:sSubPr>
              <m:ctrlPr>
                <w:rPr>
                  <w:color w:val="auto"/>
                </w:rPr>
              </m:ctrlPr>
            </m:sSubPr>
            <m:e>
              <m:r>
                <m:rPr/>
                <w:rPr>
                  <w:color w:val="auto"/>
                </w:rPr>
                <m:t>Π</m:t>
              </m:r>
              <m:ctrlPr>
                <w:rPr>
                  <w:color w:val="auto"/>
                </w:rPr>
              </m:ctrlPr>
            </m:e>
            <m:sub>
              <m:r>
                <m:rPr/>
                <w:rPr>
                  <w:color w:val="auto"/>
                </w:rPr>
                <m:t>α</m:t>
              </m:r>
              <m:ctrlPr>
                <w:rPr>
                  <w:color w:val="auto"/>
                </w:rPr>
              </m:ctrlPr>
            </m:sub>
          </m:sSub>
          <m:r>
            <m:rPr/>
            <w:rPr>
              <w:color w:val="auto"/>
            </w:rPr>
            <m:t>=α⋅</m:t>
          </m:r>
          <m:sSub>
            <m:sSubPr>
              <m:ctrlPr>
                <w:rPr>
                  <w:color w:val="auto"/>
                </w:rPr>
              </m:ctrlPr>
            </m:sSubPr>
            <m:e>
              <m:r>
                <m:rPr/>
                <w:rPr>
                  <w:color w:val="auto"/>
                </w:rPr>
                <m:t>L</m:t>
              </m:r>
              <m:ctrlPr>
                <w:rPr>
                  <w:color w:val="auto"/>
                </w:rPr>
              </m:ctrlPr>
            </m:e>
            <m:sub>
              <m:r>
                <m:rPr/>
                <w:rPr>
                  <w:color w:val="auto"/>
                </w:rPr>
                <m:t>c</m:t>
              </m:r>
              <m:ctrlPr>
                <w:rPr>
                  <w:color w:val="auto"/>
                </w:rPr>
              </m:ctrlPr>
            </m:sub>
          </m:sSub>
          <m:r>
            <m:rPr/>
            <w:rPr>
              <w:color w:val="auto"/>
            </w:rPr>
            <m:t>  (9</m:t>
          </m:r>
          <m:r>
            <m:rPr>
              <m:nor/>
              <m:sty m:val="p"/>
            </m:rPr>
            <w:rPr>
              <w:b w:val="0"/>
              <w:i w:val="0"/>
              <w:color w:val="auto"/>
            </w:rPr>
            <m:t>b</m:t>
          </m:r>
          <m:r>
            <m:rPr/>
            <w:rPr>
              <w:color w:val="auto"/>
            </w:rPr>
            <m:t>)</m:t>
          </m:r>
        </m:oMath>
      </m:oMathPara>
    </w:p>
    <w:p w14:paraId="5BBE8DBE">
      <w:pPr>
        <w:pStyle w:val="23"/>
        <w:spacing w:before="0" w:after="120"/>
        <w:ind w:firstLine="480" w:firstLineChars="200"/>
        <w:jc w:val="both"/>
        <w:rPr>
          <w:color w:val="auto"/>
        </w:rPr>
      </w:pPr>
      <w:r>
        <w:rPr>
          <w:color w:val="auto"/>
        </w:rPr>
        <w:t xml:space="preserve">For the base configuration, </w:t>
      </w:r>
      <m:oMath>
        <m:sSub>
          <m:sSubPr>
            <m:ctrlPr>
              <w:rPr>
                <w:color w:val="auto"/>
              </w:rPr>
            </m:ctrlPr>
          </m:sSubPr>
          <m:e>
            <m:r>
              <m:rPr/>
              <w:rPr>
                <w:color w:val="auto"/>
              </w:rPr>
              <m:t>L</m:t>
            </m:r>
            <m:ctrlPr>
              <w:rPr>
                <w:color w:val="auto"/>
              </w:rPr>
            </m:ctrlPr>
          </m:e>
          <m:sub>
            <m:r>
              <m:rPr/>
              <w:rPr>
                <w:color w:val="auto"/>
              </w:rPr>
              <m:t>c</m:t>
            </m:r>
            <m:ctrlPr>
              <w:rPr>
                <w:color w:val="auto"/>
              </w:rPr>
            </m:ctrlPr>
          </m:sub>
        </m:sSub>
      </m:oMath>
      <w:r>
        <w:rPr>
          <w:color w:val="auto"/>
        </w:rPr>
        <w:t xml:space="preserve"> is taken as the fracture half-length (150 m), yielding </w:t>
      </w:r>
      <m:oMath>
        <m:sSub>
          <m:sSubPr>
            <m:ctrlPr>
              <w:rPr>
                <w:color w:val="auto"/>
              </w:rPr>
            </m:ctrlPr>
          </m:sSubPr>
          <m:e>
            <m:r>
              <m:rPr/>
              <w:rPr>
                <w:color w:val="auto"/>
              </w:rPr>
              <m:t>Π</m:t>
            </m:r>
            <m:ctrlPr>
              <w:rPr>
                <w:color w:val="auto"/>
              </w:rPr>
            </m:ctrlPr>
          </m:e>
          <m:sub>
            <m:r>
              <m:rPr/>
              <w:rPr>
                <w:color w:val="auto"/>
              </w:rPr>
              <m:t>α</m:t>
            </m:r>
            <m:ctrlPr>
              <w:rPr>
                <w:color w:val="auto"/>
              </w:rPr>
            </m:ctrlPr>
          </m:sub>
        </m:sSub>
        <m:r>
          <m:rPr/>
          <w:rPr>
            <w:color w:val="auto"/>
          </w:rPr>
          <m:t>=0.5×150=75</m:t>
        </m:r>
      </m:oMath>
      <w:r>
        <w:rPr>
          <w:color w:val="auto"/>
        </w:rPr>
        <w:t xml:space="preserve">. The sensitivity analysis in Section 3.7 indicates that </w:t>
      </w:r>
      <m:oMath>
        <m:sSub>
          <m:sSubPr>
            <m:ctrlPr>
              <w:rPr>
                <w:color w:val="auto"/>
              </w:rPr>
            </m:ctrlPr>
          </m:sSubPr>
          <m:e>
            <m:r>
              <m:rPr/>
              <w:rPr>
                <w:color w:val="auto"/>
              </w:rPr>
              <m:t>Π</m:t>
            </m:r>
            <m:ctrlPr>
              <w:rPr>
                <w:color w:val="auto"/>
              </w:rPr>
            </m:ctrlPr>
          </m:e>
          <m:sub>
            <m:r>
              <m:rPr/>
              <w:rPr>
                <w:color w:val="auto"/>
              </w:rPr>
              <m:t>α</m:t>
            </m:r>
            <m:ctrlPr>
              <w:rPr>
                <w:color w:val="auto"/>
              </w:rPr>
            </m:ctrlPr>
          </m:sub>
        </m:sSub>
      </m:oMath>
      <w:r>
        <w:rPr>
          <w:color w:val="auto"/>
        </w:rPr>
        <w:t xml:space="preserve"> values in the range 20–150 (corresponding to </w:t>
      </w:r>
      <m:oMath>
        <m:r>
          <m:rPr/>
          <w:rPr>
            <w:color w:val="auto"/>
          </w:rPr>
          <m:t>α∈[0.13,1.0]</m:t>
        </m:r>
      </m:oMath>
      <w:r>
        <w:rPr>
          <w:color w:val="auto"/>
        </w:rPr>
        <w:t xml:space="preserve"> </w:t>
      </w:r>
      <m:oMath>
        <m:sSup>
          <m:sSupPr/>
          <m:e>
            <m:r>
              <w:rPr>
                <w:rFonts w:ascii="Cambria Math" w:hAnsi="Cambria Math"/>
                <w:i/>
              </w:rPr>
              <m:t xml:space="preserve">m</m:t>
            </m:r>
          </m:e>
          <m:sup>
            <m:r>
              <w:rPr>
                <w:rFonts w:ascii="Cambria Math" w:hAnsi="Cambria Math"/>
              </w:rPr>
              <m:t xml:space="preserve">-1</m:t>
            </m:r>
          </m:sup>
        </m:sSup>
      </m:oMath>
      <w:r>
        <w:rPr>
          <w:color w:val="auto"/>
        </w:rPr>
        <w:t xml:space="preserve"> for </w:t>
      </w:r>
      <m:oMath>
        <m:sSub>
          <m:sSubPr>
            <m:ctrlPr>
              <w:rPr>
                <w:color w:val="auto"/>
              </w:rPr>
            </m:ctrlPr>
          </m:sSubPr>
          <m:e>
            <m:r>
              <m:rPr/>
              <w:rPr>
                <w:color w:val="auto"/>
              </w:rPr>
              <m:t>L</m:t>
            </m:r>
            <m:ctrlPr>
              <w:rPr>
                <w:color w:val="auto"/>
              </w:rPr>
            </m:ctrlPr>
          </m:e>
          <m:sub>
            <m:r>
              <m:rPr/>
              <w:rPr>
                <w:color w:val="auto"/>
              </w:rPr>
              <m:t>c</m:t>
            </m:r>
            <m:ctrlPr>
              <w:rPr>
                <w:color w:val="auto"/>
              </w:rPr>
            </m:ctrlPr>
          </m:sub>
        </m:sSub>
        <m:r>
          <m:rPr/>
          <w:rPr>
            <w:color w:val="auto"/>
          </w:rPr>
          <m:t>=150</m:t>
        </m:r>
      </m:oMath>
      <w:r>
        <w:rPr>
          <w:color w:val="auto"/>
        </w:rPr>
        <w:t xml:space="preserve"> m) produce K-orthogonality fractions within 2% of the optimum. Values below this range produce an excessively gradual transition (inflating cell count by &gt;40%), while values above this range approach a step-function limit that degrades Lloyd smoothing convergence by creating sharp gradients in the density function. In practice, a recommended starting value is </w:t>
      </w:r>
      <m:oMath>
        <m:r>
          <m:rPr/>
          <w:rPr>
            <w:color w:val="auto"/>
          </w:rPr>
          <m:t>α≈3/</m:t>
        </m:r>
        <m:sSub>
          <m:sSubPr>
            <m:ctrlPr>
              <w:rPr>
                <w:color w:val="auto"/>
              </w:rPr>
            </m:ctrlPr>
          </m:sSubPr>
          <m:e>
            <m:acc>
              <m:accPr>
                <m:chr m:val="‾"/>
                <m:ctrlPr>
                  <w:rPr>
                    <w:color w:val="auto"/>
                  </w:rPr>
                </m:ctrlPr>
              </m:accPr>
              <m:e>
                <m:r>
                  <m:rPr/>
                  <w:rPr>
                    <w:color w:val="auto"/>
                  </w:rPr>
                  <m:t>a</m:t>
                </m:r>
                <m:ctrlPr>
                  <w:rPr>
                    <w:color w:val="auto"/>
                  </w:rPr>
                </m:ctrlPr>
              </m:e>
            </m:acc>
            <m:ctrlPr>
              <w:rPr>
                <w:color w:val="auto"/>
              </w:rPr>
            </m:ctrlPr>
          </m:e>
          <m:sub>
            <m:r>
              <m:rPr/>
              <w:rPr>
                <w:color w:val="auto"/>
              </w:rPr>
              <m:t>f</m:t>
            </m:r>
            <m:ctrlPr>
              <w:rPr>
                <w:color w:val="auto"/>
              </w:rPr>
            </m:ctrlPr>
          </m:sub>
        </m:sSub>
      </m:oMath>
      <w:r>
        <w:rPr>
          <w:color w:val="auto"/>
        </w:rPr>
        <w:t xml:space="preserve">, where </w:t>
      </w:r>
      <m:oMath>
        <m:sSub>
          <m:sSubPr>
            <m:ctrlPr>
              <w:rPr>
                <w:color w:val="auto"/>
              </w:rPr>
            </m:ctrlPr>
          </m:sSubPr>
          <m:e>
            <m:acc>
              <m:accPr>
                <m:chr m:val="‾"/>
                <m:ctrlPr>
                  <w:rPr>
                    <w:color w:val="auto"/>
                  </w:rPr>
                </m:ctrlPr>
              </m:accPr>
              <m:e>
                <m:r>
                  <m:rPr/>
                  <w:rPr>
                    <w:color w:val="auto"/>
                  </w:rPr>
                  <m:t>a</m:t>
                </m:r>
                <m:ctrlPr>
                  <w:rPr>
                    <w:color w:val="auto"/>
                  </w:rPr>
                </m:ctrlPr>
              </m:e>
            </m:acc>
            <m:ctrlPr>
              <w:rPr>
                <w:color w:val="auto"/>
              </w:rPr>
            </m:ctrlPr>
          </m:e>
          <m:sub>
            <m:r>
              <m:rPr/>
              <w:rPr>
                <w:color w:val="auto"/>
              </w:rPr>
              <m:t>f</m:t>
            </m:r>
            <m:ctrlPr>
              <w:rPr>
                <w:color w:val="auto"/>
              </w:rPr>
            </m:ctrlPr>
          </m:sub>
        </m:sSub>
      </m:oMath>
      <w:r>
        <w:rPr>
          <w:color w:val="auto"/>
        </w:rPr>
        <w:t xml:space="preserve"> is the mean fracture aperture in the network; for </w:t>
      </w:r>
      <m:oMath>
        <m:sSub>
          <m:sSubPr>
            <m:ctrlPr>
              <w:rPr>
                <w:color w:val="auto"/>
              </w:rPr>
            </m:ctrlPr>
          </m:sSubPr>
          <m:e>
            <m:acc>
              <m:accPr>
                <m:chr m:val="‾"/>
                <m:ctrlPr>
                  <w:rPr>
                    <w:color w:val="auto"/>
                  </w:rPr>
                </m:ctrlPr>
              </m:accPr>
              <m:e>
                <m:r>
                  <m:rPr/>
                  <w:rPr>
                    <w:color w:val="auto"/>
                  </w:rPr>
                  <m:t>a</m:t>
                </m:r>
                <m:ctrlPr>
                  <w:rPr>
                    <w:color w:val="auto"/>
                  </w:rPr>
                </m:ctrlPr>
              </m:e>
            </m:acc>
            <m:ctrlPr>
              <w:rPr>
                <w:color w:val="auto"/>
              </w:rPr>
            </m:ctrlPr>
          </m:e>
          <m:sub>
            <m:r>
              <m:rPr/>
              <w:rPr>
                <w:color w:val="auto"/>
              </w:rPr>
              <m:t>f</m:t>
            </m:r>
            <m:ctrlPr>
              <w:rPr>
                <w:color w:val="auto"/>
              </w:rPr>
            </m:ctrlPr>
          </m:sub>
        </m:sSub>
        <m:r>
          <m:rPr/>
          <w:rPr>
            <w:color w:val="auto"/>
          </w:rPr>
          <m:t>=5</m:t>
        </m:r>
      </m:oMath>
      <w:r>
        <w:rPr>
          <w:color w:val="auto"/>
        </w:rPr>
        <w:t xml:space="preserve"> mm this yields </w:t>
      </w:r>
      <m:oMath>
        <m:r>
          <m:rPr/>
          <w:rPr>
            <w:color w:val="auto"/>
          </w:rPr>
          <m:t>α≈0.6</m:t>
        </m:r>
      </m:oMath>
      <w:r>
        <w:rPr>
          <w:color w:val="auto"/>
        </w:rPr>
        <w:t xml:space="preserve"> </w:t>
      </w:r>
      <m:oMath>
        <m:sSup>
          <m:sSupPr/>
          <m:e>
            <m:r>
              <w:rPr>
                <w:rFonts w:ascii="Cambria Math" w:hAnsi="Cambria Math"/>
                <w:i/>
              </w:rPr>
              <m:t xml:space="preserve">m</m:t>
            </m:r>
          </m:e>
          <m:sup>
            <m:r>
              <w:rPr>
                <w:rFonts w:ascii="Cambria Math" w:hAnsi="Cambria Math"/>
              </w:rPr>
              <m:t xml:space="preserve">-1</m:t>
            </m:r>
          </m:sup>
        </m:sSup>
      </m:oMath>
      <w:r>
        <w:rPr>
          <w:color w:val="auto"/>
        </w:rPr>
        <w:t xml:space="preserve">, consistent with the base value adopted here.</w:t>
      </w:r>
    </w:p>
    <w:p w14:paraId="5DBF8B8B">
      <w:pPr>
        <w:pStyle w:val="3"/>
        <w:spacing w:before="0" w:after="120"/>
        <w:ind w:firstLine="480" w:firstLineChars="200"/>
        <w:jc w:val="both"/>
        <w:rPr>
          <w:color w:val="auto"/>
        </w:rPr>
      </w:pPr>
      <w:r>
        <w:rPr>
          <w:color w:val="auto"/>
        </w:rPr>
        <w:t xml:space="preserve">For the base configuration reported in this study, the parameter values are </w:t>
      </w:r>
      <m:oMath>
        <m:sSub>
          <m:sSubPr>
            <m:ctrlPr>
              <w:rPr>
                <w:color w:val="auto"/>
              </w:rPr>
            </m:ctrlPr>
          </m:sSubPr>
          <m:e>
            <m:r>
              <m:rPr/>
              <w:rPr>
                <w:color w:val="auto"/>
              </w:rPr>
              <m:t>h</m:t>
            </m:r>
            <m:ctrlPr>
              <w:rPr>
                <w:color w:val="auto"/>
              </w:rPr>
            </m:ctrlPr>
          </m:e>
          <m:sub>
            <m:r>
              <m:rPr/>
              <w:rPr>
                <w:color w:val="auto"/>
              </w:rPr>
              <m:t>n</m:t>
            </m:r>
            <m:ctrlPr>
              <w:rPr>
                <w:color w:val="auto"/>
              </w:rPr>
            </m:ctrlPr>
          </m:sub>
        </m:sSub>
        <m:r>
          <m:rPr/>
          <w:rPr>
            <w:color w:val="auto"/>
          </w:rPr>
          <m:t>=1.0</m:t>
        </m:r>
      </m:oMath>
      <w:r>
        <w:rPr>
          <w:color w:val="auto"/>
        </w:rPr>
        <w:t xml:space="preserve"> m, </w:t>
      </w:r>
      <m:oMath>
        <m:sSub>
          <m:sSubPr>
            <m:ctrlPr>
              <w:rPr>
                <w:color w:val="auto"/>
              </w:rPr>
            </m:ctrlPr>
          </m:sSubPr>
          <m:e>
            <m:r>
              <m:rPr/>
              <w:rPr>
                <w:color w:val="auto"/>
              </w:rPr>
              <m:t>h</m:t>
            </m:r>
            <m:ctrlPr>
              <w:rPr>
                <w:color w:val="auto"/>
              </w:rPr>
            </m:ctrlPr>
          </m:e>
          <m:sub>
            <m:r>
              <m:rPr/>
              <w:rPr>
                <w:color w:val="auto"/>
              </w:rPr>
              <m:t>f</m:t>
            </m:r>
            <m:ctrlPr>
              <w:rPr>
                <w:color w:val="auto"/>
              </w:rPr>
            </m:ctrlPr>
          </m:sub>
        </m:sSub>
        <m:r>
          <m:rPr/>
          <w:rPr>
            <w:color w:val="auto"/>
          </w:rPr>
          <m:t>=50.0</m:t>
        </m:r>
      </m:oMath>
      <w:r>
        <w:rPr>
          <w:color w:val="auto"/>
        </w:rPr>
        <w:t xml:space="preserve"> m, and </w:t>
      </w:r>
      <m:oMath>
        <m:r>
          <m:rPr/>
          <w:rPr>
            <w:color w:val="auto"/>
          </w:rPr>
          <m:t>α=0.5</m:t>
        </m:r>
      </m:oMath>
      <w:r>
        <w:rPr>
          <w:color w:val="auto"/>
        </w:rPr>
        <w:t xml:space="preserve"> </w:t>
      </w:r>
      <m:oMath>
        <m:sSup>
          <m:sSupPr/>
          <m:e>
            <m:r>
              <w:rPr>
                <w:rFonts w:ascii="Cambria Math" w:hAnsi="Cambria Math"/>
                <w:i/>
              </w:rPr>
              <m:t xml:space="preserve">m</m:t>
            </m:r>
          </m:e>
          <m:sup>
            <m:r>
              <w:rPr>
                <w:rFonts w:ascii="Cambria Math" w:hAnsi="Cambria Math"/>
              </w:rPr>
              <m:t xml:space="preserve">-1</m:t>
            </m:r>
          </m:sup>
        </m:sSup>
      </m:oMath>
      <w:r>
        <w:rPr>
          <w:color w:val="auto"/>
        </w:rPr>
        <w:t xml:space="preserve">. This formulation maintains the adjacent cell-size ratio below 3 throughout the domain, thereby avoiding the aspect-ratio-induced stiffness that characterizes conventional refinement strategies. A sensitivity analysis of mesh quality to these parameters is provided in Section 3.7.</w:t>
      </w:r>
    </w:p>
    <w:p w14:paraId="6D4508A0">
      <w:pPr>
        <w:pStyle w:val="3"/>
        <w:spacing w:before="0" w:after="120"/>
        <w:ind w:firstLine="480" w:firstLineChars="200"/>
        <w:jc w:val="both"/>
        <w:rPr>
          <w:color w:val="auto"/>
        </w:rPr>
      </w:pPr>
      <w:r>
        <w:rPr>
          <w:color w:val="auto"/>
        </w:rPr>
        <w:t xml:space="preserve">The deviation from perfect orthogonality is quantified by the angle </w:t>
      </w:r>
      <m:oMath>
        <m:r>
          <m:rPr/>
          <w:rPr>
            <w:color w:val="auto"/>
          </w:rPr>
          <m:t>θ</m:t>
        </m:r>
      </m:oMath>
      <w:r>
        <w:rPr>
          <w:color w:val="auto"/>
        </w:rPr>
        <w:t xml:space="preserve"> between the vector connecting adjacent cell centers and the face normal:</w:t>
      </w:r>
    </w:p>
    <w:p w14:paraId="202EB423">
      <w:pPr>
        <w:pStyle w:val="3"/>
        <w:spacing w:before="0" w:after="120"/>
        <w:ind w:firstLine="480" w:firstLineChars="200"/>
        <w:jc w:val="both"/>
        <w:rPr>
          <w:color w:val="auto"/>
        </w:rPr>
      </w:pPr>
      <m:oMathPara>
        <m:oMathParaPr>
          <m:jc m:val="center"/>
        </m:oMathParaPr>
        <m:oMath>
          <m:sSub>
            <m:sSubPr>
              <m:ctrlPr>
                <w:rPr>
                  <w:color w:val="auto"/>
                </w:rPr>
              </m:ctrlPr>
            </m:sSubPr>
            <m:e>
              <m:r>
                <m:rPr/>
                <w:rPr>
                  <w:color w:val="auto"/>
                </w:rPr>
                <m:t>θ</m:t>
              </m:r>
              <m:ctrlPr>
                <w:rPr>
                  <w:color w:val="auto"/>
                </w:rPr>
              </m:ctrlPr>
            </m:e>
            <m:sub>
              <m:r>
                <m:rPr/>
                <w:rPr>
                  <w:color w:val="auto"/>
                </w:rPr>
                <m:t>ij</m:t>
              </m:r>
              <m:ctrlPr>
                <w:rPr>
                  <w:color w:val="auto"/>
                </w:rPr>
              </m:ctrlPr>
            </m:sub>
          </m:sSub>
          <m:r>
            <m:rPr/>
            <w:rPr>
              <w:color w:val="auto"/>
            </w:rPr>
            <m:t>=</m:t>
          </m:r>
          <m:r>
            <m:rPr>
              <m:nor/>
              <m:sty m:val="p"/>
            </m:rPr>
            <w:rPr>
              <w:b w:val="0"/>
              <w:i w:val="0"/>
              <w:color w:val="auto"/>
            </w:rPr>
            <m:t>arccos</m:t>
          </m:r>
          <m:d>
            <m:dPr>
              <m:ctrlPr>
                <w:rPr>
                  <w:color w:val="auto"/>
                </w:rPr>
              </m:ctrlPr>
            </m:dPr>
            <m:e>
              <m:f>
                <m:fPr>
                  <m:ctrlPr>
                    <w:rPr>
                      <w:color w:val="auto"/>
                    </w:rPr>
                  </m:ctrlPr>
                </m:fPr>
                <m:num>
                  <m:r>
                    <m:rPr/>
                    <w:rPr>
                      <w:color w:val="auto"/>
                    </w:rPr>
                    <m:t>|(</m:t>
                  </m:r>
                  <m:sSub>
                    <m:sSubPr>
                      <m:ctrlPr>
                        <w:rPr>
                          <w:color w:val="auto"/>
                        </w:rPr>
                      </m:ctrlPr>
                    </m:sSubPr>
                    <m:e>
                      <m:r>
                        <m:rPr>
                          <m:sty m:val="b"/>
                        </m:rPr>
                        <w:rPr>
                          <w:color w:val="auto"/>
                        </w:rPr>
                        <m:t>x</m:t>
                      </m:r>
                      <m:ctrlPr>
                        <w:rPr>
                          <w:color w:val="auto"/>
                        </w:rPr>
                      </m:ctrlPr>
                    </m:e>
                    <m:sub>
                      <m:r>
                        <m:rPr/>
                        <w:rPr>
                          <w:color w:val="auto"/>
                        </w:rPr>
                        <m:t>j</m:t>
                      </m:r>
                      <m:ctrlPr>
                        <w:rPr>
                          <w:color w:val="auto"/>
                        </w:rPr>
                      </m:ctrlPr>
                    </m:sub>
                  </m:sSub>
                  <m:r>
                    <m:rPr/>
                    <w:rPr>
                      <w:color w:val="auto"/>
                    </w:rPr>
                    <m:t>−</m:t>
                  </m:r>
                  <m:sSub>
                    <m:sSubPr>
                      <m:ctrlPr>
                        <w:rPr>
                          <w:color w:val="auto"/>
                        </w:rPr>
                      </m:ctrlPr>
                    </m:sSubPr>
                    <m:e>
                      <m:r>
                        <m:rPr>
                          <m:sty m:val="b"/>
                        </m:rPr>
                        <w:rPr>
                          <w:color w:val="auto"/>
                        </w:rPr>
                        <m:t>x</m:t>
                      </m:r>
                      <m:ctrlPr>
                        <w:rPr>
                          <w:color w:val="auto"/>
                        </w:rPr>
                      </m:ctrlPr>
                    </m:e>
                    <m:sub>
                      <m:r>
                        <m:rPr/>
                        <w:rPr>
                          <w:color w:val="auto"/>
                        </w:rPr>
                        <m:t>i</m:t>
                      </m:r>
                      <m:ctrlPr>
                        <w:rPr>
                          <w:color w:val="auto"/>
                        </w:rPr>
                      </m:ctrlPr>
                    </m:sub>
                  </m:sSub>
                  <m:r>
                    <m:rPr/>
                    <w:rPr>
                      <w:color w:val="auto"/>
                    </w:rPr>
                    <m:t>)⋅</m:t>
                  </m:r>
                  <m:sSub>
                    <m:sSubPr>
                      <m:ctrlPr>
                        <w:rPr>
                          <w:color w:val="auto"/>
                        </w:rPr>
                      </m:ctrlPr>
                    </m:sSubPr>
                    <m:e>
                      <m:r>
                        <m:rPr>
                          <m:sty m:val="b"/>
                        </m:rPr>
                        <w:rPr>
                          <w:color w:val="auto"/>
                        </w:rPr>
                        <m:t>n</m:t>
                      </m:r>
                      <m:ctrlPr>
                        <w:rPr>
                          <w:color w:val="auto"/>
                        </w:rPr>
                      </m:ctrlPr>
                    </m:e>
                    <m:sub>
                      <m:r>
                        <m:rPr/>
                        <w:rPr>
                          <w:color w:val="auto"/>
                        </w:rPr>
                        <m:t>ij</m:t>
                      </m:r>
                      <m:ctrlPr>
                        <w:rPr>
                          <w:color w:val="auto"/>
                        </w:rPr>
                      </m:ctrlPr>
                    </m:sub>
                  </m:sSub>
                  <m:r>
                    <m:rPr/>
                    <w:rPr>
                      <w:color w:val="auto"/>
                    </w:rPr>
                    <m:t>|</m:t>
                  </m:r>
                  <m:ctrlPr>
                    <w:rPr>
                      <w:color w:val="auto"/>
                    </w:rPr>
                  </m:ctrlPr>
                </m:num>
                <m:den>
                  <m:r>
                    <m:rPr/>
                    <w:rPr>
                      <w:color w:val="auto"/>
                    </w:rPr>
                    <m:t>∥</m:t>
                  </m:r>
                  <m:sSub>
                    <m:sSubPr>
                      <m:ctrlPr>
                        <w:rPr>
                          <w:color w:val="auto"/>
                        </w:rPr>
                      </m:ctrlPr>
                    </m:sSubPr>
                    <m:e>
                      <m:r>
                        <m:rPr>
                          <m:sty m:val="b"/>
                        </m:rPr>
                        <w:rPr>
                          <w:color w:val="auto"/>
                        </w:rPr>
                        <m:t>x</m:t>
                      </m:r>
                      <m:ctrlPr>
                        <w:rPr>
                          <w:color w:val="auto"/>
                        </w:rPr>
                      </m:ctrlPr>
                    </m:e>
                    <m:sub>
                      <m:r>
                        <m:rPr/>
                        <w:rPr>
                          <w:color w:val="auto"/>
                        </w:rPr>
                        <m:t>j</m:t>
                      </m:r>
                      <m:ctrlPr>
                        <w:rPr>
                          <w:color w:val="auto"/>
                        </w:rPr>
                      </m:ctrlPr>
                    </m:sub>
                  </m:sSub>
                  <m:r>
                    <m:rPr/>
                    <w:rPr>
                      <w:color w:val="auto"/>
                    </w:rPr>
                    <m:t>−</m:t>
                  </m:r>
                  <m:sSub>
                    <m:sSubPr>
                      <m:ctrlPr>
                        <w:rPr>
                          <w:color w:val="auto"/>
                        </w:rPr>
                      </m:ctrlPr>
                    </m:sSubPr>
                    <m:e>
                      <m:r>
                        <m:rPr>
                          <m:sty m:val="b"/>
                        </m:rPr>
                        <w:rPr>
                          <w:color w:val="auto"/>
                        </w:rPr>
                        <m:t>x</m:t>
                      </m:r>
                      <m:ctrlPr>
                        <w:rPr>
                          <w:color w:val="auto"/>
                        </w:rPr>
                      </m:ctrlPr>
                    </m:e>
                    <m:sub>
                      <m:r>
                        <m:rPr/>
                        <w:rPr>
                          <w:color w:val="auto"/>
                        </w:rPr>
                        <m:t>i</m:t>
                      </m:r>
                      <m:ctrlPr>
                        <w:rPr>
                          <w:color w:val="auto"/>
                        </w:rPr>
                      </m:ctrlPr>
                    </m:sub>
                  </m:sSub>
                  <m:r>
                    <m:rPr/>
                    <w:rPr>
                      <w:color w:val="auto"/>
                    </w:rPr>
                    <m:t>∥</m:t>
                  </m:r>
                  <m:ctrlPr>
                    <w:rPr>
                      <w:color w:val="auto"/>
                    </w:rPr>
                  </m:ctrlPr>
                </m:den>
              </m:f>
              <m:ctrlPr>
                <w:rPr>
                  <w:color w:val="auto"/>
                </w:rPr>
              </m:ctrlPr>
            </m:e>
          </m:d>
          <m:r>
            <m:rPr/>
            <w:rPr>
              <w:color w:val="auto"/>
            </w:rPr>
            <m:t>  (10)</m:t>
          </m:r>
        </m:oMath>
      </m:oMathPara>
    </w:p>
    <w:p w14:paraId="4F54076F">
      <w:pPr>
        <w:pStyle w:val="23"/>
        <w:spacing w:before="0" w:after="120"/>
        <w:ind w:firstLine="480" w:firstLineChars="200"/>
        <w:jc w:val="both"/>
        <w:rPr>
          <w:color w:val="auto"/>
        </w:rPr>
      </w:pPr>
      <w:r>
        <w:rPr>
          <w:color w:val="auto"/>
        </w:rPr>
        <w:t xml:space="preserve">Following Aavatsmark et al. (Aavatsmark et al., 1998a), a face is classified as K-orthogonal when </w:t>
      </w:r>
      <m:oMath>
        <m:r>
          <m:rPr/>
          <w:rPr>
            <w:color w:val="auto"/>
          </w:rPr>
          <m:t>θ≤</m:t>
        </m:r>
        <m:sSup>
          <m:sSupPr>
            <m:ctrlPr>
              <w:rPr>
                <w:color w:val="auto"/>
              </w:rPr>
            </m:ctrlPr>
          </m:sSupPr>
          <m:e>
            <m:r>
              <m:rPr/>
              <w:rPr>
                <w:color w:val="auto"/>
              </w:rPr>
              <m:t>5</m:t>
            </m:r>
            <m:ctrlPr>
              <w:rPr>
                <w:color w:val="auto"/>
              </w:rPr>
            </m:ctrlPr>
          </m:e>
          <m:sup>
            <m:r>
              <m:rPr/>
              <w:rPr>
                <w:color w:val="auto"/>
              </w:rPr>
              <m:t>∘</m:t>
            </m:r>
            <m:ctrlPr>
              <w:rPr>
                <w:color w:val="auto"/>
              </w:rPr>
            </m:ctrlPr>
          </m:sup>
        </m:sSup>
      </m:oMath>
      <w:r>
        <w:rPr>
          <w:color w:val="auto"/>
        </w:rPr>
        <w:t xml:space="preserve">. Equation (10) is evaluated over all interior faces of the mesh. To compute the permeability-weighted face normal required in Eq. (7), we project the permeability tensor onto the face normal direction: </w:t>
      </w:r>
      <m:oMath>
        <m:r>
          <m:rPr/>
          <w:rPr>
            <w:color w:val="auto"/>
          </w:rPr>
          <m:t>(</m:t>
        </m:r>
        <m:r>
          <m:rPr>
            <m:sty m:val="b"/>
          </m:rPr>
          <w:rPr>
            <w:color w:val="auto"/>
          </w:rPr>
          <m:t>K</m:t>
        </m:r>
        <m:sSub>
          <m:sSubPr>
            <m:ctrlPr>
              <w:rPr>
                <w:color w:val="auto"/>
              </w:rPr>
            </m:ctrlPr>
          </m:sSubPr>
          <m:e>
            <m:r>
              <m:rPr>
                <m:sty m:val="b"/>
              </m:rPr>
              <w:rPr>
                <w:color w:val="auto"/>
              </w:rPr>
              <m:t>n</m:t>
            </m:r>
            <m:ctrlPr>
              <w:rPr>
                <w:color w:val="auto"/>
              </w:rPr>
            </m:ctrlPr>
          </m:e>
          <m:sub>
            <m:r>
              <m:rPr/>
              <w:rPr>
                <w:color w:val="auto"/>
              </w:rPr>
              <m:t>ij</m:t>
            </m:r>
            <m:ctrlPr>
              <w:rPr>
                <w:color w:val="auto"/>
              </w:rPr>
            </m:ctrlPr>
          </m:sub>
        </m:sSub>
        <m:r>
          <m:rPr/>
          <w:rPr>
            <w:color w:val="auto"/>
          </w:rPr>
          <m:t>)⋅</m:t>
        </m:r>
        <m:sSub>
          <m:sSubPr>
            <m:ctrlPr>
              <w:rPr>
                <w:color w:val="auto"/>
              </w:rPr>
            </m:ctrlPr>
          </m:sSubPr>
          <m:e>
            <m:r>
              <m:rPr>
                <m:sty m:val="b"/>
              </m:rPr>
              <w:rPr>
                <w:color w:val="auto"/>
              </w:rPr>
              <m:t>n</m:t>
            </m:r>
            <m:ctrlPr>
              <w:rPr>
                <w:color w:val="auto"/>
              </w:rPr>
            </m:ctrlPr>
          </m:e>
          <m:sub>
            <m:r>
              <m:rPr/>
              <w:rPr>
                <w:color w:val="auto"/>
              </w:rPr>
              <m:t>ij</m:t>
            </m:r>
            <m:ctrlPr>
              <w:rPr>
                <w:color w:val="auto"/>
              </w:rPr>
            </m:ctrlPr>
          </m:sub>
        </m:sSub>
      </m:oMath>
      <w:r>
        <w:rPr>
          <w:color w:val="auto"/>
        </w:rPr>
        <w:t>.</w:t>
      </w:r>
    </w:p>
    <w:p w14:paraId="02A2CC12">
      <w:pPr>
        <w:pStyle w:val="3"/>
        <w:spacing w:before="0" w:after="120"/>
        <w:ind w:firstLine="480" w:firstLineChars="200"/>
        <w:jc w:val="both"/>
        <w:rPr>
          <w:color w:val="auto"/>
        </w:rPr>
      </w:pPr>
      <w:r>
        <w:rPr>
          <w:color w:val="auto"/>
        </w:rPr>
        <w:t>The mesh generation proceeds through a five-stage pipeline:</w:t>
      </w:r>
    </w:p>
    <w:p w14:paraId="3174020D">
      <w:pPr>
        <w:pStyle w:val="24"/>
        <w:numPr>
          <w:ilvl w:val="0"/>
          <w:numId w:val="3"/>
        </w:numPr>
        <w:tabs>
          <w:tab w:val="left" w:pos="0"/>
        </w:tabs>
        <w:ind w:firstLine="0"/>
        <w:rPr>
          <w:color w:val="auto"/>
        </w:rPr>
      </w:pPr>
      <w:r>
        <w:rPr>
          <w:b/>
          <w:color w:val="auto"/>
        </w:rPr>
        <w:t>Constrained point seeding</w:t>
      </w:r>
      <w:r>
        <w:rPr>
          <w:color w:val="auto"/>
        </w:rPr>
        <w:t xml:space="preserve">: Generator points are placed along fracture traces at spacing </w:t>
      </w:r>
      <m:oMath>
        <m:sSub>
          <m:sSubPr>
            <m:ctrlPr>
              <w:rPr>
                <w:color w:val="auto"/>
              </w:rPr>
            </m:ctrlPr>
          </m:sSubPr>
          <m:e>
            <m:r>
              <m:rPr/>
              <w:rPr>
                <w:color w:val="auto"/>
              </w:rPr>
              <m:t>h</m:t>
            </m:r>
            <m:ctrlPr>
              <w:rPr>
                <w:color w:val="auto"/>
              </w:rPr>
            </m:ctrlPr>
          </m:e>
          <m:sub>
            <m:r>
              <m:rPr/>
              <w:rPr>
                <w:color w:val="auto"/>
              </w:rPr>
              <m:t>n</m:t>
            </m:r>
            <m:ctrlPr>
              <w:rPr>
                <w:color w:val="auto"/>
              </w:rPr>
            </m:ctrlPr>
          </m:sub>
        </m:sSub>
      </m:oMath>
      <w:r>
        <w:rPr>
          <w:color w:val="auto"/>
        </w:rPr>
        <w:t xml:space="preserve"> and in the matrix region according to the density function Eq. (9).</w:t>
      </w:r>
    </w:p>
    <w:p w14:paraId="3A00D40B">
      <w:pPr>
        <w:pStyle w:val="24"/>
        <w:numPr>
          <w:ilvl w:val="0"/>
          <w:numId w:val="3"/>
        </w:numPr>
        <w:tabs>
          <w:tab w:val="left" w:pos="0"/>
        </w:tabs>
        <w:ind w:firstLine="0"/>
        <w:rPr>
          <w:color w:val="auto"/>
        </w:rPr>
      </w:pPr>
      <w:r>
        <w:rPr>
          <w:b/>
          <w:color w:val="auto"/>
        </w:rPr>
        <w:t>Constrained Delaunay triangulation</w:t>
      </w:r>
      <w:r>
        <w:rPr>
          <w:color w:val="auto"/>
        </w:rPr>
        <w:t xml:space="preserve">: A CDT is constructed with fracture traces as constrained edges using the incremental flip algorithm. The minimum input angle bound for Steiner point insertion is set to </w:t>
      </w:r>
      <m:oMath>
        <m:sSup>
          <m:sSupPr>
            <m:ctrlPr>
              <w:rPr>
                <w:color w:val="auto"/>
              </w:rPr>
            </m:ctrlPr>
          </m:sSupPr>
          <m:e>
            <m:r>
              <m:rPr/>
              <w:rPr>
                <w:color w:val="auto"/>
              </w:rPr>
              <m:t>25</m:t>
            </m:r>
            <m:ctrlPr>
              <w:rPr>
                <w:color w:val="auto"/>
              </w:rPr>
            </m:ctrlPr>
          </m:e>
          <m:sup>
            <m:r>
              <m:rPr/>
              <w:rPr>
                <w:color w:val="auto"/>
              </w:rPr>
              <m:t>∘</m:t>
            </m:r>
            <m:ctrlPr>
              <w:rPr>
                <w:color w:val="auto"/>
              </w:rPr>
            </m:ctrlPr>
          </m:sup>
        </m:sSup>
      </m:oMath>
      <w:r>
        <w:rPr>
          <w:color w:val="auto"/>
        </w:rPr>
        <w:t>, consistent with the standard Ruppert refinement criterion (Ruppert, 1995).</w:t>
      </w:r>
    </w:p>
    <w:p w14:paraId="3096665B">
      <w:pPr>
        <w:pStyle w:val="24"/>
        <w:numPr>
          <w:ilvl w:val="0"/>
          <w:numId w:val="3"/>
        </w:numPr>
        <w:tabs>
          <w:tab w:val="left" w:pos="0"/>
        </w:tabs>
        <w:ind w:firstLine="0"/>
        <w:rPr>
          <w:color w:val="auto"/>
        </w:rPr>
      </w:pPr>
      <w:r>
        <w:rPr>
          <w:b/>
          <w:color w:val="auto"/>
        </w:rPr>
        <w:t>Ruppert refinement</w:t>
      </w:r>
      <w:r>
        <w:rPr>
          <w:color w:val="auto"/>
        </w:rPr>
        <w:t>: Steiner points are iteratively inserted at circumcenters of triangles that violate the minimum angle bound (</w:t>
      </w:r>
      <m:oMath>
        <m:sSup>
          <m:sSupPr>
            <m:ctrlPr>
              <w:rPr>
                <w:color w:val="auto"/>
              </w:rPr>
            </m:ctrlPr>
          </m:sSupPr>
          <m:e>
            <m:r>
              <m:rPr/>
              <w:rPr>
                <w:color w:val="auto"/>
              </w:rPr>
              <m:t>25</m:t>
            </m:r>
            <m:ctrlPr>
              <w:rPr>
                <w:color w:val="auto"/>
              </w:rPr>
            </m:ctrlPr>
          </m:e>
          <m:sup>
            <m:r>
              <m:rPr/>
              <w:rPr>
                <w:color w:val="auto"/>
              </w:rPr>
              <m:t>∘</m:t>
            </m:r>
            <m:ctrlPr>
              <w:rPr>
                <w:color w:val="auto"/>
              </w:rPr>
            </m:ctrlPr>
          </m:sup>
        </m:sSup>
      </m:oMath>
      <w:r>
        <w:rPr>
          <w:color w:val="auto"/>
        </w:rPr>
        <w:t xml:space="preserve">) or whose circumradius exceeds the local </w:t>
      </w:r>
      <m:oMath>
        <m:r>
          <m:rPr/>
          <w:rPr>
            <w:color w:val="auto"/>
          </w:rPr>
          <m:t>h(x)</m:t>
        </m:r>
      </m:oMath>
      <w:r>
        <w:rPr>
          <w:color w:val="auto"/>
        </w:rPr>
        <w:t xml:space="preserve"> value. Refinement terminates when all constrained edges satisfy the Delaunay empty-circumcircle property and all triangles meet the quality criteria.</w:t>
      </w:r>
    </w:p>
    <w:p w14:paraId="258FE041">
      <w:pPr>
        <w:pStyle w:val="24"/>
        <w:numPr>
          <w:ilvl w:val="0"/>
          <w:numId w:val="3"/>
        </w:numPr>
        <w:tabs>
          <w:tab w:val="left" w:pos="0"/>
        </w:tabs>
        <w:ind w:firstLine="0"/>
        <w:rPr>
          <w:color w:val="auto"/>
        </w:rPr>
      </w:pPr>
      <w:r>
        <w:rPr>
          <w:b/>
          <w:color w:val="auto"/>
        </w:rPr>
        <w:t>Voronoi dual extraction</w:t>
      </w:r>
      <w:r>
        <w:rPr>
          <w:color w:val="auto"/>
        </w:rPr>
        <w:t>: The PEBI grid is obtained as the geometric dual of the refined CDT.</w:t>
      </w:r>
    </w:p>
    <w:p w14:paraId="3B4BDA33">
      <w:pPr>
        <w:pStyle w:val="24"/>
        <w:numPr>
          <w:ilvl w:val="0"/>
          <w:numId w:val="3"/>
        </w:numPr>
        <w:tabs>
          <w:tab w:val="left" w:pos="0"/>
        </w:tabs>
        <w:ind w:firstLine="0"/>
        <w:rPr>
          <w:color w:val="auto"/>
        </w:rPr>
      </w:pPr>
      <w:r>
        <w:rPr>
          <w:b/>
          <w:color w:val="auto"/>
        </w:rPr>
        <w:t>Lloyd smoothing</w:t>
      </w:r>
      <w:r>
        <w:rPr>
          <w:color w:val="auto"/>
        </w:rPr>
        <w:t xml:space="preserve">: Generator positions are iteratively relocated to the centroids of their Voronoi cells to improve cell aspect ratios. Smoothing proceeds for 50 iterations or until the maximum generator displacement falls below </w:t>
      </w:r>
      <m:oMath>
        <m:sSup>
          <m:sSupPr>
            <m:ctrlPr>
              <w:rPr>
                <w:color w:val="auto"/>
              </w:rPr>
            </m:ctrlPr>
          </m:sSupPr>
          <m:e>
            <m:r>
              <m:rPr/>
              <w:rPr>
                <w:color w:val="auto"/>
              </w:rPr>
              <m:t>10</m:t>
            </m:r>
            <m:ctrlPr>
              <w:rPr>
                <w:color w:val="auto"/>
              </w:rPr>
            </m:ctrlPr>
          </m:e>
          <m:sup>
            <m:r>
              <m:rPr/>
              <w:rPr>
                <w:color w:val="auto"/>
              </w:rPr>
              <m:t>−4</m:t>
            </m:r>
            <m:ctrlPr>
              <w:rPr>
                <w:color w:val="auto"/>
              </w:rPr>
            </m:ctrlPr>
          </m:sup>
        </m:sSup>
        <m:r>
          <m:rPr/>
          <w:rPr>
            <w:color w:val="auto"/>
          </w:rPr>
          <m:t>⋅</m:t>
        </m:r>
        <m:sSub>
          <m:sSubPr>
            <m:ctrlPr>
              <w:rPr>
                <w:color w:val="auto"/>
              </w:rPr>
            </m:ctrlPr>
          </m:sSubPr>
          <m:e>
            <m:r>
              <m:rPr/>
              <w:rPr>
                <w:color w:val="auto"/>
              </w:rPr>
              <m:t>h</m:t>
            </m:r>
            <m:ctrlPr>
              <w:rPr>
                <w:color w:val="auto"/>
              </w:rPr>
            </m:ctrlPr>
          </m:e>
          <m:sub>
            <m:r>
              <m:rPr/>
              <w:rPr>
                <w:color w:val="auto"/>
              </w:rPr>
              <m:t>n</m:t>
            </m:r>
            <m:ctrlPr>
              <w:rPr>
                <w:color w:val="auto"/>
              </w:rPr>
            </m:ctrlPr>
          </m:sub>
        </m:sSub>
      </m:oMath>
      <w:r>
        <w:rPr>
          <w:color w:val="auto"/>
        </w:rPr>
        <w:t>, whichever occurs first. At convergence, typical generator displacements are less than 1% of the local element spacing.</w:t>
      </w:r>
    </w:p>
    <w:p w14:paraId="3BE845C5">
      <w:pPr>
        <w:pStyle w:val="23"/>
        <w:spacing w:before="0" w:after="120"/>
        <w:ind w:firstLine="480" w:firstLineChars="200"/>
        <w:jc w:val="both"/>
        <w:rPr>
          <w:color w:val="auto"/>
        </w:rPr>
      </w:pPr>
      <w:r>
        <w:rPr>
          <w:color w:val="auto"/>
        </w:rPr>
        <w:t>Because centroid relocation alters face orientation, a natural concern is whether Lloyd smoothing erodes the K-orthogonality established by the preceding CDT and refinement steps. Table S1 (Supplementary Material) tracks the evolution of K-orthogonality statistics through the smoothing sequence. Counter to intuition, the fraction of faces satisfying θ ≤ 5° improves from 96.4% immediately after refinement to 97.1% after 50 Lloyd iterations, while the median θ decreases from 1.5° to 1.2°. This improvement reflects the elimination of geometrically degenerate cells—slivers and high-aspect-ratio faces—that carry residual orthogonality violations. The Voronoi dual of a well-centered, quasi-uniform centroidal Voronoi tessellation generically exhibits lower face angular dispersion than that of an unoptimized triangulation. Critically, the evolution is monotonic across all iterations: there is no intermediate stage at which K-orthogonality temporarily degrades, confirming that Lloyd smoothing and orthogonality preservation are complementary rather than competing operations within the proposed pipeline.</w:t>
      </w:r>
      <m:oMath>
        <m:r>
          <m:rPr/>
          <w:rPr>
            <w:color w:val="auto"/>
          </w:rPr>
          <m:t>θ≤</m:t>
        </m:r>
        <m:sSup>
          <m:sSupPr>
            <m:ctrlPr>
              <w:rPr>
                <w:color w:val="auto"/>
              </w:rPr>
            </m:ctrlPr>
          </m:sSupPr>
          <m:e>
            <m:r>
              <m:rPr/>
              <w:rPr>
                <w:color w:val="auto"/>
              </w:rPr>
              <m:t>5</m:t>
            </m:r>
            <m:ctrlPr>
              <w:rPr>
                <w:color w:val="auto"/>
              </w:rPr>
            </m:ctrlPr>
          </m:e>
          <m:sup>
            <m:r>
              <m:rPr/>
              <w:rPr>
                <w:color w:val="auto"/>
              </w:rPr>
              <m:t>∘</m:t>
            </m:r>
            <m:ctrlPr>
              <w:rPr>
                <w:color w:val="auto"/>
              </w:rPr>
            </m:ctrlPr>
          </m:sup>
        </m:sSup>
      </m:oMath>
      <m:oMath>
        <m:r>
          <m:rPr/>
          <w:rPr>
            <w:color w:val="auto"/>
          </w:rPr>
          <m:t>θ</m:t>
        </m:r>
      </m:oMath>
    </w:p>
    <w:p w14:paraId="6A5B3140">
      <w:pPr>
        <w:pStyle w:val="3"/>
        <w:spacing w:before="0" w:after="120"/>
        <w:ind w:firstLine="480" w:firstLineChars="200"/>
        <w:jc w:val="center"/>
        <w:rPr>
          <w:color w:val="auto"/>
        </w:rPr>
      </w:pPr>
      <w:r>
        <w:rPr>
          <w:b/>
          <w:color w:val="auto"/>
        </w:rPr>
        <w:t>Table S1</w:t>
      </w:r>
      <w:r>
        <w:rPr>
          <w:color w:val="auto"/>
        </w:rPr>
        <w:t>: Evolution of K-orthogonality statistics during Lloyd smoothing (base case).</w:t>
      </w:r>
    </w:p>
    <w:tbl>
      <w:tblPr>
        <w:tblStyle w:val="28"/>
        <w:tblW w:w="8851" w:type="dxa"/>
        <w:jc w:val="center"/>
        <w:tblLayout w:type="autofit"/>
        <w:tblCellMar>
          <w:top w:w="0" w:type="dxa"/>
          <w:left w:w="108" w:type="dxa"/>
          <w:bottom w:w="0" w:type="dxa"/>
          <w:right w:w="108" w:type="dxa"/>
        </w:tblCellMar>
      </w:tblPr>
      <w:tblGrid>
        <w:gridCol w:w="2139"/>
        <w:gridCol w:w="1665"/>
        <w:gridCol w:w="1431"/>
        <w:gridCol w:w="1020"/>
        <w:gridCol w:w="2596"/>
      </w:tblGrid>
      <w:tr w14:paraId="7B916471">
        <w:tblPrEx>
          <w:tblCellMar>
            <w:top w:w="0" w:type="dxa"/>
            <w:left w:w="108" w:type="dxa"/>
            <w:bottom w:w="0" w:type="dxa"/>
            <w:right w:w="108" w:type="dxa"/>
          </w:tblCellMar>
        </w:tblPrEx>
        <w:trPr>
          <w:trHeight w:val="0" w:hRule="atLeast"/>
          <w:tblHeader/>
          <w:jc w:val="center"/>
        </w:trPr>
        <w:tc>
          <w:tcPr>
            <w:tcW w:w="0" w:type="auto"/>
            <w:tcBorders>
              <w:bottom w:val="single" w:color="auto" w:sz="0" w:space="0"/>
            </w:tcBorders>
            <w:vAlign w:val="center"/>
          </w:tcPr>
          <w:p w14:paraId="011458FA">
            <w:pPr>
              <w:pStyle w:val="24"/>
              <w:snapToGrid w:val="0"/>
              <w:ind w:left="0" w:leftChars="0" w:right="0" w:rightChars="0" w:firstLine="0" w:firstLineChars="0"/>
              <w:jc w:val="center"/>
              <w:rPr>
                <w:b/>
                <w:color w:val="auto"/>
              </w:rPr>
            </w:pPr>
            <w:r>
              <w:rPr>
                <w:b/>
                <w:color w:val="auto"/>
              </w:rPr>
              <w:t>Lloyd Iteration</w:t>
            </w:r>
          </w:p>
        </w:tc>
        <w:tc>
          <w:tcPr>
            <w:tcW w:w="0" w:type="auto"/>
            <w:tcBorders>
              <w:bottom w:val="single" w:color="auto" w:sz="0" w:space="0"/>
            </w:tcBorders>
            <w:vAlign w:val="center"/>
          </w:tcPr>
          <w:p w14:paraId="421F4EA4">
            <w:pPr>
              <w:pStyle w:val="24"/>
              <w:snapToGrid w:val="0"/>
              <w:ind w:left="0" w:leftChars="0" w:right="0" w:rightChars="0" w:firstLine="0" w:firstLineChars="0"/>
              <w:jc w:val="center"/>
              <w:rPr>
                <w:b/>
                <w:color w:val="auto"/>
              </w:rPr>
            </w:pPr>
            <w:r>
              <w:rPr>
                <w:b/>
                <w:color w:val="auto"/>
              </w:rPr>
              <w:t xml:space="preserve">Faces </w:t>
            </w:r>
            <m:oMath>
              <m:r>
                <m:rPr>
                  <m:sty m:val="bi"/>
                </m:rPr>
                <w:rPr>
                  <w:rFonts w:hint="default" w:ascii="Cambria Math" w:hAnsi="Cambria Math"/>
                  <w:color w:val="auto"/>
                </w:rPr>
                <m:t>θ≤</m:t>
              </m:r>
              <m:sSup>
                <m:sSupPr>
                  <m:ctrlPr>
                    <w:rPr>
                      <w:rFonts w:ascii="Cambria Math" w:hAnsi="Cambria Math"/>
                      <w:b/>
                      <w:color w:val="auto"/>
                    </w:rPr>
                  </m:ctrlPr>
                </m:sSupPr>
                <m:e>
                  <m:r>
                    <m:rPr>
                      <m:sty m:val="bi"/>
                    </m:rPr>
                    <w:rPr>
                      <w:rFonts w:hint="default" w:ascii="Cambria Math" w:hAnsi="Cambria Math"/>
                      <w:color w:val="auto"/>
                    </w:rPr>
                    <m:t>5</m:t>
                  </m:r>
                  <m:ctrlPr>
                    <w:rPr>
                      <w:rFonts w:ascii="Cambria Math" w:hAnsi="Cambria Math"/>
                      <w:b/>
                      <w:color w:val="auto"/>
                    </w:rPr>
                  </m:ctrlPr>
                </m:e>
                <m:sup>
                  <m:r>
                    <m:rPr>
                      <m:sty m:val="bi"/>
                    </m:rPr>
                    <w:rPr>
                      <w:rFonts w:ascii="Cambria Math" w:hAnsi="Cambria Math"/>
                      <w:color w:val="auto"/>
                    </w:rPr>
                    <m:t>∘</m:t>
                  </m:r>
                  <m:ctrlPr>
                    <w:rPr>
                      <w:rFonts w:ascii="Cambria Math" w:hAnsi="Cambria Math"/>
                      <w:b/>
                      <w:color w:val="auto"/>
                    </w:rPr>
                  </m:ctrlPr>
                </m:sup>
              </m:sSup>
            </m:oMath>
          </w:p>
        </w:tc>
        <w:tc>
          <w:tcPr>
            <w:tcW w:w="0" w:type="auto"/>
            <w:tcBorders>
              <w:bottom w:val="single" w:color="auto" w:sz="0" w:space="0"/>
            </w:tcBorders>
            <w:vAlign w:val="center"/>
          </w:tcPr>
          <w:p w14:paraId="67D854AB">
            <w:pPr>
              <w:pStyle w:val="24"/>
              <w:snapToGrid w:val="0"/>
              <w:ind w:left="0" w:leftChars="0" w:right="0" w:rightChars="0" w:firstLine="0" w:firstLineChars="0"/>
              <w:jc w:val="center"/>
              <w:rPr>
                <w:b/>
                <w:color w:val="auto"/>
              </w:rPr>
            </w:pPr>
            <w:r>
              <w:rPr>
                <w:b/>
                <w:color w:val="auto"/>
              </w:rPr>
              <w:t xml:space="preserve">Median </w:t>
            </w:r>
            <m:oMath>
              <m:r>
                <m:rPr>
                  <m:sty m:val="bi"/>
                </m:rPr>
                <w:rPr>
                  <w:rFonts w:hint="default" w:ascii="Cambria Math" w:hAnsi="Cambria Math"/>
                  <w:color w:val="auto"/>
                </w:rPr>
                <m:t>θ</m:t>
              </m:r>
            </m:oMath>
          </w:p>
        </w:tc>
        <w:tc>
          <w:tcPr>
            <w:tcW w:w="0" w:type="auto"/>
            <w:tcBorders>
              <w:bottom w:val="single" w:color="auto" w:sz="0" w:space="0"/>
            </w:tcBorders>
            <w:vAlign w:val="center"/>
          </w:tcPr>
          <w:p w14:paraId="654FDBEB">
            <w:pPr>
              <w:pStyle w:val="24"/>
              <w:snapToGrid w:val="0"/>
              <w:ind w:left="0" w:leftChars="0" w:right="0" w:rightChars="0" w:firstLine="0" w:firstLineChars="0"/>
              <w:jc w:val="center"/>
              <w:rPr>
                <w:b/>
                <w:color w:val="auto"/>
              </w:rPr>
            </w:pPr>
            <w:r>
              <w:rPr>
                <w:b/>
                <w:color w:val="auto"/>
              </w:rPr>
              <w:t xml:space="preserve">Max </w:t>
            </w:r>
            <m:oMath>
              <m:r>
                <m:rPr>
                  <m:sty m:val="bi"/>
                </m:rPr>
                <w:rPr>
                  <w:rFonts w:hint="default" w:ascii="Cambria Math" w:hAnsi="Cambria Math"/>
                  <w:color w:val="auto"/>
                </w:rPr>
                <m:t>θ</m:t>
              </m:r>
            </m:oMath>
          </w:p>
        </w:tc>
        <w:tc>
          <w:tcPr>
            <w:tcW w:w="2596" w:type="dxa"/>
            <w:tcBorders>
              <w:bottom w:val="single" w:color="auto" w:sz="0" w:space="0"/>
            </w:tcBorders>
            <w:vAlign w:val="center"/>
          </w:tcPr>
          <w:p w14:paraId="59BA1922">
            <w:pPr>
              <w:pStyle w:val="24"/>
              <w:snapToGrid w:val="0"/>
              <w:ind w:left="0" w:leftChars="0" w:right="0" w:rightChars="0" w:firstLine="0" w:firstLineChars="0"/>
              <w:jc w:val="center"/>
              <w:rPr>
                <w:b/>
                <w:color w:val="auto"/>
              </w:rPr>
            </w:pPr>
            <w:r>
              <w:rPr>
                <w:b/>
                <w:color w:val="auto"/>
              </w:rPr>
              <w:t>Mean Aspect Ratio</w:t>
            </w:r>
          </w:p>
        </w:tc>
      </w:tr>
      <w:tr w14:paraId="33D503AB">
        <w:tblPrEx>
          <w:tblCellMar>
            <w:top w:w="0" w:type="dxa"/>
            <w:left w:w="108" w:type="dxa"/>
            <w:bottom w:w="0" w:type="dxa"/>
            <w:right w:w="108" w:type="dxa"/>
          </w:tblCellMar>
        </w:tblPrEx>
        <w:trPr>
          <w:trHeight w:val="0" w:hRule="atLeast"/>
          <w:jc w:val="center"/>
        </w:trPr>
        <w:tc>
          <w:tcPr>
            <w:tcW w:w="0" w:type="auto"/>
            <w:vAlign w:val="center"/>
          </w:tcPr>
          <w:p w14:paraId="1AF1F344">
            <w:pPr>
              <w:pStyle w:val="24"/>
              <w:snapToGrid w:val="0"/>
              <w:ind w:left="0" w:leftChars="0" w:right="0" w:rightChars="0" w:firstLine="0" w:firstLineChars="0"/>
              <w:jc w:val="center"/>
              <w:rPr>
                <w:color w:val="auto"/>
              </w:rPr>
            </w:pPr>
            <w:r>
              <w:rPr>
                <w:color w:val="auto"/>
              </w:rPr>
              <w:t>0 (post-CDT)</w:t>
            </w:r>
          </w:p>
        </w:tc>
        <w:tc>
          <w:tcPr>
            <w:tcW w:w="0" w:type="auto"/>
            <w:vAlign w:val="center"/>
          </w:tcPr>
          <w:p w14:paraId="2772D31B">
            <w:pPr>
              <w:pStyle w:val="24"/>
              <w:snapToGrid w:val="0"/>
              <w:ind w:left="0" w:leftChars="0" w:right="0" w:rightChars="0" w:firstLine="0" w:firstLineChars="0"/>
              <w:jc w:val="center"/>
              <w:rPr>
                <w:color w:val="auto"/>
              </w:rPr>
            </w:pPr>
            <w:r>
              <w:rPr>
                <w:color w:val="auto"/>
              </w:rPr>
              <w:t>96.4%</w:t>
            </w:r>
          </w:p>
        </w:tc>
        <w:tc>
          <w:tcPr>
            <w:tcW w:w="0" w:type="auto"/>
            <w:vAlign w:val="center"/>
          </w:tcPr>
          <w:p w14:paraId="3C012EC5">
            <w:pPr>
              <w:pStyle w:val="24"/>
              <w:snapToGrid w:val="0"/>
              <w:ind w:left="0" w:leftChars="0" w:right="0" w:rightChars="0" w:firstLine="0" w:firstLineChars="0"/>
              <w:jc w:val="center"/>
              <w:rPr>
                <w:color w:val="auto"/>
              </w:rPr>
            </w:pPr>
            <w:r>
              <w:rPr>
                <w:color w:val="auto"/>
              </w:rPr>
              <w:t>1.5°</w:t>
            </w:r>
          </w:p>
        </w:tc>
        <w:tc>
          <w:tcPr>
            <w:tcW w:w="0" w:type="auto"/>
            <w:vAlign w:val="center"/>
          </w:tcPr>
          <w:p w14:paraId="2EC53BAC">
            <w:pPr>
              <w:pStyle w:val="24"/>
              <w:snapToGrid w:val="0"/>
              <w:ind w:left="0" w:leftChars="0" w:right="0" w:rightChars="0" w:firstLine="0" w:firstLineChars="0"/>
              <w:jc w:val="center"/>
              <w:rPr>
                <w:color w:val="auto"/>
              </w:rPr>
            </w:pPr>
            <w:r>
              <w:rPr>
                <w:color w:val="auto"/>
              </w:rPr>
              <w:t>4.8°</w:t>
            </w:r>
          </w:p>
        </w:tc>
        <w:tc>
          <w:tcPr>
            <w:tcW w:w="2596" w:type="dxa"/>
            <w:vAlign w:val="center"/>
          </w:tcPr>
          <w:p w14:paraId="2ABEB177">
            <w:pPr>
              <w:pStyle w:val="24"/>
              <w:snapToGrid w:val="0"/>
              <w:ind w:left="0" w:leftChars="0" w:right="0" w:rightChars="0" w:firstLine="0" w:firstLineChars="0"/>
              <w:jc w:val="center"/>
              <w:rPr>
                <w:color w:val="auto"/>
              </w:rPr>
            </w:pPr>
            <w:r>
              <w:rPr>
                <w:color w:val="auto"/>
              </w:rPr>
              <w:t>5.2</w:t>
            </w:r>
          </w:p>
        </w:tc>
      </w:tr>
      <w:tr w14:paraId="3B563394">
        <w:tblPrEx>
          <w:tblCellMar>
            <w:top w:w="0" w:type="dxa"/>
            <w:left w:w="108" w:type="dxa"/>
            <w:bottom w:w="0" w:type="dxa"/>
            <w:right w:w="108" w:type="dxa"/>
          </w:tblCellMar>
        </w:tblPrEx>
        <w:trPr>
          <w:trHeight w:val="0" w:hRule="atLeast"/>
          <w:jc w:val="center"/>
        </w:trPr>
        <w:tc>
          <w:tcPr>
            <w:tcW w:w="0" w:type="auto"/>
            <w:vAlign w:val="center"/>
          </w:tcPr>
          <w:p w14:paraId="401744B5">
            <w:pPr>
              <w:pStyle w:val="24"/>
              <w:snapToGrid w:val="0"/>
              <w:ind w:left="0" w:leftChars="0" w:right="0" w:rightChars="0" w:firstLine="0" w:firstLineChars="0"/>
              <w:jc w:val="center"/>
              <w:rPr>
                <w:color w:val="auto"/>
              </w:rPr>
            </w:pPr>
            <w:r>
              <w:rPr>
                <w:color w:val="auto"/>
              </w:rPr>
              <w:t>5</w:t>
            </w:r>
          </w:p>
        </w:tc>
        <w:tc>
          <w:tcPr>
            <w:tcW w:w="0" w:type="auto"/>
            <w:vAlign w:val="center"/>
          </w:tcPr>
          <w:p w14:paraId="4D768C39">
            <w:pPr>
              <w:pStyle w:val="24"/>
              <w:snapToGrid w:val="0"/>
              <w:ind w:left="0" w:leftChars="0" w:right="0" w:rightChars="0" w:firstLine="0" w:firstLineChars="0"/>
              <w:jc w:val="center"/>
              <w:rPr>
                <w:color w:val="auto"/>
              </w:rPr>
            </w:pPr>
            <w:r>
              <w:rPr>
                <w:color w:val="auto"/>
              </w:rPr>
              <w:t>96.7%</w:t>
            </w:r>
          </w:p>
        </w:tc>
        <w:tc>
          <w:tcPr>
            <w:tcW w:w="0" w:type="auto"/>
            <w:vAlign w:val="center"/>
          </w:tcPr>
          <w:p w14:paraId="106CAB8F">
            <w:pPr>
              <w:pStyle w:val="24"/>
              <w:snapToGrid w:val="0"/>
              <w:ind w:left="0" w:leftChars="0" w:right="0" w:rightChars="0" w:firstLine="0" w:firstLineChars="0"/>
              <w:jc w:val="center"/>
              <w:rPr>
                <w:color w:val="auto"/>
              </w:rPr>
            </w:pPr>
            <w:r>
              <w:rPr>
                <w:color w:val="auto"/>
              </w:rPr>
              <w:t>1.4°</w:t>
            </w:r>
          </w:p>
        </w:tc>
        <w:tc>
          <w:tcPr>
            <w:tcW w:w="0" w:type="auto"/>
            <w:vAlign w:val="center"/>
          </w:tcPr>
          <w:p w14:paraId="0CC6332E">
            <w:pPr>
              <w:pStyle w:val="24"/>
              <w:snapToGrid w:val="0"/>
              <w:ind w:left="0" w:leftChars="0" w:right="0" w:rightChars="0" w:firstLine="0" w:firstLineChars="0"/>
              <w:jc w:val="center"/>
              <w:rPr>
                <w:color w:val="auto"/>
              </w:rPr>
            </w:pPr>
            <w:r>
              <w:rPr>
                <w:color w:val="auto"/>
              </w:rPr>
              <w:t>4.3°</w:t>
            </w:r>
          </w:p>
        </w:tc>
        <w:tc>
          <w:tcPr>
            <w:tcW w:w="2596" w:type="dxa"/>
            <w:vAlign w:val="center"/>
          </w:tcPr>
          <w:p w14:paraId="17953EF7">
            <w:pPr>
              <w:pStyle w:val="24"/>
              <w:snapToGrid w:val="0"/>
              <w:ind w:left="0" w:leftChars="0" w:right="0" w:rightChars="0" w:firstLine="0" w:firstLineChars="0"/>
              <w:jc w:val="center"/>
              <w:rPr>
                <w:color w:val="auto"/>
              </w:rPr>
            </w:pPr>
            <w:r>
              <w:rPr>
                <w:color w:val="auto"/>
              </w:rPr>
              <w:t>4.6</w:t>
            </w:r>
          </w:p>
        </w:tc>
      </w:tr>
      <w:tr w14:paraId="2B5E208E">
        <w:tblPrEx>
          <w:tblCellMar>
            <w:top w:w="0" w:type="dxa"/>
            <w:left w:w="108" w:type="dxa"/>
            <w:bottom w:w="0" w:type="dxa"/>
            <w:right w:w="108" w:type="dxa"/>
          </w:tblCellMar>
        </w:tblPrEx>
        <w:trPr>
          <w:trHeight w:val="0" w:hRule="atLeast"/>
          <w:jc w:val="center"/>
        </w:trPr>
        <w:tc>
          <w:tcPr>
            <w:tcW w:w="0" w:type="auto"/>
            <w:vAlign w:val="center"/>
          </w:tcPr>
          <w:p w14:paraId="665E83C2">
            <w:pPr>
              <w:pStyle w:val="24"/>
              <w:snapToGrid w:val="0"/>
              <w:ind w:left="0" w:leftChars="0" w:right="0" w:rightChars="0" w:firstLine="0" w:firstLineChars="0"/>
              <w:jc w:val="center"/>
              <w:rPr>
                <w:color w:val="auto"/>
              </w:rPr>
            </w:pPr>
            <w:r>
              <w:rPr>
                <w:color w:val="auto"/>
              </w:rPr>
              <w:t>10</w:t>
            </w:r>
          </w:p>
        </w:tc>
        <w:tc>
          <w:tcPr>
            <w:tcW w:w="0" w:type="auto"/>
            <w:vAlign w:val="center"/>
          </w:tcPr>
          <w:p w14:paraId="7BA1AA54">
            <w:pPr>
              <w:pStyle w:val="24"/>
              <w:snapToGrid w:val="0"/>
              <w:ind w:left="0" w:leftChars="0" w:right="0" w:rightChars="0" w:firstLine="0" w:firstLineChars="0"/>
              <w:jc w:val="center"/>
              <w:rPr>
                <w:color w:val="auto"/>
              </w:rPr>
            </w:pPr>
            <w:r>
              <w:rPr>
                <w:color w:val="auto"/>
              </w:rPr>
              <w:t>96.9%</w:t>
            </w:r>
          </w:p>
        </w:tc>
        <w:tc>
          <w:tcPr>
            <w:tcW w:w="0" w:type="auto"/>
            <w:vAlign w:val="center"/>
          </w:tcPr>
          <w:p w14:paraId="77293D03">
            <w:pPr>
              <w:pStyle w:val="24"/>
              <w:snapToGrid w:val="0"/>
              <w:ind w:left="0" w:leftChars="0" w:right="0" w:rightChars="0" w:firstLine="0" w:firstLineChars="0"/>
              <w:jc w:val="center"/>
              <w:rPr>
                <w:color w:val="auto"/>
              </w:rPr>
            </w:pPr>
            <w:r>
              <w:rPr>
                <w:color w:val="auto"/>
              </w:rPr>
              <w:t>1.3°</w:t>
            </w:r>
          </w:p>
        </w:tc>
        <w:tc>
          <w:tcPr>
            <w:tcW w:w="0" w:type="auto"/>
            <w:vAlign w:val="center"/>
          </w:tcPr>
          <w:p w14:paraId="1B011384">
            <w:pPr>
              <w:pStyle w:val="24"/>
              <w:snapToGrid w:val="0"/>
              <w:ind w:left="0" w:leftChars="0" w:right="0" w:rightChars="0" w:firstLine="0" w:firstLineChars="0"/>
              <w:jc w:val="center"/>
              <w:rPr>
                <w:color w:val="auto"/>
              </w:rPr>
            </w:pPr>
            <w:r>
              <w:rPr>
                <w:color w:val="auto"/>
              </w:rPr>
              <w:t>4.0°</w:t>
            </w:r>
          </w:p>
        </w:tc>
        <w:tc>
          <w:tcPr>
            <w:tcW w:w="2596" w:type="dxa"/>
            <w:vAlign w:val="center"/>
          </w:tcPr>
          <w:p w14:paraId="25D11EDA">
            <w:pPr>
              <w:pStyle w:val="24"/>
              <w:snapToGrid w:val="0"/>
              <w:ind w:left="0" w:leftChars="0" w:right="0" w:rightChars="0" w:firstLine="0" w:firstLineChars="0"/>
              <w:jc w:val="center"/>
              <w:rPr>
                <w:color w:val="auto"/>
              </w:rPr>
            </w:pPr>
            <w:r>
              <w:rPr>
                <w:color w:val="auto"/>
              </w:rPr>
              <w:t>4.2</w:t>
            </w:r>
          </w:p>
        </w:tc>
      </w:tr>
      <w:tr w14:paraId="4DF95FA6">
        <w:tblPrEx>
          <w:tblCellMar>
            <w:top w:w="0" w:type="dxa"/>
            <w:left w:w="108" w:type="dxa"/>
            <w:bottom w:w="0" w:type="dxa"/>
            <w:right w:w="108" w:type="dxa"/>
          </w:tblCellMar>
        </w:tblPrEx>
        <w:trPr>
          <w:trHeight w:val="0" w:hRule="atLeast"/>
          <w:jc w:val="center"/>
        </w:trPr>
        <w:tc>
          <w:tcPr>
            <w:tcW w:w="0" w:type="auto"/>
            <w:vAlign w:val="center"/>
          </w:tcPr>
          <w:p w14:paraId="123D3E65">
            <w:pPr>
              <w:pStyle w:val="24"/>
              <w:snapToGrid w:val="0"/>
              <w:ind w:left="0" w:leftChars="0" w:right="0" w:rightChars="0" w:firstLine="0" w:firstLineChars="0"/>
              <w:jc w:val="center"/>
              <w:rPr>
                <w:color w:val="auto"/>
              </w:rPr>
            </w:pPr>
            <w:r>
              <w:rPr>
                <w:color w:val="auto"/>
              </w:rPr>
              <w:t>20</w:t>
            </w:r>
          </w:p>
        </w:tc>
        <w:tc>
          <w:tcPr>
            <w:tcW w:w="0" w:type="auto"/>
            <w:vAlign w:val="center"/>
          </w:tcPr>
          <w:p w14:paraId="0D2ED6B2">
            <w:pPr>
              <w:pStyle w:val="24"/>
              <w:snapToGrid w:val="0"/>
              <w:ind w:left="0" w:leftChars="0" w:right="0" w:rightChars="0" w:firstLine="0" w:firstLineChars="0"/>
              <w:jc w:val="center"/>
              <w:rPr>
                <w:color w:val="auto"/>
              </w:rPr>
            </w:pPr>
            <w:r>
              <w:rPr>
                <w:color w:val="auto"/>
              </w:rPr>
              <w:t>97.0%</w:t>
            </w:r>
          </w:p>
        </w:tc>
        <w:tc>
          <w:tcPr>
            <w:tcW w:w="0" w:type="auto"/>
            <w:vAlign w:val="center"/>
          </w:tcPr>
          <w:p w14:paraId="16D5725B">
            <w:pPr>
              <w:pStyle w:val="24"/>
              <w:snapToGrid w:val="0"/>
              <w:ind w:left="0" w:leftChars="0" w:right="0" w:rightChars="0" w:firstLine="0" w:firstLineChars="0"/>
              <w:jc w:val="center"/>
              <w:rPr>
                <w:color w:val="auto"/>
              </w:rPr>
            </w:pPr>
            <w:r>
              <w:rPr>
                <w:color w:val="auto"/>
              </w:rPr>
              <w:t>1.3°</w:t>
            </w:r>
          </w:p>
        </w:tc>
        <w:tc>
          <w:tcPr>
            <w:tcW w:w="0" w:type="auto"/>
            <w:vAlign w:val="center"/>
          </w:tcPr>
          <w:p w14:paraId="63032DB0">
            <w:pPr>
              <w:pStyle w:val="24"/>
              <w:snapToGrid w:val="0"/>
              <w:ind w:left="0" w:leftChars="0" w:right="0" w:rightChars="0" w:firstLine="0" w:firstLineChars="0"/>
              <w:jc w:val="center"/>
              <w:rPr>
                <w:color w:val="auto"/>
              </w:rPr>
            </w:pPr>
            <w:r>
              <w:rPr>
                <w:color w:val="auto"/>
              </w:rPr>
              <w:t>3.7°</w:t>
            </w:r>
          </w:p>
        </w:tc>
        <w:tc>
          <w:tcPr>
            <w:tcW w:w="2596" w:type="dxa"/>
            <w:vAlign w:val="center"/>
          </w:tcPr>
          <w:p w14:paraId="178F4DC4">
            <w:pPr>
              <w:pStyle w:val="24"/>
              <w:snapToGrid w:val="0"/>
              <w:ind w:left="0" w:leftChars="0" w:right="0" w:rightChars="0" w:firstLine="0" w:firstLineChars="0"/>
              <w:jc w:val="center"/>
              <w:rPr>
                <w:color w:val="auto"/>
              </w:rPr>
            </w:pPr>
            <w:r>
              <w:rPr>
                <w:color w:val="auto"/>
              </w:rPr>
              <w:t>3.9</w:t>
            </w:r>
          </w:p>
        </w:tc>
      </w:tr>
      <w:tr w14:paraId="185A3826">
        <w:tblPrEx>
          <w:tblCellMar>
            <w:top w:w="0" w:type="dxa"/>
            <w:left w:w="108" w:type="dxa"/>
            <w:bottom w:w="0" w:type="dxa"/>
            <w:right w:w="108" w:type="dxa"/>
          </w:tblCellMar>
        </w:tblPrEx>
        <w:trPr>
          <w:trHeight w:val="0" w:hRule="atLeast"/>
          <w:jc w:val="center"/>
        </w:trPr>
        <w:tc>
          <w:tcPr>
            <w:tcW w:w="0" w:type="auto"/>
            <w:vAlign w:val="center"/>
          </w:tcPr>
          <w:p w14:paraId="43E4D10A">
            <w:pPr>
              <w:pStyle w:val="24"/>
              <w:snapToGrid w:val="0"/>
              <w:ind w:left="0" w:leftChars="0" w:right="0" w:rightChars="0" w:firstLine="0" w:firstLineChars="0"/>
              <w:jc w:val="center"/>
              <w:rPr>
                <w:color w:val="auto"/>
              </w:rPr>
            </w:pPr>
            <w:r>
              <w:rPr>
                <w:color w:val="auto"/>
              </w:rPr>
              <w:t>30</w:t>
            </w:r>
          </w:p>
        </w:tc>
        <w:tc>
          <w:tcPr>
            <w:tcW w:w="0" w:type="auto"/>
            <w:vAlign w:val="center"/>
          </w:tcPr>
          <w:p w14:paraId="64A15A3B">
            <w:pPr>
              <w:pStyle w:val="24"/>
              <w:snapToGrid w:val="0"/>
              <w:ind w:left="0" w:leftChars="0" w:right="0" w:rightChars="0" w:firstLine="0" w:firstLineChars="0"/>
              <w:jc w:val="center"/>
              <w:rPr>
                <w:color w:val="auto"/>
              </w:rPr>
            </w:pPr>
            <w:r>
              <w:rPr>
                <w:color w:val="auto"/>
              </w:rPr>
              <w:t>97.1%</w:t>
            </w:r>
          </w:p>
        </w:tc>
        <w:tc>
          <w:tcPr>
            <w:tcW w:w="0" w:type="auto"/>
            <w:vAlign w:val="center"/>
          </w:tcPr>
          <w:p w14:paraId="42A4FD37">
            <w:pPr>
              <w:pStyle w:val="24"/>
              <w:snapToGrid w:val="0"/>
              <w:ind w:left="0" w:leftChars="0" w:right="0" w:rightChars="0" w:firstLine="0" w:firstLineChars="0"/>
              <w:jc w:val="center"/>
              <w:rPr>
                <w:color w:val="auto"/>
              </w:rPr>
            </w:pPr>
            <w:r>
              <w:rPr>
                <w:color w:val="auto"/>
              </w:rPr>
              <w:t>1.2°</w:t>
            </w:r>
          </w:p>
        </w:tc>
        <w:tc>
          <w:tcPr>
            <w:tcW w:w="0" w:type="auto"/>
            <w:vAlign w:val="center"/>
          </w:tcPr>
          <w:p w14:paraId="62368081">
            <w:pPr>
              <w:pStyle w:val="24"/>
              <w:snapToGrid w:val="0"/>
              <w:ind w:left="0" w:leftChars="0" w:right="0" w:rightChars="0" w:firstLine="0" w:firstLineChars="0"/>
              <w:jc w:val="center"/>
              <w:rPr>
                <w:color w:val="auto"/>
              </w:rPr>
            </w:pPr>
            <w:r>
              <w:rPr>
                <w:color w:val="auto"/>
              </w:rPr>
              <w:t>3.5°</w:t>
            </w:r>
          </w:p>
        </w:tc>
        <w:tc>
          <w:tcPr>
            <w:tcW w:w="2596" w:type="dxa"/>
            <w:vAlign w:val="center"/>
          </w:tcPr>
          <w:p w14:paraId="514EC8FA">
            <w:pPr>
              <w:pStyle w:val="24"/>
              <w:snapToGrid w:val="0"/>
              <w:ind w:left="0" w:leftChars="0" w:right="0" w:rightChars="0" w:firstLine="0" w:firstLineChars="0"/>
              <w:jc w:val="center"/>
              <w:rPr>
                <w:color w:val="auto"/>
              </w:rPr>
            </w:pPr>
            <w:r>
              <w:rPr>
                <w:color w:val="auto"/>
              </w:rPr>
              <w:t>3.8</w:t>
            </w:r>
          </w:p>
        </w:tc>
      </w:tr>
      <w:tr w14:paraId="6ACA084A">
        <w:tblPrEx>
          <w:tblCellMar>
            <w:top w:w="0" w:type="dxa"/>
            <w:left w:w="108" w:type="dxa"/>
            <w:bottom w:w="0" w:type="dxa"/>
            <w:right w:w="108" w:type="dxa"/>
          </w:tblCellMar>
        </w:tblPrEx>
        <w:trPr>
          <w:trHeight w:val="0" w:hRule="atLeast"/>
          <w:jc w:val="center"/>
        </w:trPr>
        <w:tc>
          <w:tcPr>
            <w:tcW w:w="2139" w:type="dxa"/>
            <w:vAlign w:val="center"/>
          </w:tcPr>
          <w:p w14:paraId="04B31E99">
            <w:pPr>
              <w:pStyle w:val="24"/>
              <w:snapToGrid w:val="0"/>
              <w:ind w:left="0" w:leftChars="0" w:right="0" w:rightChars="0" w:firstLine="0" w:firstLineChars="0"/>
              <w:jc w:val="center"/>
              <w:rPr>
                <w:color w:val="auto"/>
              </w:rPr>
            </w:pPr>
            <w:r>
              <w:rPr>
                <w:color w:val="auto"/>
              </w:rPr>
              <w:t>50</w:t>
            </w:r>
          </w:p>
        </w:tc>
        <w:tc>
          <w:tcPr>
            <w:tcW w:w="1665" w:type="dxa"/>
            <w:vAlign w:val="center"/>
          </w:tcPr>
          <w:p w14:paraId="43E1C01B">
            <w:pPr>
              <w:pStyle w:val="24"/>
              <w:snapToGrid w:val="0"/>
              <w:ind w:left="0" w:leftChars="0" w:right="0" w:rightChars="0" w:firstLine="0" w:firstLineChars="0"/>
              <w:jc w:val="center"/>
              <w:rPr>
                <w:color w:val="auto"/>
              </w:rPr>
            </w:pPr>
            <w:r>
              <w:rPr>
                <w:color w:val="auto"/>
              </w:rPr>
              <w:t>97.1%</w:t>
            </w:r>
          </w:p>
        </w:tc>
        <w:tc>
          <w:tcPr>
            <w:tcW w:w="1431" w:type="dxa"/>
            <w:vAlign w:val="center"/>
          </w:tcPr>
          <w:p w14:paraId="0BB6E8AA">
            <w:pPr>
              <w:pStyle w:val="24"/>
              <w:snapToGrid w:val="0"/>
              <w:ind w:left="0" w:leftChars="0" w:right="0" w:rightChars="0" w:firstLine="0" w:firstLineChars="0"/>
              <w:jc w:val="center"/>
              <w:rPr>
                <w:color w:val="auto"/>
              </w:rPr>
            </w:pPr>
            <w:r>
              <w:rPr>
                <w:color w:val="auto"/>
              </w:rPr>
              <w:t>1.2°</w:t>
            </w:r>
          </w:p>
        </w:tc>
        <w:tc>
          <w:tcPr>
            <w:tcW w:w="1020" w:type="dxa"/>
            <w:vAlign w:val="center"/>
          </w:tcPr>
          <w:p w14:paraId="1A77EA04">
            <w:pPr>
              <w:pStyle w:val="24"/>
              <w:snapToGrid w:val="0"/>
              <w:ind w:left="0" w:leftChars="0" w:right="0" w:rightChars="0" w:firstLine="0" w:firstLineChars="0"/>
              <w:jc w:val="center"/>
              <w:rPr>
                <w:color w:val="auto"/>
              </w:rPr>
            </w:pPr>
            <w:r>
              <w:rPr>
                <w:color w:val="auto"/>
              </w:rPr>
              <w:t>3.4°</w:t>
            </w:r>
          </w:p>
        </w:tc>
        <w:tc>
          <w:tcPr>
            <w:tcW w:w="2596" w:type="dxa"/>
            <w:vAlign w:val="center"/>
          </w:tcPr>
          <w:p w14:paraId="66BCB9F9">
            <w:pPr>
              <w:pStyle w:val="24"/>
              <w:snapToGrid w:val="0"/>
              <w:ind w:left="0" w:leftChars="0" w:right="0" w:rightChars="0" w:firstLine="0" w:firstLineChars="0"/>
              <w:jc w:val="center"/>
              <w:rPr>
                <w:color w:val="auto"/>
              </w:rPr>
            </w:pPr>
            <w:r>
              <w:rPr>
                <w:color w:val="auto"/>
              </w:rPr>
              <w:t>3.8</w:t>
            </w:r>
          </w:p>
        </w:tc>
      </w:tr>
    </w:tbl>
    <w:p>
      <w:pPr>
        <w:pStyle w:val="3"/>
        <w:spacing w:before="0" w:after="120"/>
        <w:ind w:firstLine="480" w:firstLineChars="200"/>
        <w:jc w:val="both"/>
        <w:rPr>
          <w:color w:val="auto"/>
        </w:rPr>
      </w:pPr>
      <w:r>
        <w:rPr>
          <w:rFonts w:ascii="Times New Roman" w:hAnsi="Times New Roman"/>
          <w:sz w:val="22"/>
        </w:rPr>
        <w:t xml:space="preserve">Although the present study is restricted to the 2.5D extrusion formulation (vertical fractures in a layered reservoir), the sensitivity of mesh quality to fracture inclination can be estimated within this framework. When a fracture plane deviates from vertical by an angle phi, the effective in-plane trace projected onto the areal generation plane is foreshortened by a factor of cos(phi), while the constraint enforcement remains exact in the areal sense. The K-orthogonality fraction degrades approximately as cos-squared(phi) at faces intersecting inclined constraints, because the 2D Voronoi dual face is orthogonal to the projected trace but not necessarily to the true 3D fracture surface. For phi = 15 degrees, the projected K-orthogonality fraction is estimated at 95.8% (cf. 97.1% for the vertical base case); for phi = 30 degrees, it declines to approximately 91.5%. These estimates are conservative lower bounds, as they neglect the compensatory effect of the extrusion step, which partially restores orthogonality in the vertical direction. A rigorous treatment of arbitrarily oriented non-planar fractures requires fully 3D constrained Voronoi meshing (see Section 4.3).</w:t>
      </w:r>
    </w:p>
    <w:p w14:paraId="45B4B8EE">
      <w:pPr>
        <w:pStyle w:val="3"/>
        <w:spacing w:before="0" w:after="120"/>
        <w:ind w:firstLine="480" w:firstLineChars="200"/>
        <w:jc w:val="both"/>
        <w:rPr>
          <w:color w:val="auto"/>
        </w:rPr>
      </w:pPr>
      <w:r>
        <w:rPr>
          <w:color w:val="auto"/>
        </w:rPr>
        <w:t>The complete generation workflow and local mesh detail are illustrated in Figs. 2 and 3. Figure 4 reports the resulting orthogonality statistics: K-orthogonality (</w:t>
      </w:r>
      <m:oMath>
        <m:r>
          <m:rPr/>
          <w:rPr>
            <w:color w:val="auto"/>
          </w:rPr>
          <m:t>θ≤</m:t>
        </m:r>
        <m:sSup>
          <m:sSupPr>
            <m:ctrlPr>
              <w:rPr>
                <w:color w:val="auto"/>
              </w:rPr>
            </m:ctrlPr>
          </m:sSupPr>
          <m:e>
            <m:r>
              <m:rPr/>
              <w:rPr>
                <w:color w:val="auto"/>
              </w:rPr>
              <m:t>5</m:t>
            </m:r>
            <m:ctrlPr>
              <w:rPr>
                <w:color w:val="auto"/>
              </w:rPr>
            </m:ctrlPr>
          </m:e>
          <m:sup>
            <m:r>
              <m:rPr/>
              <w:rPr>
                <w:color w:val="auto"/>
              </w:rPr>
              <m:t>∘</m:t>
            </m:r>
            <m:ctrlPr>
              <w:rPr>
                <w:color w:val="auto"/>
              </w:rPr>
            </m:ctrlPr>
          </m:sup>
        </m:sSup>
      </m:oMath>
      <w:r>
        <w:rPr>
          <w:color w:val="auto"/>
        </w:rPr>
        <w:t xml:space="preserve">) is maintained on 97.1% of faces for the base configuration, with a maximum observed deviation of 3.4°. The spatial distribution of non-orthogonal faces is concentrated near fracture tips where curvature in the local Delaunay triangulation is highest; fewer than 0.5% of faces exceed </w:t>
      </w:r>
      <m:oMath>
        <m:r>
          <m:rPr/>
          <w:rPr>
            <w:color w:val="auto"/>
          </w:rPr>
          <m:t>θ=</m:t>
        </m:r>
        <m:sSup>
          <m:sSupPr>
            <m:ctrlPr>
              <w:rPr>
                <w:color w:val="auto"/>
              </w:rPr>
            </m:ctrlPr>
          </m:sSupPr>
          <m:e>
            <m:r>
              <m:rPr/>
              <w:rPr>
                <w:color w:val="auto"/>
              </w:rPr>
              <m:t>3</m:t>
            </m:r>
            <m:ctrlPr>
              <w:rPr>
                <w:color w:val="auto"/>
              </w:rPr>
            </m:ctrlPr>
          </m:e>
          <m:sup>
            <m:r>
              <m:rPr/>
              <w:rPr>
                <w:color w:val="auto"/>
              </w:rPr>
              <m:t>∘</m:t>
            </m:r>
            <m:ctrlPr>
              <w:rPr>
                <w:color w:val="auto"/>
              </w:rPr>
            </m:ctrlPr>
          </m:sup>
        </m:sSup>
      </m:oMath>
      <w:r>
        <w:rPr>
          <w:color w:val="auto"/>
        </w:rPr>
        <w:t xml:space="preserve"> at distances greater than 10 m from any fracture.</w:t>
      </w:r>
    </w:p>
    <w:p w14:paraId="6237CC11">
      <w:pPr>
        <w:pStyle w:val="34"/>
        <w:rPr>
          <w:color w:val="auto"/>
        </w:rPr>
      </w:pPr>
      <w:r>
        <w:rPr>
          <w:color w:val="auto"/>
        </w:rPr>
        <w:drawing>
          <wp:inline distT="0" distB="0" distL="114300" distR="114300">
            <wp:extent cx="5334000" cy="1450340"/>
            <wp:effectExtent l="0" t="0" r="0" b="0"/>
            <wp:docPr id="2" name="Picture" descr="Fig. 2. End-to-end workflow. (1) Input fracture network. (2) Constrained point seeding using Eq. (9). (3) Constrained Delaunay triangulation construction. (4) Voronoi dual extraction. (5) Lloyd-based quality optimization. (6) Fully implicit assembly with CPR–SA-AMG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Fig. 2. End-to-end workflow. (1) Input fracture network. (2) Constrained point seeding using Eq. (9). (3) Constrained Delaunay triangulation construction. (4) Voronoi dual extraction. (5) Lloyd-based quality optimization. (6) Fully implicit assembly with CPR–SA-AMG solution."/>
                    <pic:cNvPicPr>
                      <a:picLocks noChangeAspect="1" noChangeArrowheads="1"/>
                    </pic:cNvPicPr>
                  </pic:nvPicPr>
                  <pic:blipFill>
                    <a:blip r:embed="rId6"/>
                    <a:stretch>
                      <a:fillRect/>
                    </a:stretch>
                  </pic:blipFill>
                  <pic:spPr>
                    <a:xfrm>
                      <a:off x="0" y="0"/>
                      <a:ext cx="5334000" cy="1450947"/>
                    </a:xfrm>
                    <a:prstGeom prst="rect">
                      <a:avLst/>
                    </a:prstGeom>
                    <a:noFill/>
                    <a:ln w="9525">
                      <a:noFill/>
                    </a:ln>
                  </pic:spPr>
                </pic:pic>
              </a:graphicData>
            </a:graphic>
          </wp:inline>
        </w:drawing>
      </w:r>
    </w:p>
    <w:p w14:paraId="5B8BAC7A">
      <w:pPr>
        <w:pStyle w:val="32"/>
        <w:jc w:val="center"/>
        <w:rPr>
          <w:color w:val="auto"/>
        </w:rPr>
      </w:pPr>
      <w:r>
        <w:rPr>
          <w:color w:val="auto"/>
        </w:rPr>
        <w:t>Fig. 2. End-to-end workflow. (1) Input fracture network. (2) Constrained point seeding using Eq. (9). (3) Constrained Delaunay triangulation construction. (4) Voronoi dual extraction. (5) Lloyd-based quality optimization. (6) Fully implicit assembly with CPR–SA-AMG solution.</w:t>
      </w:r>
    </w:p>
    <w:p w14:paraId="50200624">
      <w:pPr>
        <w:pStyle w:val="34"/>
        <w:rPr>
          <w:color w:val="auto"/>
        </w:rPr>
      </w:pPr>
      <w:r>
        <w:rPr>
          <w:color w:val="auto"/>
        </w:rPr>
        <w:drawing>
          <wp:inline distT="0" distB="0" distL="114300" distR="114300">
            <wp:extent cx="5334000" cy="1729105"/>
            <wp:effectExtent l="0" t="0" r="0" b="0"/>
            <wp:docPr id="3" name="Picture" descr="Fig. 3. Local mesh detail at a hydraulic–natural fracture intersection. (a) Distribution of generator points showing smooth density transition governed by the h-adaptation law (h_n = 1.0 m, h_f = 50.0 m, \alpha = 0.5 m⁻¹). (b) Voronoi dualization demonstrating exact face–fracture coincidence. (c) Cell aspect ratios remain bounded below 4 within the intersection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descr="Fig. 3. Local mesh detail at a hydraulic–natural fracture intersection. (a) Distribution of generator points showing smooth density transition governed by the h-adaptation law (h_n = 1.0 m, h_f = 50.0 m, \alpha = 0.5 m⁻¹). (b) Voronoi dualization demonstrating exact face–fracture coincidence. (c) Cell aspect ratios remain bounded below 4 within the intersection zone."/>
                    <pic:cNvPicPr>
                      <a:picLocks noChangeAspect="1" noChangeArrowheads="1"/>
                    </pic:cNvPicPr>
                  </pic:nvPicPr>
                  <pic:blipFill>
                    <a:blip r:embed="rId7"/>
                    <a:stretch>
                      <a:fillRect/>
                    </a:stretch>
                  </pic:blipFill>
                  <pic:spPr>
                    <a:xfrm>
                      <a:off x="0" y="0"/>
                      <a:ext cx="5334000" cy="1729496"/>
                    </a:xfrm>
                    <a:prstGeom prst="rect">
                      <a:avLst/>
                    </a:prstGeom>
                    <a:noFill/>
                    <a:ln w="9525">
                      <a:noFill/>
                    </a:ln>
                  </pic:spPr>
                </pic:pic>
              </a:graphicData>
            </a:graphic>
          </wp:inline>
        </w:drawing>
      </w:r>
    </w:p>
    <w:p w14:paraId="72773097">
      <w:pPr>
        <w:pStyle w:val="32"/>
        <w:jc w:val="center"/>
        <w:rPr>
          <w:color w:val="auto"/>
        </w:rPr>
      </w:pPr>
      <w:r>
        <w:rPr>
          <w:color w:val="auto"/>
        </w:rPr>
        <w:t xml:space="preserve">Fig. 3. Local mesh detail at a hydraulic–natural fracture intersection. (a) Distribution of generator points showing smooth density transition governed by the </w:t>
      </w:r>
      <m:oMath>
        <m:r>
          <m:rPr/>
          <w:rPr>
            <w:color w:val="auto"/>
          </w:rPr>
          <m:t>h</m:t>
        </m:r>
      </m:oMath>
      <w:r>
        <w:rPr>
          <w:color w:val="auto"/>
        </w:rPr>
        <w:t>-adaptation law (</w:t>
      </w:r>
      <m:oMath>
        <m:sSub>
          <m:sSubPr>
            <m:ctrlPr>
              <w:rPr>
                <w:color w:val="auto"/>
              </w:rPr>
            </m:ctrlPr>
          </m:sSubPr>
          <m:e>
            <m:r>
              <m:rPr/>
              <w:rPr>
                <w:color w:val="auto"/>
              </w:rPr>
              <m:t>h</m:t>
            </m:r>
            <m:ctrlPr>
              <w:rPr>
                <w:color w:val="auto"/>
              </w:rPr>
            </m:ctrlPr>
          </m:e>
          <m:sub>
            <m:r>
              <m:rPr/>
              <w:rPr>
                <w:color w:val="auto"/>
              </w:rPr>
              <m:t>n</m:t>
            </m:r>
            <m:ctrlPr>
              <w:rPr>
                <w:color w:val="auto"/>
              </w:rPr>
            </m:ctrlPr>
          </m:sub>
        </m:sSub>
        <m:r>
          <m:rPr/>
          <w:rPr>
            <w:color w:val="auto"/>
          </w:rPr>
          <m:t>=1.0</m:t>
        </m:r>
      </m:oMath>
      <w:r>
        <w:rPr>
          <w:color w:val="auto"/>
        </w:rPr>
        <w:t xml:space="preserve"> m, </w:t>
      </w:r>
      <m:oMath>
        <m:sSub>
          <m:sSubPr>
            <m:ctrlPr>
              <w:rPr>
                <w:color w:val="auto"/>
              </w:rPr>
            </m:ctrlPr>
          </m:sSubPr>
          <m:e>
            <m:r>
              <m:rPr/>
              <w:rPr>
                <w:color w:val="auto"/>
              </w:rPr>
              <m:t>h</m:t>
            </m:r>
            <m:ctrlPr>
              <w:rPr>
                <w:color w:val="auto"/>
              </w:rPr>
            </m:ctrlPr>
          </m:e>
          <m:sub>
            <m:r>
              <m:rPr/>
              <w:rPr>
                <w:color w:val="auto"/>
              </w:rPr>
              <m:t>f</m:t>
            </m:r>
            <m:ctrlPr>
              <w:rPr>
                <w:color w:val="auto"/>
              </w:rPr>
            </m:ctrlPr>
          </m:sub>
        </m:sSub>
        <m:r>
          <m:rPr/>
          <w:rPr>
            <w:color w:val="auto"/>
          </w:rPr>
          <m:t>=50.0</m:t>
        </m:r>
      </m:oMath>
      <w:r>
        <w:rPr>
          <w:color w:val="auto"/>
        </w:rPr>
        <w:t xml:space="preserve"> m, </w:t>
      </w:r>
      <m:oMath>
        <m:r>
          <m:rPr/>
          <w:rPr>
            <w:color w:val="auto"/>
          </w:rPr>
          <m:t>α=0.5</m:t>
        </m:r>
      </m:oMath>
      <w:r>
        <w:rPr>
          <w:color w:val="auto"/>
        </w:rPr>
        <w:t xml:space="preserve"> </w:t>
      </w:r>
      <m:oMath>
        <m:sSup>
          <m:sSupPr/>
          <m:e>
            <m:r>
              <w:rPr>
                <w:rFonts w:ascii="Cambria Math" w:hAnsi="Cambria Math"/>
                <w:i/>
              </w:rPr>
              <m:t xml:space="preserve">m</m:t>
            </m:r>
          </m:e>
          <m:sup>
            <m:r>
              <w:rPr>
                <w:rFonts w:ascii="Cambria Math" w:hAnsi="Cambria Math"/>
              </w:rPr>
              <m:t xml:space="preserve">-1</m:t>
            </m:r>
          </m:sup>
        </m:sSup>
      </m:oMath>
      <w:r>
        <w:rPr>
          <w:color w:val="auto"/>
        </w:rPr>
        <w:t xml:space="preserve">). (b) Voronoi dualization demonstrating exact face–fracture coincidence. (c) Cell aspect ratios remain bounded below 4 within the intersection zone.</w:t>
      </w:r>
    </w:p>
    <w:p w14:paraId="7B223500">
      <w:pPr>
        <w:pStyle w:val="34"/>
        <w:rPr>
          <w:color w:val="auto"/>
        </w:rPr>
      </w:pPr>
      <w:r>
        <w:rPr>
          <w:color w:val="auto"/>
        </w:rPr>
        <w:drawing>
          <wp:inline distT="0" distB="0" distL="114300" distR="114300">
            <wp:extent cx="3749040" cy="2763520"/>
            <wp:effectExtent l="0" t="0" r="0" b="0"/>
            <wp:docPr id="4" name="Picture" descr="Fig. 4. Histogram of the orthogonality angle \theta for the base configuration. The dashed vertical line marks the 5^\circ K-orthogonality threshold. 97.1% of faces lie below this threshold; the distribution is strongly right-skewed with a median \theta of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Fig. 4. Histogram of the orthogonality angle \theta for the base configuration. The dashed vertical line marks the 5^\circ K-orthogonality threshold. 97.1% of faces lie below this threshold; the distribution is strongly right-skewed with a median \theta of 1.2°."/>
                    <pic:cNvPicPr>
                      <a:picLocks noChangeAspect="1" noChangeArrowheads="1"/>
                    </pic:cNvPicPr>
                  </pic:nvPicPr>
                  <pic:blipFill>
                    <a:blip r:embed="rId8"/>
                    <a:stretch>
                      <a:fillRect/>
                    </a:stretch>
                  </pic:blipFill>
                  <pic:spPr>
                    <a:xfrm>
                      <a:off x="0" y="0"/>
                      <a:ext cx="3749457" cy="2764076"/>
                    </a:xfrm>
                    <a:prstGeom prst="rect">
                      <a:avLst/>
                    </a:prstGeom>
                    <a:noFill/>
                    <a:ln w="9525">
                      <a:noFill/>
                    </a:ln>
                  </pic:spPr>
                </pic:pic>
              </a:graphicData>
            </a:graphic>
          </wp:inline>
        </w:drawing>
      </w:r>
    </w:p>
    <w:p w14:paraId="47324667">
      <w:pPr>
        <w:pStyle w:val="32"/>
        <w:jc w:val="center"/>
        <w:rPr>
          <w:color w:val="auto"/>
        </w:rPr>
      </w:pPr>
      <w:r>
        <w:rPr>
          <w:color w:val="auto"/>
        </w:rPr>
        <w:t xml:space="preserve">Fig. 4. Histogram of the orthogonality angle </w:t>
      </w:r>
      <m:oMath>
        <m:r>
          <m:rPr/>
          <w:rPr>
            <w:color w:val="auto"/>
          </w:rPr>
          <m:t>θ</m:t>
        </m:r>
      </m:oMath>
      <w:r>
        <w:rPr>
          <w:color w:val="auto"/>
        </w:rPr>
        <w:t xml:space="preserve"> for the base configuration. The dashed vertical line marks the </w:t>
      </w:r>
      <m:oMath>
        <m:sSup>
          <m:sSupPr>
            <m:ctrlPr>
              <w:rPr>
                <w:color w:val="auto"/>
              </w:rPr>
            </m:ctrlPr>
          </m:sSupPr>
          <m:e>
            <m:r>
              <m:rPr/>
              <w:rPr>
                <w:color w:val="auto"/>
              </w:rPr>
              <m:t>5</m:t>
            </m:r>
            <m:ctrlPr>
              <w:rPr>
                <w:color w:val="auto"/>
              </w:rPr>
            </m:ctrlPr>
          </m:e>
          <m:sup>
            <m:r>
              <m:rPr/>
              <w:rPr>
                <w:color w:val="auto"/>
              </w:rPr>
              <m:t>∘</m:t>
            </m:r>
            <m:ctrlPr>
              <w:rPr>
                <w:color w:val="auto"/>
              </w:rPr>
            </m:ctrlPr>
          </m:sup>
        </m:sSup>
      </m:oMath>
      <w:r>
        <w:rPr>
          <w:color w:val="auto"/>
        </w:rPr>
        <w:t xml:space="preserve"> K-orthogonality threshold. 97.1% of faces lie below this threshold; the distribution is strongly right-skewed with a median </w:t>
      </w:r>
      <m:oMath>
        <m:r>
          <m:rPr/>
          <w:rPr>
            <w:color w:val="auto"/>
          </w:rPr>
          <m:t>θ</m:t>
        </m:r>
      </m:oMath>
      <w:r>
        <w:rPr>
          <w:color w:val="auto"/>
        </w:rPr>
        <w:t xml:space="preserve"> of 1.2°.</w:t>
      </w:r>
    </w:p>
    <w:p w14:paraId="12E1BD07">
      <w:pPr>
        <w:pStyle w:val="3"/>
        <w:spacing w:before="0" w:after="120"/>
        <w:ind w:firstLine="480" w:firstLineChars="200"/>
        <w:jc w:val="center"/>
        <w:rPr>
          <w:color w:val="auto"/>
        </w:rPr>
      </w:pPr>
      <w:r>
        <w:rPr>
          <w:b/>
          <w:color w:val="auto"/>
        </w:rPr>
        <w:t>Table 3: Grid-quality metrics for the base case, DFN case, and alternative meshing approaches.</w:t>
      </w:r>
    </w:p>
    <w:tbl>
      <w:tblPr>
        <w:tblStyle w:val="28"/>
        <w:tblW w:w="10267" w:type="dxa"/>
        <w:jc w:val="center"/>
        <w:tblLayout w:type="autofit"/>
        <w:tblCellMar>
          <w:top w:w="0" w:type="dxa"/>
          <w:left w:w="108" w:type="dxa"/>
          <w:bottom w:w="0" w:type="dxa"/>
          <w:right w:w="108" w:type="dxa"/>
        </w:tblCellMar>
      </w:tblPr>
      <w:tblGrid>
        <w:gridCol w:w="2018"/>
        <w:gridCol w:w="1414"/>
        <w:gridCol w:w="2201"/>
        <w:gridCol w:w="2749"/>
        <w:gridCol w:w="1885"/>
      </w:tblGrid>
      <w:tr w14:paraId="1B5AF9F1">
        <w:tblPrEx>
          <w:tblCellMar>
            <w:top w:w="0" w:type="dxa"/>
            <w:left w:w="108" w:type="dxa"/>
            <w:bottom w:w="0" w:type="dxa"/>
            <w:right w:w="108" w:type="dxa"/>
          </w:tblCellMar>
        </w:tblPrEx>
        <w:trPr>
          <w:trHeight w:val="0" w:hRule="atLeast"/>
          <w:tblHeader/>
          <w:jc w:val="center"/>
        </w:trPr>
        <w:tc>
          <w:tcPr>
            <w:tcW w:w="0" w:type="auto"/>
            <w:tcBorders>
              <w:bottom w:val="single" w:color="auto" w:sz="0" w:space="0"/>
            </w:tcBorders>
            <w:vAlign w:val="center"/>
          </w:tcPr>
          <w:p w14:paraId="7D789E50">
            <w:pPr>
              <w:pStyle w:val="24"/>
              <w:snapToGrid w:val="0"/>
              <w:ind w:left="0" w:leftChars="0" w:right="0" w:rightChars="0" w:firstLine="0" w:firstLineChars="0"/>
              <w:jc w:val="center"/>
              <w:rPr>
                <w:b/>
                <w:color w:val="auto"/>
              </w:rPr>
            </w:pPr>
            <w:r>
              <w:rPr>
                <w:b/>
                <w:color w:val="auto"/>
              </w:rPr>
              <w:t>Metric</w:t>
            </w:r>
          </w:p>
        </w:tc>
        <w:tc>
          <w:tcPr>
            <w:tcW w:w="1414" w:type="dxa"/>
            <w:tcBorders>
              <w:bottom w:val="single" w:color="auto" w:sz="0" w:space="0"/>
            </w:tcBorders>
            <w:vAlign w:val="center"/>
          </w:tcPr>
          <w:p w14:paraId="422F67D6">
            <w:pPr>
              <w:pStyle w:val="24"/>
              <w:snapToGrid w:val="0"/>
              <w:ind w:left="0" w:leftChars="0" w:right="0" w:rightChars="0" w:firstLine="0" w:firstLineChars="0"/>
              <w:jc w:val="center"/>
              <w:rPr>
                <w:b/>
                <w:color w:val="auto"/>
              </w:rPr>
            </w:pPr>
            <w:r>
              <w:rPr>
                <w:b/>
                <w:color w:val="auto"/>
              </w:rPr>
              <w:t>Base Case</w:t>
            </w:r>
          </w:p>
        </w:tc>
        <w:tc>
          <w:tcPr>
            <w:tcW w:w="0" w:type="auto"/>
            <w:tcBorders>
              <w:bottom w:val="single" w:color="auto" w:sz="0" w:space="0"/>
            </w:tcBorders>
            <w:vAlign w:val="center"/>
          </w:tcPr>
          <w:p w14:paraId="0ECF00EA">
            <w:pPr>
              <w:pStyle w:val="24"/>
              <w:snapToGrid w:val="0"/>
              <w:ind w:left="0" w:leftChars="0" w:right="0" w:rightChars="0" w:firstLine="0" w:firstLineChars="0"/>
              <w:jc w:val="center"/>
              <w:rPr>
                <w:b/>
                <w:color w:val="auto"/>
              </w:rPr>
            </w:pPr>
            <w:r>
              <w:rPr>
                <w:b/>
                <w:color w:val="auto"/>
              </w:rPr>
              <w:t xml:space="preserve">DFN </w:t>
            </w:r>
          </w:p>
          <w:p w14:paraId="35DD925B">
            <w:pPr>
              <w:pStyle w:val="24"/>
              <w:snapToGrid w:val="0"/>
              <w:ind w:left="0" w:leftChars="0" w:right="0" w:rightChars="0" w:firstLine="0" w:firstLineChars="0"/>
              <w:jc w:val="center"/>
              <w:rPr>
                <w:b/>
                <w:color w:val="auto"/>
              </w:rPr>
            </w:pPr>
            <w:r>
              <w:rPr>
                <w:b/>
                <w:color w:val="auto"/>
              </w:rPr>
              <w:t>(1,247 fractures)</w:t>
            </w:r>
          </w:p>
        </w:tc>
        <w:tc>
          <w:tcPr>
            <w:tcW w:w="0" w:type="auto"/>
            <w:tcBorders>
              <w:bottom w:val="single" w:color="auto" w:sz="0" w:space="0"/>
            </w:tcBorders>
            <w:vAlign w:val="center"/>
          </w:tcPr>
          <w:p w14:paraId="18D19640">
            <w:pPr>
              <w:pStyle w:val="24"/>
              <w:snapToGrid w:val="0"/>
              <w:ind w:left="0" w:leftChars="0" w:right="0" w:rightChars="0" w:firstLine="0" w:firstLineChars="0"/>
              <w:jc w:val="center"/>
              <w:rPr>
                <w:b/>
                <w:color w:val="auto"/>
              </w:rPr>
            </w:pPr>
            <w:r>
              <w:rPr>
                <w:b/>
                <w:color w:val="auto"/>
              </w:rPr>
              <w:t xml:space="preserve">Standard Unstructured </w:t>
            </w:r>
          </w:p>
          <w:p w14:paraId="12165B10">
            <w:pPr>
              <w:pStyle w:val="24"/>
              <w:snapToGrid w:val="0"/>
              <w:ind w:left="0" w:leftChars="0" w:right="0" w:rightChars="0" w:firstLine="0" w:firstLineChars="0"/>
              <w:jc w:val="center"/>
              <w:rPr>
                <w:b/>
                <w:color w:val="auto"/>
              </w:rPr>
            </w:pPr>
            <w:r>
              <w:rPr>
                <w:b/>
                <w:color w:val="auto"/>
              </w:rPr>
              <w:t>(DFN)</w:t>
            </w:r>
          </w:p>
        </w:tc>
        <w:tc>
          <w:tcPr>
            <w:tcW w:w="1885" w:type="dxa"/>
            <w:tcBorders>
              <w:bottom w:val="single" w:color="auto" w:sz="0" w:space="0"/>
            </w:tcBorders>
            <w:vAlign w:val="center"/>
          </w:tcPr>
          <w:p w14:paraId="5893D7F4">
            <w:pPr>
              <w:pStyle w:val="24"/>
              <w:snapToGrid w:val="0"/>
              <w:ind w:left="0" w:leftChars="0" w:right="0" w:rightChars="0" w:firstLine="0" w:firstLineChars="0"/>
              <w:jc w:val="center"/>
              <w:rPr>
                <w:b/>
                <w:color w:val="auto"/>
              </w:rPr>
            </w:pPr>
            <w:r>
              <w:rPr>
                <w:b/>
                <w:color w:val="auto"/>
              </w:rPr>
              <w:t>Cartesian LGR</w:t>
            </w:r>
          </w:p>
        </w:tc>
      </w:tr>
      <w:tr w14:paraId="6166DFC3">
        <w:tblPrEx>
          <w:tblCellMar>
            <w:top w:w="0" w:type="dxa"/>
            <w:left w:w="108" w:type="dxa"/>
            <w:bottom w:w="0" w:type="dxa"/>
            <w:right w:w="108" w:type="dxa"/>
          </w:tblCellMar>
        </w:tblPrEx>
        <w:trPr>
          <w:trHeight w:val="0" w:hRule="atLeast"/>
          <w:jc w:val="center"/>
        </w:trPr>
        <w:tc>
          <w:tcPr>
            <w:tcW w:w="0" w:type="auto"/>
            <w:vAlign w:val="center"/>
          </w:tcPr>
          <w:p w14:paraId="75B71313">
            <w:pPr>
              <w:pStyle w:val="24"/>
              <w:snapToGrid w:val="0"/>
              <w:ind w:left="0" w:leftChars="0" w:right="0" w:rightChars="0" w:firstLine="0" w:firstLineChars="0"/>
              <w:jc w:val="center"/>
              <w:rPr>
                <w:color w:val="auto"/>
              </w:rPr>
            </w:pPr>
            <w:r>
              <w:rPr>
                <w:color w:val="auto"/>
              </w:rPr>
              <w:t xml:space="preserve">Faces with </w:t>
            </w:r>
            <m:oMath>
              <m:r>
                <m:rPr/>
                <w:rPr>
                  <w:color w:val="auto"/>
                </w:rPr>
                <m:t>θ≤</m:t>
              </m:r>
              <m:sSup>
                <m:sSupPr>
                  <m:ctrlPr>
                    <w:rPr>
                      <w:color w:val="auto"/>
                    </w:rPr>
                  </m:ctrlPr>
                </m:sSupPr>
                <m:e>
                  <m:r>
                    <m:rPr/>
                    <w:rPr>
                      <w:color w:val="auto"/>
                    </w:rPr>
                    <m:t>5</m:t>
                  </m:r>
                  <m:ctrlPr>
                    <w:rPr>
                      <w:color w:val="auto"/>
                    </w:rPr>
                  </m:ctrlPr>
                </m:e>
                <m:sup>
                  <m:r>
                    <m:rPr/>
                    <w:rPr>
                      <w:color w:val="auto"/>
                    </w:rPr>
                    <m:t>∘</m:t>
                  </m:r>
                  <m:ctrlPr>
                    <w:rPr>
                      <w:color w:val="auto"/>
                    </w:rPr>
                  </m:ctrlPr>
                </m:sup>
              </m:sSup>
            </m:oMath>
          </w:p>
        </w:tc>
        <w:tc>
          <w:tcPr>
            <w:tcW w:w="1414" w:type="dxa"/>
            <w:vAlign w:val="center"/>
          </w:tcPr>
          <w:p w14:paraId="0ECB7C9E">
            <w:pPr>
              <w:pStyle w:val="24"/>
              <w:snapToGrid w:val="0"/>
              <w:ind w:left="0" w:leftChars="0" w:right="0" w:rightChars="0" w:firstLine="0" w:firstLineChars="0"/>
              <w:jc w:val="center"/>
              <w:rPr>
                <w:color w:val="auto"/>
              </w:rPr>
            </w:pPr>
            <w:r>
              <w:rPr>
                <w:color w:val="auto"/>
              </w:rPr>
              <w:t>97.1%</w:t>
            </w:r>
          </w:p>
        </w:tc>
        <w:tc>
          <w:tcPr>
            <w:tcW w:w="0" w:type="auto"/>
            <w:vAlign w:val="center"/>
          </w:tcPr>
          <w:p w14:paraId="040B8660">
            <w:pPr>
              <w:pStyle w:val="24"/>
              <w:snapToGrid w:val="0"/>
              <w:ind w:left="0" w:leftChars="0" w:right="0" w:rightChars="0" w:firstLine="0" w:firstLineChars="0"/>
              <w:jc w:val="right"/>
              <w:rPr>
                <w:color w:val="auto"/>
              </w:rPr>
            </w:pPr>
            <w:r>
              <w:rPr>
                <w:color w:val="auto"/>
              </w:rPr>
              <w:t>95.3%</w:t>
            </w:r>
          </w:p>
        </w:tc>
        <w:tc>
          <w:tcPr>
            <w:tcW w:w="0" w:type="auto"/>
            <w:vAlign w:val="center"/>
          </w:tcPr>
          <w:p w14:paraId="5D51EC19">
            <w:pPr>
              <w:pStyle w:val="24"/>
              <w:snapToGrid w:val="0"/>
              <w:ind w:left="0" w:leftChars="0" w:right="0" w:rightChars="0" w:firstLine="0" w:firstLineChars="0"/>
              <w:jc w:val="right"/>
              <w:rPr>
                <w:color w:val="auto"/>
              </w:rPr>
            </w:pPr>
            <w:r>
              <w:rPr>
                <w:color w:val="auto"/>
              </w:rPr>
              <w:t>81.2%</w:t>
            </w:r>
          </w:p>
        </w:tc>
        <w:tc>
          <w:tcPr>
            <w:tcW w:w="1885" w:type="dxa"/>
            <w:vAlign w:val="center"/>
          </w:tcPr>
          <w:p w14:paraId="05692B3C">
            <w:pPr>
              <w:pStyle w:val="24"/>
              <w:snapToGrid w:val="0"/>
              <w:ind w:left="0" w:leftChars="0" w:right="0" w:rightChars="0" w:firstLine="0" w:firstLineChars="0"/>
              <w:jc w:val="right"/>
              <w:rPr>
                <w:color w:val="auto"/>
              </w:rPr>
            </w:pPr>
            <w:r>
              <w:rPr>
                <w:color w:val="auto"/>
              </w:rPr>
              <w:t>62.4%^(a)</w:t>
            </w:r>
          </w:p>
        </w:tc>
      </w:tr>
      <w:tr w14:paraId="51485147">
        <w:tblPrEx>
          <w:tblCellMar>
            <w:top w:w="0" w:type="dxa"/>
            <w:left w:w="108" w:type="dxa"/>
            <w:bottom w:w="0" w:type="dxa"/>
            <w:right w:w="108" w:type="dxa"/>
          </w:tblCellMar>
        </w:tblPrEx>
        <w:trPr>
          <w:trHeight w:val="0" w:hRule="atLeast"/>
          <w:jc w:val="center"/>
        </w:trPr>
        <w:tc>
          <w:tcPr>
            <w:tcW w:w="0" w:type="auto"/>
            <w:vAlign w:val="center"/>
          </w:tcPr>
          <w:p w14:paraId="2AA73EB2">
            <w:pPr>
              <w:pStyle w:val="24"/>
              <w:snapToGrid w:val="0"/>
              <w:ind w:left="0" w:leftChars="0" w:right="0" w:rightChars="0" w:firstLine="0" w:firstLineChars="0"/>
              <w:jc w:val="center"/>
              <w:rPr>
                <w:color w:val="auto"/>
              </w:rPr>
            </w:pPr>
            <w:r>
              <w:rPr>
                <w:color w:val="auto"/>
              </w:rPr>
              <w:t>Maximum aspect ratio</w:t>
            </w:r>
          </w:p>
        </w:tc>
        <w:tc>
          <w:tcPr>
            <w:tcW w:w="1414" w:type="dxa"/>
            <w:vAlign w:val="center"/>
          </w:tcPr>
          <w:p w14:paraId="32D8CE35">
            <w:pPr>
              <w:pStyle w:val="24"/>
              <w:snapToGrid w:val="0"/>
              <w:ind w:left="0" w:leftChars="0" w:right="0" w:rightChars="0" w:firstLine="0" w:firstLineChars="0"/>
              <w:jc w:val="center"/>
              <w:rPr>
                <w:color w:val="auto"/>
              </w:rPr>
            </w:pPr>
            <w:r>
              <w:rPr>
                <w:color w:val="auto"/>
              </w:rPr>
              <w:t>3.8</w:t>
            </w:r>
          </w:p>
        </w:tc>
        <w:tc>
          <w:tcPr>
            <w:tcW w:w="0" w:type="auto"/>
            <w:vAlign w:val="center"/>
          </w:tcPr>
          <w:p w14:paraId="037E28D2">
            <w:pPr>
              <w:pStyle w:val="24"/>
              <w:snapToGrid w:val="0"/>
              <w:ind w:left="0" w:leftChars="0" w:right="0" w:rightChars="0" w:firstLine="0" w:firstLineChars="0"/>
              <w:jc w:val="right"/>
              <w:rPr>
                <w:color w:val="auto"/>
              </w:rPr>
            </w:pPr>
            <w:r>
              <w:rPr>
                <w:color w:val="auto"/>
              </w:rPr>
              <w:t>4.7</w:t>
            </w:r>
          </w:p>
        </w:tc>
        <w:tc>
          <w:tcPr>
            <w:tcW w:w="0" w:type="auto"/>
            <w:vAlign w:val="center"/>
          </w:tcPr>
          <w:p w14:paraId="66693C93">
            <w:pPr>
              <w:pStyle w:val="24"/>
              <w:snapToGrid w:val="0"/>
              <w:ind w:left="0" w:leftChars="0" w:right="0" w:rightChars="0" w:firstLine="0" w:firstLineChars="0"/>
              <w:jc w:val="right"/>
              <w:rPr>
                <w:color w:val="auto"/>
              </w:rPr>
            </w:pPr>
            <w:r>
              <w:rPr>
                <w:color w:val="auto"/>
              </w:rPr>
              <w:t>12.3</w:t>
            </w:r>
          </w:p>
        </w:tc>
        <w:tc>
          <w:tcPr>
            <w:tcW w:w="1885" w:type="dxa"/>
            <w:vAlign w:val="center"/>
          </w:tcPr>
          <w:p w14:paraId="331C5ECA">
            <w:pPr>
              <w:pStyle w:val="24"/>
              <w:snapToGrid w:val="0"/>
              <w:ind w:left="0" w:leftChars="0" w:right="0" w:rightChars="0" w:firstLine="0" w:firstLineChars="0"/>
              <w:jc w:val="right"/>
              <w:rPr>
                <w:color w:val="auto"/>
              </w:rPr>
            </w:pPr>
            <w:r>
              <w:rPr>
                <w:color w:val="auto"/>
              </w:rPr>
              <w:t>8.5</w:t>
            </w:r>
          </w:p>
        </w:tc>
      </w:tr>
      <w:tr w14:paraId="42F30F4B">
        <w:tblPrEx>
          <w:tblCellMar>
            <w:top w:w="0" w:type="dxa"/>
            <w:left w:w="108" w:type="dxa"/>
            <w:bottom w:w="0" w:type="dxa"/>
            <w:right w:w="108" w:type="dxa"/>
          </w:tblCellMar>
        </w:tblPrEx>
        <w:trPr>
          <w:trHeight w:val="0" w:hRule="atLeast"/>
          <w:jc w:val="center"/>
        </w:trPr>
        <w:tc>
          <w:tcPr>
            <w:tcW w:w="0" w:type="auto"/>
            <w:vAlign w:val="center"/>
          </w:tcPr>
          <w:p w14:paraId="1821E324">
            <w:pPr>
              <w:pStyle w:val="24"/>
              <w:snapToGrid w:val="0"/>
              <w:ind w:left="0" w:leftChars="0" w:right="0" w:rightChars="0" w:firstLine="0" w:firstLineChars="0"/>
              <w:jc w:val="center"/>
              <w:rPr>
                <w:color w:val="auto"/>
              </w:rPr>
            </w:pPr>
            <w:r>
              <w:rPr>
                <w:color w:val="auto"/>
              </w:rPr>
              <w:t xml:space="preserve">Adjacent size ratio </w:t>
            </w:r>
            <m:oMath>
              <m:r>
                <m:rPr/>
                <w:rPr>
                  <w:color w:val="auto"/>
                </w:rPr>
                <m:t>≤3</m:t>
              </m:r>
            </m:oMath>
          </w:p>
        </w:tc>
        <w:tc>
          <w:tcPr>
            <w:tcW w:w="1414" w:type="dxa"/>
            <w:vAlign w:val="center"/>
          </w:tcPr>
          <w:p w14:paraId="629BA7C7">
            <w:pPr>
              <w:pStyle w:val="24"/>
              <w:snapToGrid w:val="0"/>
              <w:ind w:left="0" w:leftChars="0" w:right="0" w:rightChars="0" w:firstLine="0" w:firstLineChars="0"/>
              <w:jc w:val="center"/>
              <w:rPr>
                <w:color w:val="auto"/>
              </w:rPr>
            </w:pPr>
            <w:r>
              <w:rPr>
                <w:color w:val="auto"/>
              </w:rPr>
              <w:t>98.6%</w:t>
            </w:r>
          </w:p>
        </w:tc>
        <w:tc>
          <w:tcPr>
            <w:tcW w:w="0" w:type="auto"/>
            <w:vAlign w:val="center"/>
          </w:tcPr>
          <w:p w14:paraId="7DF473C7">
            <w:pPr>
              <w:pStyle w:val="24"/>
              <w:snapToGrid w:val="0"/>
              <w:ind w:left="0" w:leftChars="0" w:right="0" w:rightChars="0" w:firstLine="0" w:firstLineChars="0"/>
              <w:jc w:val="right"/>
              <w:rPr>
                <w:color w:val="auto"/>
              </w:rPr>
            </w:pPr>
            <w:r>
              <w:rPr>
                <w:color w:val="auto"/>
              </w:rPr>
              <w:t>96.8%</w:t>
            </w:r>
          </w:p>
        </w:tc>
        <w:tc>
          <w:tcPr>
            <w:tcW w:w="0" w:type="auto"/>
            <w:vAlign w:val="center"/>
          </w:tcPr>
          <w:p w14:paraId="7144F7D4">
            <w:pPr>
              <w:pStyle w:val="24"/>
              <w:snapToGrid w:val="0"/>
              <w:ind w:left="0" w:leftChars="0" w:right="0" w:rightChars="0" w:firstLine="0" w:firstLineChars="0"/>
              <w:jc w:val="right"/>
              <w:rPr>
                <w:color w:val="auto"/>
              </w:rPr>
            </w:pPr>
            <w:r>
              <w:rPr>
                <w:color w:val="auto"/>
              </w:rPr>
              <w:t>78.2%</w:t>
            </w:r>
          </w:p>
        </w:tc>
        <w:tc>
          <w:tcPr>
            <w:tcW w:w="1885" w:type="dxa"/>
            <w:vAlign w:val="center"/>
          </w:tcPr>
          <w:p w14:paraId="5380F9E1">
            <w:pPr>
              <w:pStyle w:val="24"/>
              <w:snapToGrid w:val="0"/>
              <w:ind w:left="0" w:leftChars="0" w:right="0" w:rightChars="0" w:firstLine="0" w:firstLineChars="0"/>
              <w:jc w:val="right"/>
              <w:rPr>
                <w:color w:val="auto"/>
              </w:rPr>
            </w:pPr>
            <w:r>
              <w:rPr>
                <w:color w:val="auto"/>
              </w:rPr>
              <w:t>91.3%</w:t>
            </w:r>
          </w:p>
        </w:tc>
      </w:tr>
      <w:tr w14:paraId="32F19C34">
        <w:tblPrEx>
          <w:tblCellMar>
            <w:top w:w="0" w:type="dxa"/>
            <w:left w:w="108" w:type="dxa"/>
            <w:bottom w:w="0" w:type="dxa"/>
            <w:right w:w="108" w:type="dxa"/>
          </w:tblCellMar>
        </w:tblPrEx>
        <w:trPr>
          <w:trHeight w:val="0" w:hRule="atLeast"/>
          <w:jc w:val="center"/>
        </w:trPr>
        <w:tc>
          <w:tcPr>
            <w:tcW w:w="0" w:type="auto"/>
            <w:vAlign w:val="center"/>
          </w:tcPr>
          <w:p w14:paraId="4F172B22">
            <w:pPr>
              <w:pStyle w:val="24"/>
              <w:snapToGrid w:val="0"/>
              <w:ind w:left="0" w:leftChars="0" w:right="0" w:rightChars="0" w:firstLine="0" w:firstLineChars="0"/>
              <w:jc w:val="center"/>
              <w:rPr>
                <w:color w:val="auto"/>
              </w:rPr>
            </w:pPr>
            <w:r>
              <w:rPr>
                <w:color w:val="auto"/>
              </w:rPr>
              <w:t>Total cells (thousands)</w:t>
            </w:r>
          </w:p>
        </w:tc>
        <w:tc>
          <w:tcPr>
            <w:tcW w:w="1414" w:type="dxa"/>
            <w:vAlign w:val="center"/>
          </w:tcPr>
          <w:p w14:paraId="30FA555B">
            <w:pPr>
              <w:pStyle w:val="24"/>
              <w:snapToGrid w:val="0"/>
              <w:ind w:left="0" w:leftChars="0" w:right="0" w:rightChars="0" w:firstLine="0" w:firstLineChars="0"/>
              <w:jc w:val="center"/>
              <w:rPr>
                <w:color w:val="auto"/>
              </w:rPr>
            </w:pPr>
            <w:r>
              <w:rPr>
                <w:color w:val="auto"/>
              </w:rPr>
              <w:t>1 024</w:t>
            </w:r>
          </w:p>
        </w:tc>
        <w:tc>
          <w:tcPr>
            <w:tcW w:w="0" w:type="auto"/>
            <w:vAlign w:val="center"/>
          </w:tcPr>
          <w:p w14:paraId="5AA01013">
            <w:pPr>
              <w:pStyle w:val="24"/>
              <w:snapToGrid w:val="0"/>
              <w:ind w:left="0" w:leftChars="0" w:right="0" w:rightChars="0" w:firstLine="0" w:firstLineChars="0"/>
              <w:jc w:val="right"/>
              <w:rPr>
                <w:color w:val="auto"/>
              </w:rPr>
            </w:pPr>
            <w:r>
              <w:rPr>
                <w:color w:val="auto"/>
              </w:rPr>
              <w:t>1 847</w:t>
            </w:r>
          </w:p>
        </w:tc>
        <w:tc>
          <w:tcPr>
            <w:tcW w:w="0" w:type="auto"/>
            <w:vAlign w:val="center"/>
          </w:tcPr>
          <w:p w14:paraId="5B2889DA">
            <w:pPr>
              <w:pStyle w:val="24"/>
              <w:snapToGrid w:val="0"/>
              <w:ind w:left="0" w:leftChars="0" w:right="0" w:rightChars="0" w:firstLine="0" w:firstLineChars="0"/>
              <w:jc w:val="right"/>
              <w:rPr>
                <w:color w:val="auto"/>
              </w:rPr>
            </w:pPr>
            <w:r>
              <w:rPr>
                <w:color w:val="auto"/>
              </w:rPr>
              <w:t>2 310</w:t>
            </w:r>
          </w:p>
        </w:tc>
        <w:tc>
          <w:tcPr>
            <w:tcW w:w="1885" w:type="dxa"/>
            <w:vAlign w:val="center"/>
          </w:tcPr>
          <w:p w14:paraId="36BC9BA8">
            <w:pPr>
              <w:pStyle w:val="24"/>
              <w:snapToGrid w:val="0"/>
              <w:ind w:left="0" w:leftChars="0" w:right="0" w:rightChars="0" w:firstLine="0" w:firstLineChars="0"/>
              <w:jc w:val="right"/>
              <w:rPr>
                <w:color w:val="auto"/>
              </w:rPr>
            </w:pPr>
            <w:r>
              <w:rPr>
                <w:color w:val="auto"/>
              </w:rPr>
              <w:t>1 536</w:t>
            </w:r>
          </w:p>
        </w:tc>
      </w:tr>
      <w:tr w14:paraId="1899F360">
        <w:tblPrEx>
          <w:tblCellMar>
            <w:top w:w="0" w:type="dxa"/>
            <w:left w:w="108" w:type="dxa"/>
            <w:bottom w:w="0" w:type="dxa"/>
            <w:right w:w="108" w:type="dxa"/>
          </w:tblCellMar>
        </w:tblPrEx>
        <w:trPr>
          <w:trHeight w:val="0" w:hRule="atLeast"/>
          <w:jc w:val="center"/>
        </w:trPr>
        <w:tc>
          <w:tcPr>
            <w:tcW w:w="2018" w:type="dxa"/>
            <w:vAlign w:val="center"/>
          </w:tcPr>
          <w:p w14:paraId="7FB451A0">
            <w:pPr>
              <w:pStyle w:val="24"/>
              <w:snapToGrid w:val="0"/>
              <w:ind w:left="0" w:leftChars="0" w:right="0" w:rightChars="0" w:firstLine="0" w:firstLineChars="0"/>
              <w:jc w:val="center"/>
              <w:rPr>
                <w:color w:val="auto"/>
              </w:rPr>
            </w:pPr>
            <w:r>
              <w:rPr>
                <w:color w:val="auto"/>
              </w:rPr>
              <w:t>Steiner point fraction</w:t>
            </w:r>
          </w:p>
        </w:tc>
        <w:tc>
          <w:tcPr>
            <w:tcW w:w="1414" w:type="dxa"/>
            <w:vAlign w:val="center"/>
          </w:tcPr>
          <w:p w14:paraId="2A52C409">
            <w:pPr>
              <w:pStyle w:val="24"/>
              <w:snapToGrid w:val="0"/>
              <w:ind w:left="0" w:leftChars="0" w:right="0" w:rightChars="0" w:firstLine="0" w:firstLineChars="0"/>
              <w:jc w:val="center"/>
              <w:rPr>
                <w:color w:val="auto"/>
              </w:rPr>
            </w:pPr>
            <w:r>
              <w:rPr>
                <w:color w:val="auto"/>
              </w:rPr>
              <w:t>8.3%</w:t>
            </w:r>
          </w:p>
        </w:tc>
        <w:tc>
          <w:tcPr>
            <w:tcW w:w="2201" w:type="dxa"/>
            <w:vAlign w:val="center"/>
          </w:tcPr>
          <w:p w14:paraId="2DDFEB03">
            <w:pPr>
              <w:pStyle w:val="24"/>
              <w:snapToGrid w:val="0"/>
              <w:ind w:left="0" w:leftChars="0" w:right="0" w:rightChars="0" w:firstLine="0" w:firstLineChars="0"/>
              <w:jc w:val="right"/>
              <w:rPr>
                <w:color w:val="auto"/>
              </w:rPr>
            </w:pPr>
            <w:r>
              <w:rPr>
                <w:color w:val="auto"/>
              </w:rPr>
              <w:t>14.7%</w:t>
            </w:r>
          </w:p>
        </w:tc>
        <w:tc>
          <w:tcPr>
            <w:tcW w:w="2749" w:type="dxa"/>
            <w:vAlign w:val="center"/>
          </w:tcPr>
          <w:p w14:paraId="1E0CA51A">
            <w:pPr>
              <w:pStyle w:val="24"/>
              <w:snapToGrid w:val="0"/>
              <w:ind w:left="0" w:leftChars="0" w:right="0" w:rightChars="0" w:firstLine="0" w:firstLineChars="0"/>
              <w:jc w:val="right"/>
              <w:rPr>
                <w:color w:val="auto"/>
              </w:rPr>
            </w:pPr>
            <w:r>
              <w:rPr>
                <w:color w:val="auto"/>
              </w:rPr>
              <w:t>22.5%</w:t>
            </w:r>
          </w:p>
        </w:tc>
        <w:tc>
          <w:tcPr>
            <w:tcW w:w="1885" w:type="dxa"/>
            <w:vAlign w:val="center"/>
          </w:tcPr>
          <w:p w14:paraId="4347ED9B">
            <w:pPr>
              <w:pStyle w:val="24"/>
              <w:snapToGrid w:val="0"/>
              <w:ind w:left="0" w:leftChars="0" w:right="0" w:rightChars="0" w:firstLine="0" w:firstLineChars="0"/>
              <w:jc w:val="right"/>
              <w:rPr>
                <w:color w:val="auto"/>
              </w:rPr>
            </w:pPr>
            <w:r>
              <w:rPr>
                <w:color w:val="auto"/>
              </w:rPr>
              <w:t>N/A</w:t>
            </w:r>
          </w:p>
        </w:tc>
      </w:tr>
    </w:tbl>
    <w:p w14:paraId="55E84F26">
      <w:pPr>
        <w:pStyle w:val="3"/>
        <w:spacing w:before="0" w:after="120"/>
        <w:ind w:firstLine="480" w:firstLineChars="200"/>
        <w:jc w:val="both"/>
        <w:rPr>
          <w:color w:val="auto"/>
        </w:rPr>
      </w:pPr>
      <w:r>
        <w:rPr>
          <w:color w:val="auto"/>
        </w:rPr>
        <w:t>^(a) The 62.4% value for Cartesian LGR pertains to the base case (100 hydraulic fractures only, no DFN). Under DFN insertion (1,247 additional obliquely oriented natural fractures), this fraction decreases to 58.7% (Table 12). This 3.7 percentage-point drop arises because each obliquely oriented natural fracture requires staircase approximation on the Cartesian grid, generating additional transition faces that violate the K-orthogonality condition. Unlike the PEBI mesh, whose face conformity is preserved by the Voronoi dual construction regardless of fracture count, the Cartesian LGR’s K-orthogonality degrades monotonically with each obliquely oriented fracture added to the domain.</w:t>
      </w:r>
    </w:p>
    <w:p w14:paraId="04B0D8DE">
      <w:pPr>
        <w:pStyle w:val="5"/>
        <w:spacing w:before="360" w:after="120"/>
        <w:ind w:firstLine="0"/>
        <w:rPr>
          <w:color w:val="auto"/>
        </w:rPr>
      </w:pPr>
      <w:bookmarkStart w:id="11" w:name="X738d83d17439b5102e92bc417e442cbfc692708"/>
      <w:r>
        <w:rPr>
          <w:color w:val="auto"/>
        </w:rPr>
        <w:t>2.4 Fully Implicit Linearization and CPR–SA-AMG</w:t>
      </w:r>
      <w:bookmarkEnd w:id="11"/>
    </w:p>
    <w:p w14:paraId="6FEC23A8">
      <w:pPr>
        <w:pStyle w:val="23"/>
        <w:spacing w:before="0" w:after="120"/>
        <w:ind w:firstLine="480" w:firstLineChars="200"/>
        <w:jc w:val="both"/>
        <w:rPr>
          <w:color w:val="auto"/>
        </w:rPr>
      </w:pPr>
      <w:r>
        <w:rPr>
          <w:color w:val="auto"/>
        </w:rPr>
        <w:t>Backward Euler time integration paired with Newton–Raphson linearization yields the block-structured algebraic system</w:t>
      </w:r>
    </w:p>
    <w:p w14:paraId="2B835517">
      <w:pPr>
        <w:pStyle w:val="3"/>
        <w:spacing w:before="0" w:after="120"/>
        <w:ind w:firstLine="480" w:firstLineChars="200"/>
        <w:jc w:val="both"/>
        <w:rPr>
          <w:color w:val="auto"/>
        </w:rPr>
      </w:pPr>
      <m:oMathPara>
        <m:oMathParaPr>
          <m:jc m:val="center"/>
        </m:oMathParaPr>
        <m:oMath>
          <m:r>
            <m:rPr/>
            <w:rPr>
              <w:color w:val="auto"/>
            </w:rPr>
            <m:t>Aδx=−R  (11)</m:t>
          </m:r>
        </m:oMath>
      </m:oMathPara>
    </w:p>
    <w:p w14:paraId="6D0C0DC0">
      <w:pPr>
        <w:pStyle w:val="23"/>
        <w:spacing w:before="0" w:after="120"/>
        <w:ind w:firstLine="480" w:firstLineChars="200"/>
        <w:jc w:val="both"/>
        <w:rPr>
          <w:color w:val="auto"/>
        </w:rPr>
      </w:pPr>
      <w:r>
        <w:rPr>
          <w:color w:val="auto"/>
        </w:rPr>
        <w:t xml:space="preserve">With three primary unknowns per cell — pressure </w:t>
      </w:r>
      <m:oMath>
        <m:r>
          <m:rPr/>
          <w:rPr>
            <w:color w:val="auto"/>
          </w:rPr>
          <m:t>p</m:t>
        </m:r>
      </m:oMath>
      <w:r>
        <w:rPr>
          <w:color w:val="auto"/>
        </w:rPr>
        <w:t xml:space="preserve">, oil saturation </w:t>
      </w:r>
      <m:oMath>
        <m:sSub>
          <m:sSubPr>
            <m:ctrlPr>
              <w:rPr>
                <w:color w:val="auto"/>
              </w:rPr>
            </m:ctrlPr>
          </m:sSubPr>
          <m:e>
            <m:r>
              <m:rPr/>
              <w:rPr>
                <w:color w:val="auto"/>
              </w:rPr>
              <m:t>S</m:t>
            </m:r>
            <m:ctrlPr>
              <w:rPr>
                <w:color w:val="auto"/>
              </w:rPr>
            </m:ctrlPr>
          </m:e>
          <m:sub>
            <m:r>
              <m:rPr/>
              <w:rPr>
                <w:color w:val="auto"/>
              </w:rPr>
              <m:t>o</m:t>
            </m:r>
            <m:ctrlPr>
              <w:rPr>
                <w:color w:val="auto"/>
              </w:rPr>
            </m:ctrlPr>
          </m:sub>
        </m:sSub>
      </m:oMath>
      <w:r>
        <w:rPr>
          <w:color w:val="auto"/>
        </w:rPr>
        <w:t xml:space="preserve">, and bubble-point pressure </w:t>
      </w:r>
      <m:oMath>
        <m:sSub>
          <m:sSubPr>
            <m:ctrlPr>
              <w:rPr>
                <w:color w:val="auto"/>
              </w:rPr>
            </m:ctrlPr>
          </m:sSubPr>
          <m:e>
            <m:r>
              <m:rPr/>
              <w:rPr>
                <w:color w:val="auto"/>
              </w:rPr>
              <m:t>p</m:t>
            </m:r>
            <m:ctrlPr>
              <w:rPr>
                <w:color w:val="auto"/>
              </w:rPr>
            </m:ctrlPr>
          </m:e>
          <m:sub>
            <m:r>
              <m:rPr/>
              <w:rPr>
                <w:color w:val="auto"/>
              </w:rPr>
              <m:t>b</m:t>
            </m:r>
            <m:ctrlPr>
              <w:rPr>
                <w:color w:val="auto"/>
              </w:rPr>
            </m:ctrlPr>
          </m:sub>
        </m:sSub>
      </m:oMath>
      <w:r>
        <w:rPr>
          <w:color w:val="auto"/>
        </w:rPr>
        <w:t xml:space="preserve"> (or equivalent) — the matrix </w:t>
      </w:r>
      <m:oMath>
        <m:r>
          <m:rPr/>
          <w:rPr>
            <w:color w:val="auto"/>
          </w:rPr>
          <m:t>A</m:t>
        </m:r>
      </m:oMath>
      <w:r>
        <w:rPr>
          <w:color w:val="auto"/>
        </w:rPr>
        <w:t xml:space="preserve"> measures </w:t>
      </w:r>
      <m:oMath>
        <m:r>
          <m:rPr/>
          <w:rPr>
            <w:color w:val="auto"/>
          </w:rPr>
          <m:t>3</m:t>
        </m:r>
        <m:sSub>
          <m:sSubPr>
            <m:ctrlPr>
              <w:rPr>
                <w:color w:val="auto"/>
              </w:rPr>
            </m:ctrlPr>
          </m:sSubPr>
          <m:e>
            <m:r>
              <m:rPr/>
              <w:rPr>
                <w:color w:val="auto"/>
              </w:rPr>
              <m:t>N</m:t>
            </m:r>
            <m:ctrlPr>
              <w:rPr>
                <w:color w:val="auto"/>
              </w:rPr>
            </m:ctrlPr>
          </m:e>
          <m:sub>
            <m:r>
              <m:rPr/>
              <w:rPr>
                <w:color w:val="auto"/>
              </w:rPr>
              <m:t>c</m:t>
            </m:r>
            <m:ctrlPr>
              <w:rPr>
                <w:color w:val="auto"/>
              </w:rPr>
            </m:ctrlPr>
          </m:sub>
        </m:sSub>
        <m:r>
          <m:rPr/>
          <w:rPr>
            <w:color w:val="auto"/>
          </w:rPr>
          <m:t>×3</m:t>
        </m:r>
        <m:sSub>
          <m:sSubPr>
            <m:ctrlPr>
              <w:rPr>
                <w:color w:val="auto"/>
              </w:rPr>
            </m:ctrlPr>
          </m:sSubPr>
          <m:e>
            <m:r>
              <m:rPr/>
              <w:rPr>
                <w:color w:val="auto"/>
              </w:rPr>
              <m:t>N</m:t>
            </m:r>
            <m:ctrlPr>
              <w:rPr>
                <w:color w:val="auto"/>
              </w:rPr>
            </m:ctrlPr>
          </m:e>
          <m:sub>
            <m:r>
              <m:rPr/>
              <w:rPr>
                <w:color w:val="auto"/>
              </w:rPr>
              <m:t>c</m:t>
            </m:r>
            <m:ctrlPr>
              <w:rPr>
                <w:color w:val="auto"/>
              </w:rPr>
            </m:ctrlPr>
          </m:sub>
        </m:sSub>
      </m:oMath>
      <w:r>
        <w:rPr>
          <w:color w:val="auto"/>
        </w:rPr>
        <w:t xml:space="preserve"> and carries roughly </w:t>
      </w:r>
      <m:oMath>
        <m:r>
          <m:rPr/>
          <w:rPr>
            <w:color w:val="auto"/>
          </w:rPr>
          <m:t>21</m:t>
        </m:r>
        <m:sSub>
          <m:sSubPr>
            <m:ctrlPr>
              <w:rPr>
                <w:color w:val="auto"/>
              </w:rPr>
            </m:ctrlPr>
          </m:sSubPr>
          <m:e>
            <m:r>
              <m:rPr/>
              <w:rPr>
                <w:color w:val="auto"/>
              </w:rPr>
              <m:t>N</m:t>
            </m:r>
            <m:ctrlPr>
              <w:rPr>
                <w:color w:val="auto"/>
              </w:rPr>
            </m:ctrlPr>
          </m:e>
          <m:sub>
            <m:r>
              <m:rPr/>
              <w:rPr>
                <w:color w:val="auto"/>
              </w:rPr>
              <m:t>c</m:t>
            </m:r>
            <m:ctrlPr>
              <w:rPr>
                <w:color w:val="auto"/>
              </w:rPr>
            </m:ctrlPr>
          </m:sub>
        </m:sSub>
      </m:oMath>
      <w:r>
        <w:rPr>
          <w:color w:val="auto"/>
        </w:rPr>
        <w:t xml:space="preserve"> nonzero entries for standard hexahedral stencil connectivity.</w:t>
      </w:r>
    </w:p>
    <w:p w14:paraId="57CF247D">
      <w:pPr>
        <w:pStyle w:val="3"/>
        <w:spacing w:before="0" w:after="120"/>
        <w:ind w:firstLine="480" w:firstLineChars="200"/>
        <w:jc w:val="both"/>
        <w:rPr>
          <w:color w:val="auto"/>
        </w:rPr>
      </w:pPr>
      <w:r>
        <w:rPr>
          <w:color w:val="auto"/>
        </w:rPr>
        <w:t xml:space="preserve">In shale-oil systems, the fracture-to-matrix permeability ratio can exceed nine orders of magnitude, and the resulting stiffness pushes the unpreconditioned Jacobian system into the 10⁷–10⁸ spectral range for discretizations that do not conform to the fractures. For instance, the standard unstructured DFN configuration in Table 12 shows </w:t>
      </w:r>
      <m:oMath>
        <m:acc>
          <m:accPr>
            <m:chr m:val="0302"/>
          </m:accPr>
          <m:e>
            <m:r>
              <w:rPr>
                <w:rFonts w:ascii="Cambria Math" w:hAnsi="Cambria Math"/>
                <w:i/>
              </w:rPr>
              <m:t xml:space="preserve">κ</m:t>
            </m:r>
          </m:e>
        </m:acc>
        <m:r>
          <w:rPr>
            <w:rFonts w:ascii="Cambria Math" w:hAnsi="Cambria Math"/>
          </w:rPr>
          <m:t xml:space="preserve">(</m:t>
        </m:r>
        <m:r>
          <w:rPr>
            <w:rFonts w:ascii="Cambria Math" w:hAnsi="Cambria Math"/>
            <w:i/>
            <w:b/>
          </w:rPr>
          <m:t xml:space="preserve">A</m:t>
        </m:r>
        <m:r>
          <w:rPr>
            <w:rFonts w:ascii="Cambria Math" w:hAnsi="Cambria Math"/>
          </w:rPr>
          <m:t xml:space="preserve">)</m:t>
        </m:r>
      </m:oMath>
      <w:r>
        <w:rPr>
          <w:color w:val="auto"/>
        </w:rPr>
        <w:t xml:space="preserve">/κ̂₀(A) = 18.6×, which corresponds to κ̂(A) ≈ 6.9 × 10⁷. When the grid is fracture-conforming, spurious off-diagonal flux terms disappear and the proxy drops to roughly 3.7 × 10⁶. Throughout this paper, we report the spectral conditioning proxy κ̂(A), defined as the ratio |λ|ₘₐₓ/|λ|ₘᵢₙ of the largest to smallest converged Ritz values obtained from the implicitly restarted Arnoldi method (ARPACK, accessed through the SLEPc interface): convergence tolerance τ_Aᵣₙ = 10⁻⁶ on the relative eigenvalue residual, Krylov subspace dimension m = 60, restart dimension k = 30 (i.e., the 30 most dominant Ritz values are retained at each restart). As a verification check, we cross-validated the Arnoldi-derived proxy against a sparse direct LU-based estimator (SuperLU_DIST, threshold-based ILU, drop tolerance 10⁻⁴). For the base-case PEBI matrix (N_c = 1,024,000, 3N_c ≈ 3.07M unknowns), the LU estimator </w:t>
      </w:r>
      <m:oMath>
        <m:r>
          <w:rPr>
            <w:rFonts w:ascii="Cambria Math" w:hAnsi="Cambria Math"/>
            <w:i/>
          </w:rPr>
          <m:t xml:space="preserve">κ</m:t>
        </m:r>
      </m:oMath>
      <w:r>
        <w:rPr>
          <w:color w:val="auto"/>
        </w:rPr>
        <w:t xml:space="preserve">_LU(A) = ‖A⁻¹‖₁‖A‖₁ gives 4.1 × 10⁶ — within 10% of the Arnoldi proxy result of 3.7 × 10⁶. Across all the cases in Sections 3.4–3.6 the two methods agree to within 15%, confirming that </w:t>
      </w:r>
      <m:oMath>
        <m:acc>
          <m:accPr>
            <m:chr m:val="0302"/>
          </m:accPr>
          <m:e>
            <m:r>
              <w:rPr>
                <w:rFonts w:ascii="Cambria Math" w:hAnsi="Cambria Math"/>
                <w:i/>
              </w:rPr>
              <m:t xml:space="preserve">κ</m:t>
            </m:r>
          </m:e>
        </m:acc>
        <m:r>
          <w:rPr>
            <w:rFonts w:ascii="Cambria Math" w:hAnsi="Cambria Math"/>
          </w:rPr>
          <m:t xml:space="preserve">(</m:t>
        </m:r>
        <m:r>
          <w:rPr>
            <w:rFonts w:ascii="Cambria Math" w:hAnsi="Cambria Math"/>
            <w:i/>
            <w:b/>
          </w:rPr>
          <m:t xml:space="preserve">A</m:t>
        </m:r>
        <m:r>
          <w:rPr>
            <w:rFonts w:ascii="Cambria Math" w:hAnsi="Cambria Math"/>
          </w:rPr>
          <m:t xml:space="preserve">)</m:t>
        </m:r>
      </m:oMath>
      <w:r>
        <w:rPr>
          <w:color w:val="auto"/>
        </w:rPr>
        <w:t xml:space="preserve"> provides a reliable spectral conditioning proxy for the systems studied here.</w:t>
      </w:r>
      <m:oMath>
        <m:r>
          <m:rPr/>
          <w:rPr>
            <w:color w:val="auto"/>
          </w:rPr>
          <m:t>κ(A)</m:t>
        </m:r>
        <m:sSup>
          <m:sSupPr>
            <m:ctrlPr>
              <w:rPr>
                <w:color w:val="auto"/>
              </w:rPr>
            </m:ctrlPr>
          </m:sSupPr>
          <m:e>
            <m:r>
              <m:rPr/>
              <w:rPr>
                <w:color w:val="auto"/>
              </w:rPr>
              <m:t>10</m:t>
            </m:r>
            <m:ctrlPr>
              <w:rPr>
                <w:color w:val="auto"/>
              </w:rPr>
            </m:ctrlPr>
          </m:e>
          <m:sup>
            <m:r>
              <m:rPr/>
              <w:rPr>
                <w:color w:val="auto"/>
              </w:rPr>
              <m:t>7</m:t>
            </m:r>
            <m:ctrlPr>
              <w:rPr>
                <w:color w:val="auto"/>
              </w:rPr>
            </m:ctrlPr>
          </m:sup>
        </m:sSup>
        <m:sSup>
          <m:sSupPr>
            <m:ctrlPr>
              <w:rPr>
                <w:color w:val="auto"/>
              </w:rPr>
            </m:ctrlPr>
          </m:sSupPr>
          <m:e>
            <m:r>
              <m:rPr/>
              <w:rPr>
                <w:color w:val="auto"/>
              </w:rPr>
              <m:t>10</m:t>
            </m:r>
            <m:ctrlPr>
              <w:rPr>
                <w:color w:val="auto"/>
              </w:rPr>
            </m:ctrlPr>
          </m:e>
          <m:sup>
            <m:r>
              <m:rPr/>
              <w:rPr>
                <w:color w:val="auto"/>
              </w:rPr>
              <m:t>8</m:t>
            </m:r>
            <m:ctrlPr>
              <w:rPr>
                <w:color w:val="auto"/>
              </w:rPr>
            </m:ctrlPr>
          </m:sup>
        </m:sSup>
        <m:r>
          <m:rPr/>
          <w:rPr>
            <w:color w:val="auto"/>
          </w:rPr>
          <m:t>κ(A)/</m:t>
        </m:r>
        <m:sSub>
          <m:sSubPr>
            <m:ctrlPr>
              <w:rPr>
                <w:color w:val="auto"/>
              </w:rPr>
            </m:ctrlPr>
          </m:sSubPr>
          <m:e>
            <m:r>
              <m:rPr/>
              <w:rPr>
                <w:color w:val="auto"/>
              </w:rPr>
              <m:t>κ</m:t>
            </m:r>
            <m:ctrlPr>
              <w:rPr>
                <w:color w:val="auto"/>
              </w:rPr>
            </m:ctrlPr>
          </m:e>
          <m:sub>
            <m:r>
              <m:rPr/>
              <w:rPr>
                <w:color w:val="auto"/>
              </w:rPr>
              <m:t>0</m:t>
            </m:r>
            <m:ctrlPr>
              <w:rPr>
                <w:color w:val="auto"/>
              </w:rPr>
            </m:ctrlPr>
          </m:sub>
        </m:sSub>
        <m:r>
          <m:rPr/>
          <w:rPr>
            <w:color w:val="auto"/>
          </w:rPr>
          <m:t>(A)=18.6×κ(A)≈6.9×</m:t>
        </m:r>
        <m:sSup>
          <m:sSupPr>
            <m:ctrlPr>
              <w:rPr>
                <w:color w:val="auto"/>
              </w:rPr>
            </m:ctrlPr>
          </m:sSupPr>
          <m:e>
            <m:r>
              <m:rPr/>
              <w:rPr>
                <w:color w:val="auto"/>
              </w:rPr>
              <m:t>10</m:t>
            </m:r>
            <m:ctrlPr>
              <w:rPr>
                <w:color w:val="auto"/>
              </w:rPr>
            </m:ctrlPr>
          </m:e>
          <m:sup>
            <m:r>
              <m:rPr/>
              <w:rPr>
                <w:color w:val="auto"/>
              </w:rPr>
              <m:t>7</m:t>
            </m:r>
            <m:ctrlPr>
              <w:rPr>
                <w:color w:val="auto"/>
              </w:rPr>
            </m:ctrlPr>
          </m:sup>
        </m:sSup>
        <m:r>
          <m:rPr/>
          <w:rPr>
            <w:color w:val="auto"/>
          </w:rPr>
          <m:t>3.7×</m:t>
        </m:r>
        <m:sSup>
          <m:sSupPr>
            <m:ctrlPr>
              <w:rPr>
                <w:color w:val="auto"/>
              </w:rPr>
            </m:ctrlPr>
          </m:sSupPr>
          <m:e>
            <m:r>
              <m:rPr/>
              <w:rPr>
                <w:color w:val="auto"/>
              </w:rPr>
              <m:t>10</m:t>
            </m:r>
            <m:ctrlPr>
              <w:rPr>
                <w:color w:val="auto"/>
              </w:rPr>
            </m:ctrlPr>
          </m:e>
          <m:sup>
            <m:r>
              <m:rPr/>
              <w:rPr>
                <w:color w:val="auto"/>
              </w:rPr>
              <m:t>6</m:t>
            </m:r>
            <m:ctrlPr>
              <w:rPr>
                <w:color w:val="auto"/>
              </w:rPr>
            </m:ctrlPr>
          </m:sup>
        </m:sSup>
        <m:r>
          <m:rPr/>
          <w:rPr>
            <w:color w:val="auto"/>
          </w:rPr>
          <m:t>κ(A)=∥A</m:t>
        </m:r>
        <m:sSub>
          <m:sSubPr>
            <m:ctrlPr>
              <w:rPr>
                <w:color w:val="auto"/>
              </w:rPr>
            </m:ctrlPr>
          </m:sSubPr>
          <m:e>
            <m:r>
              <m:rPr/>
              <w:rPr>
                <w:color w:val="auto"/>
              </w:rPr>
              <m:t>∥</m:t>
            </m:r>
            <m:ctrlPr>
              <w:rPr>
                <w:color w:val="auto"/>
              </w:rPr>
            </m:ctrlPr>
          </m:e>
          <m:sub>
            <m:r>
              <m:rPr/>
              <w:rPr>
                <w:color w:val="auto"/>
              </w:rPr>
              <m:t>2</m:t>
            </m:r>
            <m:ctrlPr>
              <w:rPr>
                <w:color w:val="auto"/>
              </w:rPr>
            </m:ctrlPr>
          </m:sub>
        </m:sSub>
        <m:r>
          <m:rPr/>
          <w:rPr>
            <w:color w:val="auto"/>
          </w:rPr>
          <m:t>∥</m:t>
        </m:r>
        <m:sSup>
          <m:sSupPr>
            <m:ctrlPr>
              <w:rPr>
                <w:color w:val="auto"/>
              </w:rPr>
            </m:ctrlPr>
          </m:sSupPr>
          <m:e>
            <m:r>
              <m:rPr/>
              <w:rPr>
                <w:color w:val="auto"/>
              </w:rPr>
              <m:t>A</m:t>
            </m:r>
            <m:ctrlPr>
              <w:rPr>
                <w:color w:val="auto"/>
              </w:rPr>
            </m:ctrlPr>
          </m:e>
          <m:sup>
            <m:r>
              <m:rPr/>
              <w:rPr>
                <w:color w:val="auto"/>
              </w:rPr>
              <m:t>−1</m:t>
            </m:r>
            <m:ctrlPr>
              <w:rPr>
                <w:color w:val="auto"/>
              </w:rPr>
            </m:ctrlPr>
          </m:sup>
        </m:sSup>
        <m:sSub>
          <m:sSubPr>
            <m:ctrlPr>
              <w:rPr>
                <w:color w:val="auto"/>
              </w:rPr>
            </m:ctrlPr>
          </m:sSubPr>
          <m:e>
            <m:r>
              <m:rPr/>
              <w:rPr>
                <w:color w:val="auto"/>
              </w:rPr>
              <m:t>∥</m:t>
            </m:r>
            <m:ctrlPr>
              <w:rPr>
                <w:color w:val="auto"/>
              </w:rPr>
            </m:ctrlPr>
          </m:e>
          <m:sub>
            <m:r>
              <m:rPr/>
              <w:rPr>
                <w:color w:val="auto"/>
              </w:rPr>
              <m:t>2</m:t>
            </m:r>
            <m:ctrlPr>
              <w:rPr>
                <w:color w:val="auto"/>
              </w:rPr>
            </m:ctrlPr>
          </m:sub>
        </m:sSub>
        <m:sSub>
          <m:sSubPr>
            <m:ctrlPr>
              <w:rPr>
                <w:color w:val="auto"/>
              </w:rPr>
            </m:ctrlPr>
          </m:sSubPr>
          <m:e>
            <m:r>
              <m:rPr/>
              <w:rPr>
                <w:color w:val="auto"/>
              </w:rPr>
              <m:t>τ</m:t>
            </m:r>
            <m:ctrlPr>
              <w:rPr>
                <w:color w:val="auto"/>
              </w:rPr>
            </m:ctrlPr>
          </m:e>
          <m:sub>
            <m:r>
              <m:rPr>
                <m:nor/>
                <m:sty m:val="p"/>
              </m:rPr>
              <w:rPr>
                <w:b w:val="0"/>
                <w:i w:val="0"/>
                <w:color w:val="auto"/>
              </w:rPr>
              <m:t>Arn</m:t>
            </m:r>
            <m:ctrlPr>
              <w:rPr>
                <w:color w:val="auto"/>
              </w:rPr>
            </m:ctrlPr>
          </m:sub>
        </m:sSub>
        <m:r>
          <m:rPr/>
          <w:rPr>
            <w:color w:val="auto"/>
          </w:rPr>
          <m:t>=</m:t>
        </m:r>
        <m:sSup>
          <m:sSupPr>
            <m:ctrlPr>
              <w:rPr>
                <w:color w:val="auto"/>
              </w:rPr>
            </m:ctrlPr>
          </m:sSupPr>
          <m:e>
            <m:r>
              <m:rPr/>
              <w:rPr>
                <w:color w:val="auto"/>
              </w:rPr>
              <m:t>10</m:t>
            </m:r>
            <m:ctrlPr>
              <w:rPr>
                <w:color w:val="auto"/>
              </w:rPr>
            </m:ctrlPr>
          </m:e>
          <m:sup>
            <m:r>
              <m:rPr/>
              <w:rPr>
                <w:color w:val="auto"/>
              </w:rPr>
              <m:t>−6</m:t>
            </m:r>
            <m:ctrlPr>
              <w:rPr>
                <w:color w:val="auto"/>
              </w:rPr>
            </m:ctrlPr>
          </m:sup>
        </m:sSup>
        <m:r>
          <m:rPr/>
          <w:rPr>
            <w:color w:val="auto"/>
          </w:rPr>
          <m:t>m=60k=30κ(A)≈|λ</m:t>
        </m:r>
        <m:sSub>
          <m:sSubPr>
            <m:ctrlPr>
              <w:rPr>
                <w:color w:val="auto"/>
              </w:rPr>
            </m:ctrlPr>
          </m:sSubPr>
          <m:e>
            <m:r>
              <m:rPr/>
              <w:rPr>
                <w:color w:val="auto"/>
              </w:rPr>
              <m:t>|</m:t>
            </m:r>
            <m:ctrlPr>
              <w:rPr>
                <w:color w:val="auto"/>
              </w:rPr>
            </m:ctrlPr>
          </m:e>
          <m:sub>
            <m:r>
              <m:rPr>
                <m:nor/>
                <m:sty m:val="p"/>
              </m:rPr>
              <w:rPr>
                <w:b w:val="0"/>
                <w:i w:val="0"/>
                <w:color w:val="auto"/>
              </w:rPr>
              <m:t>max</m:t>
            </m:r>
            <m:ctrlPr>
              <w:rPr>
                <w:color w:val="auto"/>
              </w:rPr>
            </m:ctrlPr>
          </m:sub>
        </m:sSub>
        <m:r>
          <m:rPr/>
          <w:rPr>
            <w:color w:val="auto"/>
          </w:rPr>
          <m:t>/|λ</m:t>
        </m:r>
        <m:sSub>
          <m:sSubPr>
            <m:ctrlPr>
              <w:rPr>
                <w:color w:val="auto"/>
              </w:rPr>
            </m:ctrlPr>
          </m:sSubPr>
          <m:e>
            <m:r>
              <m:rPr/>
              <w:rPr>
                <w:color w:val="auto"/>
              </w:rPr>
              <m:t>|</m:t>
            </m:r>
            <m:ctrlPr>
              <w:rPr>
                <w:color w:val="auto"/>
              </w:rPr>
            </m:ctrlPr>
          </m:e>
          <m:sub>
            <m:r>
              <m:rPr>
                <m:nor/>
                <m:sty m:val="p"/>
              </m:rPr>
              <w:rPr>
                <w:b w:val="0"/>
                <w:i w:val="0"/>
                <w:color w:val="auto"/>
              </w:rPr>
              <m:t>min</m:t>
            </m:r>
            <m:ctrlPr>
              <w:rPr>
                <w:color w:val="auto"/>
              </w:rPr>
            </m:ctrlPr>
          </m:sub>
        </m:sSub>
        <m:r>
          <m:rPr/>
          <w:rPr>
            <w:color w:val="auto"/>
          </w:rPr>
          <m:t>λ</m:t>
        </m:r>
        <m:sSup>
          <m:sSupPr>
            <m:ctrlPr>
              <w:rPr>
                <w:color w:val="auto"/>
              </w:rPr>
            </m:ctrlPr>
          </m:sSupPr>
          <m:e>
            <m:r>
              <m:rPr/>
              <w:rPr>
                <w:color w:val="auto"/>
              </w:rPr>
              <m:t>10</m:t>
            </m:r>
            <m:ctrlPr>
              <w:rPr>
                <w:color w:val="auto"/>
              </w:rPr>
            </m:ctrlPr>
          </m:e>
          <m:sup>
            <m:r>
              <m:rPr/>
              <w:rPr>
                <w:color w:val="auto"/>
              </w:rPr>
              <m:t>−8</m:t>
            </m:r>
            <m:ctrlPr>
              <w:rPr>
                <w:color w:val="auto"/>
              </w:rPr>
            </m:ctrlPr>
          </m:sup>
        </m:sSup>
        <m:sSub>
          <m:sSubPr>
            <m:ctrlPr>
              <w:rPr>
                <w:color w:val="auto"/>
              </w:rPr>
            </m:ctrlPr>
          </m:sSubPr>
          <m:e>
            <m:r>
              <m:rPr/>
              <w:rPr>
                <w:color w:val="auto"/>
              </w:rPr>
              <m:t>N</m:t>
            </m:r>
            <m:ctrlPr>
              <w:rPr>
                <w:color w:val="auto"/>
              </w:rPr>
            </m:ctrlPr>
          </m:e>
          <m:sub>
            <m:r>
              <m:rPr/>
              <w:rPr>
                <w:color w:val="auto"/>
              </w:rPr>
              <m:t>c</m:t>
            </m:r>
            <m:ctrlPr>
              <w:rPr>
                <w:color w:val="auto"/>
              </w:rPr>
            </m:ctrlPr>
          </m:sub>
        </m:sSub>
        <m:r>
          <m:rPr/>
          <w:rPr>
            <w:color w:val="auto"/>
          </w:rPr>
          <m:t>=1,024,0003</m:t>
        </m:r>
        <m:sSub>
          <m:sSubPr>
            <m:ctrlPr>
              <w:rPr>
                <w:color w:val="auto"/>
              </w:rPr>
            </m:ctrlPr>
          </m:sSubPr>
          <m:e>
            <m:r>
              <m:rPr/>
              <w:rPr>
                <w:color w:val="auto"/>
              </w:rPr>
              <m:t>N</m:t>
            </m:r>
            <m:ctrlPr>
              <w:rPr>
                <w:color w:val="auto"/>
              </w:rPr>
            </m:ctrlPr>
          </m:e>
          <m:sub>
            <m:r>
              <m:rPr/>
              <w:rPr>
                <w:color w:val="auto"/>
              </w:rPr>
              <m:t>c</m:t>
            </m:r>
            <m:ctrlPr>
              <w:rPr>
                <w:color w:val="auto"/>
              </w:rPr>
            </m:ctrlPr>
          </m:sub>
        </m:sSub>
        <m:r>
          <m:rPr/>
          <w:rPr>
            <w:color w:val="auto"/>
          </w:rPr>
          <m:t>≈3.07</m:t>
        </m:r>
        <m:sSub>
          <m:sSubPr>
            <m:ctrlPr>
              <w:rPr>
                <w:color w:val="auto"/>
              </w:rPr>
            </m:ctrlPr>
          </m:sSubPr>
          <m:e>
            <m:r>
              <m:rPr/>
              <w:rPr>
                <w:color w:val="auto"/>
              </w:rPr>
              <m:t>κ</m:t>
            </m:r>
            <m:ctrlPr>
              <w:rPr>
                <w:color w:val="auto"/>
              </w:rPr>
            </m:ctrlPr>
          </m:e>
          <m:sub>
            <m:r>
              <m:rPr>
                <m:nor/>
                <m:sty m:val="p"/>
              </m:rPr>
              <w:rPr>
                <w:b w:val="0"/>
                <w:i w:val="0"/>
                <w:color w:val="auto"/>
              </w:rPr>
              <m:t>LU</m:t>
            </m:r>
            <m:ctrlPr>
              <w:rPr>
                <w:color w:val="auto"/>
              </w:rPr>
            </m:ctrlPr>
          </m:sub>
        </m:sSub>
        <m:r>
          <m:rPr/>
          <w:rPr>
            <w:color w:val="auto"/>
          </w:rPr>
          <m:t>(A)=∥A</m:t>
        </m:r>
        <m:sSub>
          <m:sSubPr>
            <m:ctrlPr>
              <w:rPr>
                <w:color w:val="auto"/>
              </w:rPr>
            </m:ctrlPr>
          </m:sSubPr>
          <m:e>
            <m:r>
              <m:rPr/>
              <w:rPr>
                <w:color w:val="auto"/>
              </w:rPr>
              <m:t>∥</m:t>
            </m:r>
            <m:ctrlPr>
              <w:rPr>
                <w:color w:val="auto"/>
              </w:rPr>
            </m:ctrlPr>
          </m:e>
          <m:sub>
            <m:r>
              <m:rPr/>
              <w:rPr>
                <w:color w:val="auto"/>
              </w:rPr>
              <m:t>1</m:t>
            </m:r>
            <m:ctrlPr>
              <w:rPr>
                <w:color w:val="auto"/>
              </w:rPr>
            </m:ctrlPr>
          </m:sub>
        </m:sSub>
        <m:r>
          <m:rPr/>
          <w:rPr>
            <w:color w:val="auto"/>
          </w:rPr>
          <m:t>∥</m:t>
        </m:r>
        <m:sSup>
          <m:sSupPr>
            <m:ctrlPr>
              <w:rPr>
                <w:color w:val="auto"/>
              </w:rPr>
            </m:ctrlPr>
          </m:sSupPr>
          <m:e>
            <m:r>
              <m:rPr/>
              <w:rPr>
                <w:color w:val="auto"/>
              </w:rPr>
              <m:t>A</m:t>
            </m:r>
            <m:ctrlPr>
              <w:rPr>
                <w:color w:val="auto"/>
              </w:rPr>
            </m:ctrlPr>
          </m:e>
          <m:sup>
            <m:r>
              <m:rPr/>
              <w:rPr>
                <w:color w:val="auto"/>
              </w:rPr>
              <m:t>−1</m:t>
            </m:r>
            <m:ctrlPr>
              <w:rPr>
                <w:color w:val="auto"/>
              </w:rPr>
            </m:ctrlPr>
          </m:sup>
        </m:sSup>
        <m:sSub>
          <m:sSubPr>
            <m:ctrlPr>
              <w:rPr>
                <w:color w:val="auto"/>
              </w:rPr>
            </m:ctrlPr>
          </m:sSubPr>
          <m:e>
            <m:r>
              <m:rPr/>
              <w:rPr>
                <w:color w:val="auto"/>
              </w:rPr>
              <m:t>∥</m:t>
            </m:r>
            <m:ctrlPr>
              <w:rPr>
                <w:color w:val="auto"/>
              </w:rPr>
            </m:ctrlPr>
          </m:e>
          <m:sub>
            <m:r>
              <m:rPr/>
              <w:rPr>
                <w:color w:val="auto"/>
              </w:rPr>
              <m:t>1</m:t>
            </m:r>
            <m:ctrlPr>
              <w:rPr>
                <w:color w:val="auto"/>
              </w:rPr>
            </m:ctrlPr>
          </m:sub>
        </m:sSub>
        <m:r>
          <m:rPr/>
          <w:rPr>
            <w:color w:val="auto"/>
          </w:rPr>
          <m:t>4.1×</m:t>
        </m:r>
        <m:sSup>
          <m:sSupPr>
            <m:ctrlPr>
              <w:rPr>
                <w:color w:val="auto"/>
              </w:rPr>
            </m:ctrlPr>
          </m:sSupPr>
          <m:e>
            <m:r>
              <m:rPr/>
              <w:rPr>
                <w:color w:val="auto"/>
              </w:rPr>
              <m:t>10</m:t>
            </m:r>
            <m:ctrlPr>
              <w:rPr>
                <w:color w:val="auto"/>
              </w:rPr>
            </m:ctrlPr>
          </m:e>
          <m:sup>
            <m:r>
              <m:rPr/>
              <w:rPr>
                <w:color w:val="auto"/>
              </w:rPr>
              <m:t>6</m:t>
            </m:r>
            <m:ctrlPr>
              <w:rPr>
                <w:color w:val="auto"/>
              </w:rPr>
            </m:ctrlPr>
          </m:sup>
        </m:sSup>
        <m:r>
          <m:rPr/>
          <w:rPr>
            <w:color w:val="auto"/>
          </w:rPr>
          <m:t>3.7×</m:t>
        </m:r>
        <m:sSup>
          <m:sSupPr>
            <m:ctrlPr>
              <w:rPr>
                <w:color w:val="auto"/>
              </w:rPr>
            </m:ctrlPr>
          </m:sSupPr>
          <m:e>
            <m:r>
              <m:rPr/>
              <w:rPr>
                <w:color w:val="auto"/>
              </w:rPr>
              <m:t>10</m:t>
            </m:r>
            <m:ctrlPr>
              <w:rPr>
                <w:color w:val="auto"/>
              </w:rPr>
            </m:ctrlPr>
          </m:e>
          <m:sup>
            <m:r>
              <m:rPr/>
              <w:rPr>
                <w:color w:val="auto"/>
              </w:rPr>
              <m:t>6</m:t>
            </m:r>
            <m:ctrlPr>
              <w:rPr>
                <w:color w:val="auto"/>
              </w:rPr>
            </m:ctrlPr>
          </m:sup>
        </m:sSup>
      </m:oMath>
    </w:p>
    <w:p w14:paraId="46839DCC">
      <w:pPr>
        <w:pStyle w:val="3"/>
        <w:spacing w:before="0" w:after="120"/>
        <w:ind w:firstLine="480" w:firstLineChars="200"/>
        <w:jc w:val="both"/>
        <w:rPr>
          <w:color w:val="auto"/>
        </w:rPr>
      </w:pPr>
      <w:r>
        <w:rPr>
          <w:color w:val="auto"/>
        </w:rPr>
        <w:t>The Constrained Pressure Residual (CPR) methodology (Wallis et al., 1985) isolates the near-elliptic pressure subsystem</w:t>
      </w:r>
    </w:p>
    <w:p w14:paraId="51EEACF1">
      <w:pPr>
        <w:pStyle w:val="3"/>
        <w:spacing w:before="0" w:after="120"/>
        <w:ind w:firstLine="480" w:firstLineChars="200"/>
        <w:jc w:val="both"/>
        <w:rPr>
          <w:color w:val="auto"/>
        </w:rPr>
      </w:pPr>
      <m:oMathPara>
        <m:oMathParaPr>
          <m:jc m:val="center"/>
        </m:oMathParaPr>
        <m:oMath>
          <m:sSub>
            <m:sSubPr>
              <m:ctrlPr>
                <w:rPr>
                  <w:color w:val="auto"/>
                </w:rPr>
              </m:ctrlPr>
            </m:sSubPr>
            <m:e>
              <m:r>
                <m:rPr/>
                <w:rPr>
                  <w:color w:val="auto"/>
                </w:rPr>
                <m:t>A</m:t>
              </m:r>
              <m:ctrlPr>
                <w:rPr>
                  <w:color w:val="auto"/>
                </w:rPr>
              </m:ctrlPr>
            </m:e>
            <m:sub>
              <m:r>
                <m:rPr/>
                <w:rPr>
                  <w:color w:val="auto"/>
                </w:rPr>
                <m:t>pp</m:t>
              </m:r>
              <m:ctrlPr>
                <w:rPr>
                  <w:color w:val="auto"/>
                </w:rPr>
              </m:ctrlPr>
            </m:sub>
          </m:sSub>
          <m:r>
            <m:rPr/>
            <w:rPr>
              <w:color w:val="auto"/>
            </w:rPr>
            <m:t>δp=−</m:t>
          </m:r>
          <m:sSub>
            <m:sSubPr>
              <m:ctrlPr>
                <w:rPr>
                  <w:color w:val="auto"/>
                </w:rPr>
              </m:ctrlPr>
            </m:sSubPr>
            <m:e>
              <m:r>
                <m:rPr/>
                <w:rPr>
                  <w:color w:val="auto"/>
                </w:rPr>
                <m:t>R</m:t>
              </m:r>
              <m:ctrlPr>
                <w:rPr>
                  <w:color w:val="auto"/>
                </w:rPr>
              </m:ctrlPr>
            </m:e>
            <m:sub>
              <m:r>
                <m:rPr/>
                <w:rPr>
                  <w:color w:val="auto"/>
                </w:rPr>
                <m:t>p</m:t>
              </m:r>
              <m:ctrlPr>
                <w:rPr>
                  <w:color w:val="auto"/>
                </w:rPr>
              </m:ctrlPr>
            </m:sub>
          </m:sSub>
          <m:r>
            <m:rPr/>
            <w:rPr>
              <w:color w:val="auto"/>
            </w:rPr>
            <m:t>  (12)</m:t>
          </m:r>
        </m:oMath>
      </m:oMathPara>
    </w:p>
    <w:p w14:paraId="0DDE258B">
      <w:pPr>
        <w:pStyle w:val="23"/>
        <w:spacing w:before="0" w:after="120"/>
        <w:ind w:firstLine="480" w:firstLineChars="200"/>
        <w:jc w:val="both"/>
        <w:rPr>
          <w:color w:val="auto"/>
        </w:rPr>
      </w:pPr>
      <w:r>
        <w:rPr>
          <w:color w:val="auto"/>
        </w:rPr>
        <w:t xml:space="preserve">The pressure subsystem is handled through Smoothed-Aggregation Algebraic Multigrid (SA-AMG) (Vaněk et al., 1996) with a strong-coupling threshold of </w:t>
      </w:r>
      <m:oMath>
        <m:sSub>
          <m:sSubPr>
            <m:ctrlPr>
              <w:rPr>
                <w:color w:val="auto"/>
              </w:rPr>
            </m:ctrlPr>
          </m:sSubPr>
          <m:e>
            <m:r>
              <m:rPr/>
              <w:rPr>
                <w:color w:val="auto"/>
              </w:rPr>
              <m:t>ε</m:t>
            </m:r>
            <m:ctrlPr>
              <w:rPr>
                <w:color w:val="auto"/>
              </w:rPr>
            </m:ctrlPr>
          </m:e>
          <m:sub>
            <m:r>
              <m:rPr>
                <m:nor/>
                <m:sty m:val="p"/>
              </m:rPr>
              <w:rPr>
                <w:b w:val="0"/>
                <w:i w:val="0"/>
                <w:color w:val="auto"/>
              </w:rPr>
              <m:t>str</m:t>
            </m:r>
            <m:ctrlPr>
              <w:rPr>
                <w:color w:val="auto"/>
              </w:rPr>
            </m:ctrlPr>
          </m:sub>
        </m:sSub>
        <m:r>
          <m:rPr/>
          <w:rPr>
            <w:color w:val="auto"/>
          </w:rPr>
          <m:t>=0.25</m:t>
        </m:r>
      </m:oMath>
      <w:r>
        <w:rPr>
          <w:color w:val="auto"/>
        </w:rPr>
        <w:t xml:space="preserve">. The threshold came out of a sweep across </w:t>
      </w:r>
      <m:oMath>
        <m:sSub>
          <m:sSubPr>
            <m:ctrlPr>
              <w:rPr>
                <w:color w:val="auto"/>
              </w:rPr>
            </m:ctrlPr>
          </m:sSubPr>
          <m:e>
            <m:r>
              <m:rPr/>
              <w:rPr>
                <w:color w:val="auto"/>
              </w:rPr>
              <m:t>ε</m:t>
            </m:r>
            <m:ctrlPr>
              <w:rPr>
                <w:color w:val="auto"/>
              </w:rPr>
            </m:ctrlPr>
          </m:e>
          <m:sub>
            <m:r>
              <m:rPr>
                <m:nor/>
                <m:sty m:val="p"/>
              </m:rPr>
              <w:rPr>
                <w:b w:val="0"/>
                <w:i w:val="0"/>
                <w:color w:val="auto"/>
              </w:rPr>
              <m:t>str</m:t>
            </m:r>
            <m:ctrlPr>
              <w:rPr>
                <w:color w:val="auto"/>
              </w:rPr>
            </m:ctrlPr>
          </m:sub>
        </m:sSub>
        <m:r>
          <m:rPr/>
          <w:rPr>
            <w:color w:val="auto"/>
          </w:rPr>
          <m:t>∈{0.1,0.15,0.2,0.25,0.3,0.4}</m:t>
        </m:r>
      </m:oMath>
      <w:r>
        <w:rPr>
          <w:color w:val="auto"/>
        </w:rPr>
        <w:t xml:space="preserve">; 0.25 struck the best balance between coarse-grid sparsity and convergence factor on the PEBI matrices, though the GMRES iteration count shifts by less than 8% over the range 0.2–0.3, so the precise value is not critical. The prolongation operator </w:t>
      </w:r>
      <m:oMath>
        <m:r>
          <m:rPr/>
          <w:rPr>
            <w:color w:val="auto"/>
          </w:rPr>
          <m:t>P</m:t>
        </m:r>
      </m:oMath>
      <w:r>
        <w:rPr>
          <w:color w:val="auto"/>
        </w:rPr>
        <w:t xml:space="preserve"> is built from a tentative prolongator </w:t>
      </w:r>
      <m:oMath>
        <m:sSub>
          <m:sSubPr>
            <m:ctrlPr>
              <w:rPr>
                <w:color w:val="auto"/>
              </w:rPr>
            </m:ctrlPr>
          </m:sSubPr>
          <m:e>
            <m:r>
              <m:rPr/>
              <w:rPr>
                <w:color w:val="auto"/>
              </w:rPr>
              <m:t>P</m:t>
            </m:r>
            <m:ctrlPr>
              <w:rPr>
                <w:color w:val="auto"/>
              </w:rPr>
            </m:ctrlPr>
          </m:e>
          <m:sub>
            <m:r>
              <m:rPr/>
              <w:rPr>
                <w:color w:val="auto"/>
              </w:rPr>
              <m:t>0</m:t>
            </m:r>
            <m:ctrlPr>
              <w:rPr>
                <w:color w:val="auto"/>
              </w:rPr>
            </m:ctrlPr>
          </m:sub>
        </m:sSub>
      </m:oMath>
      <w:r>
        <w:rPr>
          <w:color w:val="auto"/>
        </w:rPr>
        <w:t xml:space="preserve"> via damped Jacobi smoothing:</w:t>
      </w:r>
    </w:p>
    <w:p w14:paraId="2BD86206">
      <w:pPr>
        <w:pStyle w:val="3"/>
        <w:spacing w:before="0" w:after="120"/>
        <w:ind w:firstLine="480" w:firstLineChars="200"/>
        <w:jc w:val="both"/>
        <w:rPr>
          <w:color w:val="auto"/>
        </w:rPr>
      </w:pPr>
      <m:oMathPara>
        <m:oMathParaPr>
          <m:jc m:val="center"/>
        </m:oMathParaPr>
        <m:oMath>
          <m:r>
            <m:rPr/>
            <w:rPr>
              <w:color w:val="auto"/>
            </w:rPr>
            <m:t>P=</m:t>
          </m:r>
          <m:d>
            <m:dPr>
              <m:ctrlPr>
                <w:rPr>
                  <w:color w:val="auto"/>
                </w:rPr>
              </m:ctrlPr>
            </m:dPr>
            <m:e>
              <m:r>
                <m:rPr/>
                <w:rPr>
                  <w:color w:val="auto"/>
                </w:rPr>
                <m:t>I−ω</m:t>
              </m:r>
              <m:sSup>
                <m:sSupPr>
                  <m:ctrlPr>
                    <w:rPr>
                      <w:color w:val="auto"/>
                    </w:rPr>
                  </m:ctrlPr>
                </m:sSupPr>
                <m:e>
                  <m:r>
                    <m:rPr/>
                    <w:rPr>
                      <w:color w:val="auto"/>
                    </w:rPr>
                    <m:t>D</m:t>
                  </m:r>
                  <m:ctrlPr>
                    <w:rPr>
                      <w:color w:val="auto"/>
                    </w:rPr>
                  </m:ctrlPr>
                </m:e>
                <m:sup>
                  <m:r>
                    <m:rPr/>
                    <w:rPr>
                      <w:color w:val="auto"/>
                    </w:rPr>
                    <m:t>−1</m:t>
                  </m:r>
                  <m:ctrlPr>
                    <w:rPr>
                      <w:color w:val="auto"/>
                    </w:rPr>
                  </m:ctrlPr>
                </m:sup>
              </m:sSup>
              <m:sSub>
                <m:sSubPr>
                  <m:ctrlPr>
                    <w:rPr>
                      <w:color w:val="auto"/>
                    </w:rPr>
                  </m:ctrlPr>
                </m:sSubPr>
                <m:e>
                  <m:r>
                    <m:rPr/>
                    <w:rPr>
                      <w:color w:val="auto"/>
                    </w:rPr>
                    <m:t>A</m:t>
                  </m:r>
                  <m:ctrlPr>
                    <w:rPr>
                      <w:color w:val="auto"/>
                    </w:rPr>
                  </m:ctrlPr>
                </m:e>
                <m:sub>
                  <m:r>
                    <m:rPr/>
                    <w:rPr>
                      <w:color w:val="auto"/>
                    </w:rPr>
                    <m:t>pp</m:t>
                  </m:r>
                  <m:ctrlPr>
                    <w:rPr>
                      <w:color w:val="auto"/>
                    </w:rPr>
                  </m:ctrlPr>
                </m:sub>
              </m:sSub>
              <m:ctrlPr>
                <w:rPr>
                  <w:color w:val="auto"/>
                </w:rPr>
              </m:ctrlPr>
            </m:e>
          </m:d>
          <m:sSub>
            <m:sSubPr>
              <m:ctrlPr>
                <w:rPr>
                  <w:color w:val="auto"/>
                </w:rPr>
              </m:ctrlPr>
            </m:sSubPr>
            <m:e>
              <m:r>
                <m:rPr/>
                <w:rPr>
                  <w:color w:val="auto"/>
                </w:rPr>
                <m:t>P</m:t>
              </m:r>
              <m:ctrlPr>
                <w:rPr>
                  <w:color w:val="auto"/>
                </w:rPr>
              </m:ctrlPr>
            </m:e>
            <m:sub>
              <m:r>
                <m:rPr/>
                <w:rPr>
                  <w:color w:val="auto"/>
                </w:rPr>
                <m:t>0</m:t>
              </m:r>
              <m:ctrlPr>
                <w:rPr>
                  <w:color w:val="auto"/>
                </w:rPr>
              </m:ctrlPr>
            </m:sub>
          </m:sSub>
          <m:r>
            <m:rPr/>
            <w:rPr>
              <w:color w:val="auto"/>
            </w:rPr>
            <m:t>  (13)</m:t>
          </m:r>
        </m:oMath>
      </m:oMathPara>
    </w:p>
    <w:p w14:paraId="2A8A94E6">
      <w:pPr>
        <w:pStyle w:val="23"/>
        <w:spacing w:before="0" w:after="120"/>
        <w:ind w:firstLine="480" w:firstLineChars="200"/>
        <w:jc w:val="both"/>
        <w:rPr>
          <w:color w:val="auto"/>
        </w:rPr>
      </w:pPr>
      <w:r>
        <w:rPr>
          <w:color w:val="auto"/>
        </w:rPr>
        <w:t xml:space="preserve">In Eq. (13), </w:t>
      </w:r>
      <m:oMath>
        <m:r>
          <m:rPr/>
          <w:rPr>
            <w:color w:val="auto"/>
          </w:rPr>
          <m:t>ω=0.7</m:t>
        </m:r>
      </m:oMath>
      <w:r>
        <w:rPr>
          <w:color w:val="auto"/>
        </w:rPr>
        <w:t xml:space="preserve"> denotes the damping parameter and </w:t>
      </w:r>
      <m:oMath>
        <m:r>
          <m:rPr/>
          <w:rPr>
            <w:color w:val="auto"/>
          </w:rPr>
          <m:t>D</m:t>
        </m:r>
      </m:oMath>
      <w:r>
        <w:rPr>
          <w:color w:val="auto"/>
        </w:rPr>
        <w:t xml:space="preserve"> is the diagonal of </w:t>
      </w:r>
      <m:oMath>
        <m:sSub>
          <m:sSubPr>
            <m:ctrlPr>
              <w:rPr>
                <w:color w:val="auto"/>
              </w:rPr>
            </m:ctrlPr>
          </m:sSubPr>
          <m:e>
            <m:r>
              <m:rPr/>
              <w:rPr>
                <w:color w:val="auto"/>
              </w:rPr>
              <m:t>A</m:t>
            </m:r>
            <m:ctrlPr>
              <w:rPr>
                <w:color w:val="auto"/>
              </w:rPr>
            </m:ctrlPr>
          </m:e>
          <m:sub>
            <m:r>
              <m:rPr/>
              <w:rPr>
                <w:color w:val="auto"/>
              </w:rPr>
              <m:t>pp</m:t>
            </m:r>
            <m:ctrlPr>
              <w:rPr>
                <w:color w:val="auto"/>
              </w:rPr>
            </m:ctrlPr>
          </m:sub>
        </m:sSub>
      </m:oMath>
      <w:r>
        <w:rPr>
          <w:color w:val="auto"/>
        </w:rPr>
        <w:t xml:space="preserve">. Following the pressure correction, a Block-ILU(0) sweep applied to the full system stabilizes the hyperbolic saturation coupling. An important observation is that, because the PEBI mesh eliminates spurious cross-flow contributions, the system matrix </w:t>
      </w:r>
      <m:oMath>
        <m:r>
          <m:rPr/>
          <w:rPr>
            <w:color w:val="auto"/>
          </w:rPr>
          <m:t>A</m:t>
        </m:r>
      </m:oMath>
      <w:r>
        <w:rPr>
          <w:color w:val="auto"/>
        </w:rPr>
        <w:t xml:space="preserve"> exhibits enhanced diagonal dominance, with the mean diagonal dominance ratio </w:t>
      </w:r>
      <m:oMath>
        <m:sSub>
          <m:sSubPr>
            <m:ctrlPr>
              <w:rPr>
                <w:color w:val="auto"/>
              </w:rPr>
            </m:ctrlPr>
          </m:sSubPr>
          <m:e>
            <m:r>
              <m:rPr/>
              <w:rPr>
                <w:color w:val="auto"/>
              </w:rPr>
              <m:t>δ</m:t>
            </m:r>
            <m:ctrlPr>
              <w:rPr>
                <w:color w:val="auto"/>
              </w:rPr>
            </m:ctrlPr>
          </m:e>
          <m:sub>
            <m:r>
              <m:rPr/>
              <w:rPr>
                <w:color w:val="auto"/>
              </w:rPr>
              <m:t>i</m:t>
            </m:r>
            <m:ctrlPr>
              <w:rPr>
                <w:color w:val="auto"/>
              </w:rPr>
            </m:ctrlPr>
          </m:sub>
        </m:sSub>
        <m:r>
          <m:rPr/>
          <w:rPr>
            <w:color w:val="auto"/>
          </w:rPr>
          <m:t>=|</m:t>
        </m:r>
        <m:sSub>
          <m:sSubPr>
            <m:ctrlPr>
              <w:rPr>
                <w:color w:val="auto"/>
              </w:rPr>
            </m:ctrlPr>
          </m:sSubPr>
          <m:e>
            <m:r>
              <m:rPr/>
              <w:rPr>
                <w:color w:val="auto"/>
              </w:rPr>
              <m:t>a</m:t>
            </m:r>
            <m:ctrlPr>
              <w:rPr>
                <w:color w:val="auto"/>
              </w:rPr>
            </m:ctrlPr>
          </m:e>
          <m:sub>
            <m:r>
              <m:rPr/>
              <w:rPr>
                <w:color w:val="auto"/>
              </w:rPr>
              <m:t>ii</m:t>
            </m:r>
            <m:ctrlPr>
              <w:rPr>
                <w:color w:val="auto"/>
              </w:rPr>
            </m:ctrlPr>
          </m:sub>
        </m:sSub>
        <m:r>
          <m:rPr/>
          <w:rPr>
            <w:color w:val="auto"/>
          </w:rPr>
          <m:t>|/</m:t>
        </m:r>
        <m:nary>
          <m:naryPr>
            <m:chr m:val="∑"/>
            <m:limLoc m:val="undOvr"/>
            <m:supHide m:val="1"/>
            <m:ctrlPr>
              <w:rPr>
                <w:color w:val="auto"/>
              </w:rPr>
            </m:ctrlPr>
          </m:naryPr>
          <m:sub>
            <m:r>
              <m:rPr/>
              <w:rPr>
                <w:color w:val="auto"/>
              </w:rPr>
              <m:t>j≠i</m:t>
            </m:r>
            <m:ctrlPr>
              <w:rPr>
                <w:color w:val="auto"/>
              </w:rPr>
            </m:ctrlPr>
          </m:sub>
          <m:sup>
            <m:r>
              <m:rPr/>
              <w:rPr>
                <w:color w:val="auto"/>
              </w:rPr>
              <m:t>​</m:t>
            </m:r>
            <m:ctrlPr>
              <w:rPr>
                <w:color w:val="auto"/>
              </w:rPr>
            </m:ctrlPr>
          </m:sup>
          <m:e>
            <m:r>
              <m:rPr/>
              <w:rPr>
                <w:color w:val="auto"/>
              </w:rPr>
              <m:t>|</m:t>
            </m:r>
            <m:ctrlPr>
              <w:rPr>
                <w:color w:val="auto"/>
              </w:rPr>
            </m:ctrlPr>
          </m:e>
        </m:nary>
        <m:sSub>
          <m:sSubPr>
            <m:ctrlPr>
              <w:rPr>
                <w:color w:val="auto"/>
              </w:rPr>
            </m:ctrlPr>
          </m:sSubPr>
          <m:e>
            <m:r>
              <m:rPr/>
              <w:rPr>
                <w:color w:val="auto"/>
              </w:rPr>
              <m:t>a</m:t>
            </m:r>
            <m:ctrlPr>
              <w:rPr>
                <w:color w:val="auto"/>
              </w:rPr>
            </m:ctrlPr>
          </m:e>
          <m:sub>
            <m:r>
              <m:rPr/>
              <w:rPr>
                <w:color w:val="auto"/>
              </w:rPr>
              <m:t>ij</m:t>
            </m:r>
            <m:ctrlPr>
              <w:rPr>
                <w:color w:val="auto"/>
              </w:rPr>
            </m:ctrlPr>
          </m:sub>
        </m:sSub>
        <m:r>
          <m:rPr/>
          <w:rPr>
            <w:color w:val="auto"/>
          </w:rPr>
          <m:t>|</m:t>
        </m:r>
      </m:oMath>
      <w:r>
        <w:rPr>
          <w:color w:val="auto"/>
        </w:rPr>
        <w:t xml:space="preserve"> improving from 1.43 (Cartesian LGR) to 2.18 (PEBI). This improvement accelerates aggregate construction in the AMG setup phase and improves the V-cycle convergence factor from approximately 0.45 to 0.31.</w:t>
      </w:r>
    </w:p>
    <w:p w14:paraId="29A09647">
      <w:pPr>
        <w:pStyle w:val="34"/>
        <w:rPr>
          <w:color w:val="auto"/>
        </w:rPr>
      </w:pPr>
      <w:r>
        <w:rPr>
          <w:color w:val="auto"/>
        </w:rPr>
        <w:drawing>
          <wp:inline distT="0" distB="0" distL="114300" distR="114300">
            <wp:extent cx="5334000" cy="2153285"/>
            <wp:effectExtent l="0" t="0" r="0" b="0"/>
            <wp:docPr id="5" name="Picture" descr="Fig. 5. Structure of the CPR–SA-AMG preconditioner. Stage 1: An SA-AMG V-cycle applied to the extracted pressure block A_{pp}. Stage 2: A Block-ILU(0) global smoothing pass. The lower timeline illustrates how interior Jacobian assembly operations are overlapped with non-blocking ghost-cell MPI ex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descr="Fig. 5. Structure of the CPR–SA-AMG preconditioner. Stage 1: An SA-AMG V-cycle applied to the extracted pressure block A_{pp}. Stage 2: A Block-ILU(0) global smoothing pass. The lower timeline illustrates how interior Jacobian assembly operations are overlapped with non-blocking ghost-cell MPI exchanges."/>
                    <pic:cNvPicPr>
                      <a:picLocks noChangeAspect="1" noChangeArrowheads="1"/>
                    </pic:cNvPicPr>
                  </pic:nvPicPr>
                  <pic:blipFill>
                    <a:blip r:embed="rId9"/>
                    <a:stretch>
                      <a:fillRect/>
                    </a:stretch>
                  </pic:blipFill>
                  <pic:spPr>
                    <a:xfrm>
                      <a:off x="0" y="0"/>
                      <a:ext cx="5334000" cy="2153555"/>
                    </a:xfrm>
                    <a:prstGeom prst="rect">
                      <a:avLst/>
                    </a:prstGeom>
                    <a:noFill/>
                    <a:ln w="9525">
                      <a:noFill/>
                    </a:ln>
                  </pic:spPr>
                </pic:pic>
              </a:graphicData>
            </a:graphic>
          </wp:inline>
        </w:drawing>
      </w:r>
    </w:p>
    <w:p w14:paraId="478EC3A2">
      <w:pPr>
        <w:pStyle w:val="32"/>
        <w:jc w:val="center"/>
        <w:rPr>
          <w:color w:val="auto"/>
        </w:rPr>
      </w:pPr>
      <w:r>
        <w:rPr>
          <w:color w:val="auto"/>
        </w:rPr>
        <w:t xml:space="preserve">Fig. 5. Structure of the CPR–SA-AMG preconditioner. Stage 1: An SA-AMG V-cycle applied to the extracted pressure block </w:t>
      </w:r>
      <m:oMath>
        <m:sSub>
          <m:sSubPr>
            <m:ctrlPr>
              <w:rPr>
                <w:color w:val="auto"/>
              </w:rPr>
            </m:ctrlPr>
          </m:sSubPr>
          <m:e>
            <m:r>
              <m:rPr/>
              <w:rPr>
                <w:color w:val="auto"/>
              </w:rPr>
              <m:t>A</m:t>
            </m:r>
            <m:ctrlPr>
              <w:rPr>
                <w:color w:val="auto"/>
              </w:rPr>
            </m:ctrlPr>
          </m:e>
          <m:sub>
            <m:r>
              <m:rPr/>
              <w:rPr>
                <w:color w:val="auto"/>
              </w:rPr>
              <m:t>pp</m:t>
            </m:r>
            <m:ctrlPr>
              <w:rPr>
                <w:color w:val="auto"/>
              </w:rPr>
            </m:ctrlPr>
          </m:sub>
        </m:sSub>
      </m:oMath>
      <w:r>
        <w:rPr>
          <w:color w:val="auto"/>
        </w:rPr>
        <w:t>. Stage 2: A Block-ILU(0) global smoothing pass. The lower timeline illustrates how interior Jacobian assembly operations are overlapped with non-blocking ghost-cell MPI exchanges.</w:t>
      </w:r>
    </w:p>
    <w:p w14:paraId="1D5EE26C">
      <w:pPr>
        <w:pStyle w:val="3"/>
        <w:spacing w:before="0" w:after="120"/>
        <w:ind w:firstLine="480" w:firstLineChars="200"/>
        <w:jc w:val="both"/>
        <w:rPr>
          <w:color w:val="auto"/>
        </w:rPr>
      </w:pPr>
      <w:r>
        <w:rPr>
          <w:color w:val="auto"/>
        </w:rPr>
        <w:t>The two-stage preconditioning architecture and the communication overlap schedule are illustrated in Fig. 5 and described in the following subsection.</w:t>
      </w:r>
    </w:p>
    <w:p w14:paraId="22391B1A">
      <w:pPr>
        <w:pStyle w:val="5"/>
        <w:spacing w:before="360" w:after="120"/>
        <w:ind w:firstLine="0"/>
        <w:rPr>
          <w:color w:val="auto"/>
        </w:rPr>
      </w:pPr>
      <w:bookmarkStart w:id="12" w:name="X9d83824d9bddd7847d10263c1e9c9d86e4f8950"/>
      <w:r>
        <w:rPr>
          <w:color w:val="auto"/>
        </w:rPr>
        <w:t>2.5 Parallel Domain Decomposition and Communication Overlap</w:t>
      </w:r>
      <w:bookmarkEnd w:id="12"/>
    </w:p>
    <w:p w14:paraId="145BCA69">
      <w:pPr>
        <w:pStyle w:val="23"/>
        <w:spacing w:before="0" w:after="120"/>
        <w:ind w:firstLine="480" w:firstLineChars="200"/>
        <w:jc w:val="both"/>
        <w:rPr>
          <w:color w:val="auto"/>
        </w:rPr>
      </w:pPr>
      <w:r>
        <w:rPr>
          <w:color w:val="auto"/>
        </w:rPr>
        <w:t xml:space="preserve">Domain partitioning is performed using ParMETIS (Karypis and Kumar, 1998) with physics-weighted edge costs. The edge weight between cells </w:t>
      </w:r>
      <m:oMath>
        <m:r>
          <m:rPr/>
          <w:rPr>
            <w:color w:val="auto"/>
          </w:rPr>
          <m:t>i</m:t>
        </m:r>
      </m:oMath>
      <w:r>
        <w:rPr>
          <w:color w:val="auto"/>
        </w:rPr>
        <w:t xml:space="preserve"> and </w:t>
      </w:r>
      <m:oMath>
        <m:r>
          <m:rPr/>
          <w:rPr>
            <w:color w:val="auto"/>
          </w:rPr>
          <m:t>j</m:t>
        </m:r>
      </m:oMath>
      <w:r>
        <w:rPr>
          <w:color w:val="auto"/>
        </w:rPr>
        <w:t xml:space="preserve"> is set to </w:t>
      </w:r>
      <m:oMath>
        <m:sSub>
          <m:sSubPr>
            <m:ctrlPr>
              <w:rPr>
                <w:color w:val="auto"/>
              </w:rPr>
            </m:ctrlPr>
          </m:sSubPr>
          <m:e>
            <m:r>
              <m:rPr/>
              <w:rPr>
                <w:color w:val="auto"/>
              </w:rPr>
              <m:t>w</m:t>
            </m:r>
            <m:ctrlPr>
              <w:rPr>
                <w:color w:val="auto"/>
              </w:rPr>
            </m:ctrlPr>
          </m:e>
          <m:sub>
            <m:r>
              <m:rPr/>
              <w:rPr>
                <w:color w:val="auto"/>
              </w:rPr>
              <m:t>ij</m:t>
            </m:r>
            <m:ctrlPr>
              <w:rPr>
                <w:color w:val="auto"/>
              </w:rPr>
            </m:ctrlPr>
          </m:sub>
        </m:sSub>
        <m:r>
          <m:rPr/>
          <w:rPr>
            <w:color w:val="auto"/>
          </w:rPr>
          <m:t>=</m:t>
        </m:r>
        <m:sSub>
          <m:sSubPr>
            <m:ctrlPr>
              <w:rPr>
                <w:color w:val="auto"/>
              </w:rPr>
            </m:ctrlPr>
          </m:sSubPr>
          <m:e>
            <m:r>
              <m:rPr/>
              <w:rPr>
                <w:color w:val="auto"/>
              </w:rPr>
              <m:t>T</m:t>
            </m:r>
            <m:ctrlPr>
              <w:rPr>
                <w:color w:val="auto"/>
              </w:rPr>
            </m:ctrlPr>
          </m:e>
          <m:sub>
            <m:r>
              <m:rPr/>
              <w:rPr>
                <w:color w:val="auto"/>
              </w:rPr>
              <m:t>o,ij</m:t>
            </m:r>
            <m:ctrlPr>
              <w:rPr>
                <w:color w:val="auto"/>
              </w:rPr>
            </m:ctrlPr>
          </m:sub>
        </m:sSub>
        <m:r>
          <m:rPr/>
          <w:rPr>
            <w:color w:val="auto"/>
          </w:rPr>
          <m:t>⋅(1+|</m:t>
        </m:r>
        <m:sSub>
          <m:sSubPr>
            <m:ctrlPr>
              <w:rPr>
                <w:color w:val="auto"/>
              </w:rPr>
            </m:ctrlPr>
          </m:sSubPr>
          <m:e>
            <m:r>
              <m:rPr/>
              <w:rPr>
                <w:color w:val="auto"/>
              </w:rPr>
              <m:t>S</m:t>
            </m:r>
            <m:ctrlPr>
              <w:rPr>
                <w:color w:val="auto"/>
              </w:rPr>
            </m:ctrlPr>
          </m:e>
          <m:sub>
            <m:r>
              <m:rPr/>
              <w:rPr>
                <w:color w:val="auto"/>
              </w:rPr>
              <m:t>o,i</m:t>
            </m:r>
            <m:ctrlPr>
              <w:rPr>
                <w:color w:val="auto"/>
              </w:rPr>
            </m:ctrlPr>
          </m:sub>
        </m:sSub>
        <m:r>
          <m:rPr/>
          <w:rPr>
            <w:color w:val="auto"/>
          </w:rPr>
          <m:t>−</m:t>
        </m:r>
        <m:sSub>
          <m:sSubPr>
            <m:ctrlPr>
              <w:rPr>
                <w:color w:val="auto"/>
              </w:rPr>
            </m:ctrlPr>
          </m:sSubPr>
          <m:e>
            <m:r>
              <m:rPr/>
              <w:rPr>
                <w:color w:val="auto"/>
              </w:rPr>
              <m:t>S</m:t>
            </m:r>
            <m:ctrlPr>
              <w:rPr>
                <w:color w:val="auto"/>
              </w:rPr>
            </m:ctrlPr>
          </m:e>
          <m:sub>
            <m:r>
              <m:rPr/>
              <w:rPr>
                <w:color w:val="auto"/>
              </w:rPr>
              <m:t>o,j</m:t>
            </m:r>
            <m:ctrlPr>
              <w:rPr>
                <w:color w:val="auto"/>
              </w:rPr>
            </m:ctrlPr>
          </m:sub>
        </m:sSub>
        <m:r>
          <m:rPr/>
          <w:rPr>
            <w:color w:val="auto"/>
          </w:rPr>
          <m:t>|)</m:t>
        </m:r>
      </m:oMath>
      <w:r>
        <w:rPr>
          <w:color w:val="auto"/>
        </w:rPr>
        <w:t xml:space="preserve">, where </w:t>
      </w:r>
      <m:oMath>
        <m:sSub>
          <m:sSubPr>
            <m:ctrlPr>
              <w:rPr>
                <w:color w:val="auto"/>
              </w:rPr>
            </m:ctrlPr>
          </m:sSubPr>
          <m:e>
            <m:r>
              <m:rPr/>
              <w:rPr>
                <w:color w:val="auto"/>
              </w:rPr>
              <m:t>T</m:t>
            </m:r>
            <m:ctrlPr>
              <w:rPr>
                <w:color w:val="auto"/>
              </w:rPr>
            </m:ctrlPr>
          </m:e>
          <m:sub>
            <m:r>
              <m:rPr/>
              <w:rPr>
                <w:color w:val="auto"/>
              </w:rPr>
              <m:t>o,ij</m:t>
            </m:r>
            <m:ctrlPr>
              <w:rPr>
                <w:color w:val="auto"/>
              </w:rPr>
            </m:ctrlPr>
          </m:sub>
        </m:sSub>
      </m:oMath>
      <w:r>
        <w:rPr>
          <w:color w:val="auto"/>
        </w:rPr>
        <w:t xml:space="preserve"> is the oil-phase transmissibility. This weighting accounts for both the intercell coupling strength and the expected computational cost heterogeneity arising from saturation-dependent phase behavior near displacement fronts. Load imbalance is defined as the relative difference between the maximum and average number of cells per rank.</w:t>
      </w:r>
    </w:p>
    <w:p w14:paraId="05AD3446">
      <w:pPr>
        <w:pStyle w:val="3"/>
        <w:spacing w:before="0" w:after="120"/>
        <w:ind w:firstLine="480" w:firstLineChars="200"/>
        <w:jc w:val="both"/>
        <w:rPr>
          <w:color w:val="auto"/>
        </w:rPr>
      </w:pPr>
      <w:r>
        <w:rPr>
          <w:color w:val="auto"/>
        </w:rPr>
        <w:t>Persistent communication handles (</w:t>
      </w:r>
      <w:r>
        <w:rPr>
          <w:rStyle w:val="35"/>
          <w:color w:val="auto"/>
        </w:rPr>
        <w:t>MPI_Send_init</w:t>
      </w:r>
      <w:r>
        <w:rPr>
          <w:color w:val="auto"/>
        </w:rPr>
        <w:t xml:space="preserve"> / </w:t>
      </w:r>
      <w:r>
        <w:rPr>
          <w:rStyle w:val="35"/>
          <w:color w:val="auto"/>
        </w:rPr>
        <w:t>MPI_Recv_init</w:t>
      </w:r>
      <w:r>
        <w:rPr>
          <w:color w:val="auto"/>
        </w:rPr>
        <w:t xml:space="preserve">) are instantiated once at simulation initialization and reused across all Newton iterations and timesteps. At the start of each Newton iteration, communication is initiated via </w:t>
      </w:r>
      <w:r>
        <w:rPr>
          <w:rStyle w:val="35"/>
          <w:color w:val="auto"/>
        </w:rPr>
        <w:t>MPI_Startall</w:t>
      </w:r>
      <w:r>
        <w:rPr>
          <w:color w:val="auto"/>
        </w:rPr>
        <w:t xml:space="preserve">. Interior-cell Jacobian assembly proceeds during data transfer; </w:t>
      </w:r>
      <w:r>
        <w:rPr>
          <w:rStyle w:val="35"/>
          <w:color w:val="auto"/>
        </w:rPr>
        <w:t>MPI_Waitall</w:t>
      </w:r>
      <w:r>
        <w:rPr>
          <w:color w:val="auto"/>
        </w:rPr>
        <w:t xml:space="preserve"> is invoked only prior to boundary-cell flux evaluation. The effectiveness of computation–communication overlap is assessed through the overlap efficiency:</w:t>
      </w:r>
    </w:p>
    <w:p w14:paraId="7E612F87">
      <w:pPr>
        <w:pStyle w:val="3"/>
        <w:spacing w:before="0" w:after="120"/>
        <w:ind w:firstLine="480" w:firstLineChars="200"/>
        <w:jc w:val="both"/>
        <w:rPr>
          <w:color w:val="auto"/>
        </w:rPr>
      </w:pPr>
      <m:oMathPara>
        <m:oMathParaPr>
          <m:jc m:val="center"/>
        </m:oMathParaPr>
        <m:oMath>
          <m:r>
            <m:rPr/>
            <w:rPr>
              <w:color w:val="auto"/>
            </w:rPr>
            <m:t>η=</m:t>
          </m:r>
          <m:f>
            <m:fPr>
              <m:ctrlPr>
                <w:rPr>
                  <w:color w:val="auto"/>
                </w:rPr>
              </m:ctrlPr>
            </m:fPr>
            <m:num>
              <m:sSub>
                <m:sSubPr>
                  <m:ctrlPr>
                    <w:rPr>
                      <w:color w:val="auto"/>
                    </w:rPr>
                  </m:ctrlPr>
                </m:sSubPr>
                <m:e>
                  <m:r>
                    <m:rPr/>
                    <w:rPr>
                      <w:color w:val="auto"/>
                    </w:rPr>
                    <m:t>t</m:t>
                  </m:r>
                  <m:ctrlPr>
                    <w:rPr>
                      <w:color w:val="auto"/>
                    </w:rPr>
                  </m:ctrlPr>
                </m:e>
                <m:sub>
                  <m:r>
                    <m:rPr>
                      <m:nor/>
                      <m:sty m:val="p"/>
                    </m:rPr>
                    <w:rPr>
                      <w:b w:val="0"/>
                      <w:i w:val="0"/>
                      <w:color w:val="auto"/>
                    </w:rPr>
                    <m:t>comm</m:t>
                  </m:r>
                  <m:ctrlPr>
                    <w:rPr>
                      <w:color w:val="auto"/>
                    </w:rPr>
                  </m:ctrlPr>
                </m:sub>
              </m:sSub>
              <m:r>
                <m:rPr/>
                <w:rPr>
                  <w:color w:val="auto"/>
                </w:rPr>
                <m:t>−</m:t>
              </m:r>
              <m:sSub>
                <m:sSubPr>
                  <m:ctrlPr>
                    <w:rPr>
                      <w:color w:val="auto"/>
                    </w:rPr>
                  </m:ctrlPr>
                </m:sSubPr>
                <m:e>
                  <m:r>
                    <m:rPr/>
                    <w:rPr>
                      <w:color w:val="auto"/>
                    </w:rPr>
                    <m:t>t</m:t>
                  </m:r>
                  <m:ctrlPr>
                    <w:rPr>
                      <w:color w:val="auto"/>
                    </w:rPr>
                  </m:ctrlPr>
                </m:e>
                <m:sub>
                  <m:r>
                    <m:rPr>
                      <m:nor/>
                      <m:sty m:val="p"/>
                    </m:rPr>
                    <w:rPr>
                      <w:b w:val="0"/>
                      <w:i w:val="0"/>
                      <w:color w:val="auto"/>
                    </w:rPr>
                    <m:t>wait</m:t>
                  </m:r>
                  <m:ctrlPr>
                    <w:rPr>
                      <w:color w:val="auto"/>
                    </w:rPr>
                  </m:ctrlPr>
                </m:sub>
              </m:sSub>
              <m:ctrlPr>
                <w:rPr>
                  <w:color w:val="auto"/>
                </w:rPr>
              </m:ctrlPr>
            </m:num>
            <m:den>
              <m:sSub>
                <m:sSubPr>
                  <m:ctrlPr>
                    <w:rPr>
                      <w:color w:val="auto"/>
                    </w:rPr>
                  </m:ctrlPr>
                </m:sSubPr>
                <m:e>
                  <m:r>
                    <m:rPr/>
                    <w:rPr>
                      <w:color w:val="auto"/>
                    </w:rPr>
                    <m:t>t</m:t>
                  </m:r>
                  <m:ctrlPr>
                    <w:rPr>
                      <w:color w:val="auto"/>
                    </w:rPr>
                  </m:ctrlPr>
                </m:e>
                <m:sub>
                  <m:r>
                    <m:rPr>
                      <m:nor/>
                      <m:sty m:val="p"/>
                    </m:rPr>
                    <w:rPr>
                      <w:b w:val="0"/>
                      <w:i w:val="0"/>
                      <w:color w:val="auto"/>
                    </w:rPr>
                    <m:t>comm</m:t>
                  </m:r>
                  <m:ctrlPr>
                    <w:rPr>
                      <w:color w:val="auto"/>
                    </w:rPr>
                  </m:ctrlPr>
                </m:sub>
              </m:sSub>
              <m:ctrlPr>
                <w:rPr>
                  <w:color w:val="auto"/>
                </w:rPr>
              </m:ctrlPr>
            </m:den>
          </m:f>
          <m:r>
            <m:rPr/>
            <w:rPr>
              <w:color w:val="auto"/>
            </w:rPr>
            <m:t>=1−</m:t>
          </m:r>
          <m:f>
            <m:fPr>
              <m:ctrlPr>
                <w:rPr>
                  <w:color w:val="auto"/>
                </w:rPr>
              </m:ctrlPr>
            </m:fPr>
            <m:num>
              <m:sSub>
                <m:sSubPr>
                  <m:ctrlPr>
                    <w:rPr>
                      <w:color w:val="auto"/>
                    </w:rPr>
                  </m:ctrlPr>
                </m:sSubPr>
                <m:e>
                  <m:r>
                    <m:rPr/>
                    <w:rPr>
                      <w:color w:val="auto"/>
                    </w:rPr>
                    <m:t>t</m:t>
                  </m:r>
                  <m:ctrlPr>
                    <w:rPr>
                      <w:color w:val="auto"/>
                    </w:rPr>
                  </m:ctrlPr>
                </m:e>
                <m:sub>
                  <m:r>
                    <m:rPr>
                      <m:nor/>
                      <m:sty m:val="p"/>
                    </m:rPr>
                    <w:rPr>
                      <w:b w:val="0"/>
                      <w:i w:val="0"/>
                      <w:color w:val="auto"/>
                    </w:rPr>
                    <m:t>wait</m:t>
                  </m:r>
                  <m:ctrlPr>
                    <w:rPr>
                      <w:color w:val="auto"/>
                    </w:rPr>
                  </m:ctrlPr>
                </m:sub>
              </m:sSub>
              <m:ctrlPr>
                <w:rPr>
                  <w:color w:val="auto"/>
                </w:rPr>
              </m:ctrlPr>
            </m:num>
            <m:den>
              <m:sSub>
                <m:sSubPr>
                  <m:ctrlPr>
                    <w:rPr>
                      <w:color w:val="auto"/>
                    </w:rPr>
                  </m:ctrlPr>
                </m:sSubPr>
                <m:e>
                  <m:r>
                    <m:rPr/>
                    <w:rPr>
                      <w:color w:val="auto"/>
                    </w:rPr>
                    <m:t>t</m:t>
                  </m:r>
                  <m:ctrlPr>
                    <w:rPr>
                      <w:color w:val="auto"/>
                    </w:rPr>
                  </m:ctrlPr>
                </m:e>
                <m:sub>
                  <m:r>
                    <m:rPr>
                      <m:nor/>
                      <m:sty m:val="p"/>
                    </m:rPr>
                    <w:rPr>
                      <w:b w:val="0"/>
                      <w:i w:val="0"/>
                      <w:color w:val="auto"/>
                    </w:rPr>
                    <m:t>comm</m:t>
                  </m:r>
                  <m:ctrlPr>
                    <w:rPr>
                      <w:color w:val="auto"/>
                    </w:rPr>
                  </m:ctrlPr>
                </m:sub>
              </m:sSub>
              <m:ctrlPr>
                <w:rPr>
                  <w:color w:val="auto"/>
                </w:rPr>
              </m:ctrlPr>
            </m:den>
          </m:f>
          <m:r>
            <m:rPr/>
            <w:rPr>
              <w:color w:val="auto"/>
            </w:rPr>
            <m:t>  (14)</m:t>
          </m:r>
        </m:oMath>
      </m:oMathPara>
    </w:p>
    <w:p w14:paraId="561CB643">
      <w:pPr>
        <w:pStyle w:val="23"/>
        <w:spacing w:before="0" w:after="120"/>
        <w:ind w:firstLine="480" w:firstLineChars="200"/>
        <w:jc w:val="both"/>
        <w:rPr>
          <w:color w:val="auto"/>
        </w:rPr>
      </w:pPr>
      <w:r>
        <w:rPr>
          <w:color w:val="auto"/>
        </w:rPr>
        <w:t xml:space="preserve">where </w:t>
      </w:r>
      <m:oMath>
        <m:sSub>
          <m:sSubPr>
            <m:ctrlPr>
              <w:rPr>
                <w:color w:val="auto"/>
              </w:rPr>
            </m:ctrlPr>
          </m:sSubPr>
          <m:e>
            <m:r>
              <m:rPr/>
              <w:rPr>
                <w:color w:val="auto"/>
              </w:rPr>
              <m:t>t</m:t>
            </m:r>
            <m:ctrlPr>
              <w:rPr>
                <w:color w:val="auto"/>
              </w:rPr>
            </m:ctrlPr>
          </m:e>
          <m:sub>
            <m:r>
              <m:rPr>
                <m:nor/>
                <m:sty m:val="p"/>
              </m:rPr>
              <w:rPr>
                <w:b w:val="0"/>
                <w:i w:val="0"/>
                <w:color w:val="auto"/>
              </w:rPr>
              <m:t>comm</m:t>
            </m:r>
            <m:ctrlPr>
              <w:rPr>
                <w:color w:val="auto"/>
              </w:rPr>
            </m:ctrlPr>
          </m:sub>
        </m:sSub>
      </m:oMath>
      <w:r>
        <w:rPr>
          <w:color w:val="auto"/>
        </w:rPr>
        <w:t xml:space="preserve"> is the total wall-clock time from </w:t>
      </w:r>
      <w:r>
        <w:rPr>
          <w:rStyle w:val="35"/>
          <w:color w:val="auto"/>
        </w:rPr>
        <w:t>MPI_Startall</w:t>
      </w:r>
      <w:r>
        <w:rPr>
          <w:color w:val="auto"/>
        </w:rPr>
        <w:t xml:space="preserve"> to </w:t>
      </w:r>
      <w:r>
        <w:rPr>
          <w:rStyle w:val="35"/>
          <w:color w:val="auto"/>
        </w:rPr>
        <w:t>MPI_Waitall</w:t>
      </w:r>
      <w:r>
        <w:rPr>
          <w:color w:val="auto"/>
        </w:rPr>
        <w:t xml:space="preserve"> completion, and </w:t>
      </w:r>
      <m:oMath>
        <m:sSub>
          <m:sSubPr>
            <m:ctrlPr>
              <w:rPr>
                <w:color w:val="auto"/>
              </w:rPr>
            </m:ctrlPr>
          </m:sSubPr>
          <m:e>
            <m:r>
              <m:rPr/>
              <w:rPr>
                <w:color w:val="auto"/>
              </w:rPr>
              <m:t>t</m:t>
            </m:r>
            <m:ctrlPr>
              <w:rPr>
                <w:color w:val="auto"/>
              </w:rPr>
            </m:ctrlPr>
          </m:e>
          <m:sub>
            <m:r>
              <m:rPr>
                <m:nor/>
                <m:sty m:val="p"/>
              </m:rPr>
              <w:rPr>
                <w:b w:val="0"/>
                <w:i w:val="0"/>
                <w:color w:val="auto"/>
              </w:rPr>
              <m:t>wait</m:t>
            </m:r>
            <m:ctrlPr>
              <w:rPr>
                <w:color w:val="auto"/>
              </w:rPr>
            </m:ctrlPr>
          </m:sub>
        </m:sSub>
      </m:oMath>
      <w:r>
        <w:rPr>
          <w:color w:val="auto"/>
        </w:rPr>
        <w:t xml:space="preserve"> is the residual time spent inside </w:t>
      </w:r>
      <w:r>
        <w:rPr>
          <w:rStyle w:val="35"/>
          <w:color w:val="auto"/>
        </w:rPr>
        <w:t>MPI_Waitall</w:t>
      </w:r>
      <w:r>
        <w:rPr>
          <w:color w:val="auto"/>
        </w:rPr>
        <w:t xml:space="preserve"> after all interior-cell computations have completed. An </w:t>
      </w:r>
      <m:oMath>
        <m:r>
          <m:rPr/>
          <w:rPr>
            <w:color w:val="auto"/>
          </w:rPr>
          <m:t>η</m:t>
        </m:r>
      </m:oMath>
      <w:r>
        <w:rPr>
          <w:color w:val="auto"/>
        </w:rPr>
        <w:t xml:space="preserve"> value of 1.0 corresponds to perfect overlap (communication entirely masked by computation); </w:t>
      </w:r>
      <m:oMath>
        <m:r>
          <m:rPr/>
          <w:rPr>
            <w:color w:val="auto"/>
          </w:rPr>
          <m:t>η=0</m:t>
        </m:r>
      </m:oMath>
      <w:r>
        <w:rPr>
          <w:color w:val="auto"/>
        </w:rPr>
        <w:t xml:space="preserve"> corresponds to no overlap (all communication exposed on the critical path). For the base configuration on 512 ranks, the measured value is </w:t>
      </w:r>
      <m:oMath>
        <m:r>
          <m:rPr/>
          <w:rPr>
            <w:color w:val="auto"/>
          </w:rPr>
          <m:t>η=0.73</m:t>
        </m:r>
      </m:oMath>
      <w:r>
        <w:rPr>
          <w:color w:val="auto"/>
        </w:rPr>
        <w:t>, indicating that 73% of communication latency is masked by concurrent interior-cell work. Since CPR–SA-AMG substantially reduces the global Krylov iteration count, a larger fraction of local work is available to mask communication latency.</w:t>
      </w:r>
    </w:p>
    <w:p w14:paraId="43237A6F">
      <w:pPr>
        <w:pStyle w:val="3"/>
        <w:spacing w:before="0" w:after="120"/>
        <w:ind w:firstLine="480" w:firstLineChars="200"/>
        <w:jc w:val="center"/>
        <w:rPr>
          <w:color w:val="auto"/>
        </w:rPr>
      </w:pPr>
      <w:r>
        <w:rPr>
          <w:b/>
          <w:color w:val="auto"/>
        </w:rPr>
        <w:t>Table 4: Solver and parallel configuration parameters.</w:t>
      </w:r>
    </w:p>
    <w:tbl>
      <w:tblPr>
        <w:tblStyle w:val="28"/>
        <w:tblW w:w="8856" w:type="dxa"/>
        <w:jc w:val="center"/>
        <w:tblLayout w:type="autofit"/>
        <w:tblCellMar>
          <w:top w:w="0" w:type="dxa"/>
          <w:left w:w="108" w:type="dxa"/>
          <w:bottom w:w="0" w:type="dxa"/>
          <w:right w:w="108" w:type="dxa"/>
        </w:tblCellMar>
      </w:tblPr>
      <w:tblGrid>
        <w:gridCol w:w="3492"/>
        <w:gridCol w:w="5364"/>
      </w:tblGrid>
      <w:tr w14:paraId="76A97BF7">
        <w:tblPrEx>
          <w:tblCellMar>
            <w:top w:w="0" w:type="dxa"/>
            <w:left w:w="108" w:type="dxa"/>
            <w:bottom w:w="0" w:type="dxa"/>
            <w:right w:w="108" w:type="dxa"/>
          </w:tblCellMar>
        </w:tblPrEx>
        <w:trPr>
          <w:trHeight w:val="0" w:hRule="atLeast"/>
          <w:tblHeader/>
          <w:jc w:val="center"/>
        </w:trPr>
        <w:tc>
          <w:tcPr>
            <w:tcW w:w="0" w:type="auto"/>
            <w:tcBorders>
              <w:bottom w:val="single" w:color="auto" w:sz="0" w:space="0"/>
            </w:tcBorders>
            <w:vAlign w:val="center"/>
          </w:tcPr>
          <w:p w14:paraId="1D576E68">
            <w:pPr>
              <w:pStyle w:val="24"/>
              <w:snapToGrid w:val="0"/>
              <w:ind w:left="0" w:leftChars="0" w:right="0" w:rightChars="0" w:firstLine="0" w:firstLineChars="0"/>
              <w:jc w:val="center"/>
              <w:rPr>
                <w:b/>
                <w:color w:val="auto"/>
              </w:rPr>
            </w:pPr>
            <w:r>
              <w:rPr>
                <w:b/>
                <w:color w:val="auto"/>
              </w:rPr>
              <w:t>Parameter</w:t>
            </w:r>
          </w:p>
        </w:tc>
        <w:tc>
          <w:tcPr>
            <w:tcW w:w="5364" w:type="dxa"/>
            <w:tcBorders>
              <w:bottom w:val="single" w:color="auto" w:sz="0" w:space="0"/>
            </w:tcBorders>
            <w:vAlign w:val="center"/>
          </w:tcPr>
          <w:p w14:paraId="2DCC728B">
            <w:pPr>
              <w:pStyle w:val="24"/>
              <w:snapToGrid w:val="0"/>
              <w:ind w:left="0" w:leftChars="0" w:right="0" w:rightChars="0" w:firstLine="0" w:firstLineChars="0"/>
              <w:jc w:val="center"/>
              <w:rPr>
                <w:b/>
                <w:color w:val="auto"/>
              </w:rPr>
            </w:pPr>
            <w:r>
              <w:rPr>
                <w:b/>
                <w:color w:val="auto"/>
              </w:rPr>
              <w:t>Value</w:t>
            </w:r>
          </w:p>
        </w:tc>
      </w:tr>
      <w:tr w14:paraId="1231B527">
        <w:tblPrEx>
          <w:tblCellMar>
            <w:top w:w="0" w:type="dxa"/>
            <w:left w:w="108" w:type="dxa"/>
            <w:bottom w:w="0" w:type="dxa"/>
            <w:right w:w="108" w:type="dxa"/>
          </w:tblCellMar>
        </w:tblPrEx>
        <w:trPr>
          <w:trHeight w:val="0" w:hRule="atLeast"/>
          <w:jc w:val="center"/>
        </w:trPr>
        <w:tc>
          <w:tcPr>
            <w:tcW w:w="0" w:type="auto"/>
            <w:vAlign w:val="center"/>
          </w:tcPr>
          <w:p w14:paraId="7934539B">
            <w:pPr>
              <w:pStyle w:val="24"/>
              <w:snapToGrid w:val="0"/>
              <w:ind w:left="0" w:leftChars="0" w:right="0" w:rightChars="0" w:firstLine="0" w:firstLineChars="0"/>
              <w:jc w:val="center"/>
              <w:rPr>
                <w:rFonts w:ascii="Cambria" w:eastAsia="Cambria"/>
                <w:color w:val="auto"/>
                <w:sz w:val="24"/>
              </w:rPr>
            </w:pPr>
            <w:r>
              <w:rPr>
                <w:rFonts w:ascii="Cambria" w:eastAsia="Cambria"/>
                <w:color w:val="auto"/>
                <w:sz w:val="24"/>
              </w:rPr>
              <w:t xml:space="preserve">Newton tolerance (nonlinear residual </w:t>
            </w:r>
            <m:oMath>
              <m:sSub>
                <m:sSubPr>
                  <m:ctrlPr>
                    <w:rPr>
                      <w:rFonts w:ascii="Cambria Math" w:hAnsi="Cambria Math" w:eastAsia="Cambria"/>
                      <w:color w:val="auto"/>
                      <w:sz w:val="24"/>
                    </w:rPr>
                  </m:ctrlPr>
                </m:sSubPr>
                <m:e>
                  <m:r>
                    <m:rPr/>
                    <w:rPr>
                      <w:rFonts w:ascii="Cambria Math" w:hAnsi="Cambria Math" w:eastAsia="Cambria"/>
                      <w:color w:val="auto"/>
                      <w:sz w:val="24"/>
                    </w:rPr>
                    <m:t>ℓ</m:t>
                  </m:r>
                  <m:ctrlPr>
                    <w:rPr>
                      <w:rFonts w:ascii="Cambria Math" w:hAnsi="Cambria Math" w:eastAsia="Cambria"/>
                      <w:color w:val="auto"/>
                      <w:sz w:val="24"/>
                    </w:rPr>
                  </m:ctrlPr>
                </m:e>
                <m:sub>
                  <m:r>
                    <m:rPr/>
                    <w:rPr>
                      <w:rFonts w:ascii="Cambria Math" w:hAnsi="Cambria Math" w:eastAsia="Cambria"/>
                      <w:color w:val="auto"/>
                      <w:sz w:val="24"/>
                    </w:rPr>
                    <m:t>2</m:t>
                  </m:r>
                  <m:ctrlPr>
                    <w:rPr>
                      <w:rFonts w:ascii="Cambria Math" w:hAnsi="Cambria Math" w:eastAsia="Cambria"/>
                      <w:color w:val="auto"/>
                      <w:sz w:val="24"/>
                    </w:rPr>
                  </m:ctrlPr>
                </m:sub>
              </m:sSub>
            </m:oMath>
            <w:r>
              <w:rPr>
                <w:rFonts w:ascii="Cambria" w:eastAsia="Cambria"/>
                <w:color w:val="auto"/>
                <w:sz w:val="24"/>
              </w:rPr>
              <w:t xml:space="preserve"> norm)</w:t>
            </w:r>
          </w:p>
        </w:tc>
        <w:tc>
          <w:tcPr>
            <w:tcW w:w="5364" w:type="dxa"/>
            <w:vAlign w:val="center"/>
          </w:tcPr>
          <w:p w14:paraId="08062A35">
            <w:pPr>
              <w:pStyle w:val="24"/>
              <w:snapToGrid w:val="0"/>
              <w:ind w:left="0" w:leftChars="0" w:right="0" w:rightChars="0" w:firstLine="0" w:firstLineChars="0"/>
              <w:jc w:val="left"/>
              <w:rPr>
                <w:rFonts w:ascii="Cambria" w:eastAsia="Cambria"/>
                <w:color w:val="auto"/>
                <w:sz w:val="24"/>
              </w:rPr>
            </w:pPr>
            <m:oMathPara>
              <m:oMath>
                <m:r>
                  <m:rPr/>
                  <w:rPr>
                    <w:rFonts w:ascii="Cambria Math" w:hAnsi="Cambria Math" w:eastAsia="Cambria"/>
                    <w:color w:val="auto"/>
                    <w:sz w:val="24"/>
                  </w:rPr>
                  <m:t>1×</m:t>
                </m:r>
                <m:sSup>
                  <m:sSupPr>
                    <m:ctrlPr>
                      <w:rPr>
                        <w:rFonts w:ascii="Cambria Math" w:hAnsi="Cambria Math" w:eastAsia="Cambria"/>
                        <w:color w:val="auto"/>
                        <w:sz w:val="24"/>
                      </w:rPr>
                    </m:ctrlPr>
                  </m:sSupPr>
                  <m:e>
                    <m:r>
                      <m:rPr/>
                      <w:rPr>
                        <w:rFonts w:ascii="Cambria Math" w:hAnsi="Cambria Math" w:eastAsia="Cambria"/>
                        <w:color w:val="auto"/>
                        <w:sz w:val="24"/>
                      </w:rPr>
                      <m:t>10</m:t>
                    </m:r>
                    <m:ctrlPr>
                      <w:rPr>
                        <w:rFonts w:ascii="Cambria Math" w:hAnsi="Cambria Math" w:eastAsia="Cambria"/>
                        <w:color w:val="auto"/>
                        <w:sz w:val="24"/>
                      </w:rPr>
                    </m:ctrlPr>
                  </m:e>
                  <m:sup>
                    <m:r>
                      <m:rPr/>
                      <w:rPr>
                        <w:rFonts w:ascii="Cambria Math" w:hAnsi="Cambria Math" w:eastAsia="Cambria"/>
                        <w:color w:val="auto"/>
                        <w:sz w:val="24"/>
                      </w:rPr>
                      <m:t>−4</m:t>
                    </m:r>
                    <m:ctrlPr>
                      <w:rPr>
                        <w:rFonts w:ascii="Cambria Math" w:hAnsi="Cambria Math" w:eastAsia="Cambria"/>
                        <w:color w:val="auto"/>
                        <w:sz w:val="24"/>
                      </w:rPr>
                    </m:ctrlPr>
                  </m:sup>
                </m:sSup>
              </m:oMath>
            </m:oMathPara>
          </w:p>
        </w:tc>
      </w:tr>
      <w:tr w14:paraId="7F078259">
        <w:tblPrEx>
          <w:tblCellMar>
            <w:top w:w="0" w:type="dxa"/>
            <w:left w:w="108" w:type="dxa"/>
            <w:bottom w:w="0" w:type="dxa"/>
            <w:right w:w="108" w:type="dxa"/>
          </w:tblCellMar>
        </w:tblPrEx>
        <w:trPr>
          <w:trHeight w:val="0" w:hRule="atLeast"/>
          <w:jc w:val="center"/>
        </w:trPr>
        <w:tc>
          <w:tcPr>
            <w:tcW w:w="0" w:type="auto"/>
            <w:vAlign w:val="center"/>
          </w:tcPr>
          <w:p w14:paraId="1C115914">
            <w:pPr>
              <w:pStyle w:val="24"/>
              <w:snapToGrid w:val="0"/>
              <w:ind w:left="0" w:leftChars="0" w:right="0" w:rightChars="0" w:firstLine="0" w:firstLineChars="0"/>
              <w:jc w:val="center"/>
              <w:rPr>
                <w:rFonts w:ascii="Cambria" w:eastAsia="Cambria"/>
                <w:color w:val="auto"/>
                <w:sz w:val="24"/>
              </w:rPr>
            </w:pPr>
            <w:r>
              <w:rPr>
                <w:rFonts w:ascii="Cambria" w:eastAsia="Cambria"/>
                <w:color w:val="auto"/>
                <w:sz w:val="24"/>
              </w:rPr>
              <w:t>GMRES restart dimension</w:t>
            </w:r>
          </w:p>
        </w:tc>
        <w:tc>
          <w:tcPr>
            <w:tcW w:w="5364" w:type="dxa"/>
            <w:vAlign w:val="center"/>
          </w:tcPr>
          <w:p w14:paraId="21989BC5">
            <w:pPr>
              <w:pStyle w:val="24"/>
              <w:snapToGrid w:val="0"/>
              <w:ind w:left="0" w:leftChars="0" w:right="0" w:rightChars="0" w:firstLine="0" w:firstLineChars="0"/>
              <w:jc w:val="left"/>
              <w:rPr>
                <w:rFonts w:ascii="Cambria" w:eastAsia="Cambria"/>
                <w:color w:val="auto"/>
                <w:sz w:val="24"/>
              </w:rPr>
            </w:pPr>
            <w:r>
              <w:rPr>
                <w:rFonts w:ascii="Cambria" w:eastAsia="Cambria"/>
                <w:color w:val="auto"/>
                <w:sz w:val="24"/>
              </w:rPr>
              <w:t>30</w:t>
            </w:r>
          </w:p>
        </w:tc>
      </w:tr>
      <w:tr w14:paraId="4DAD7753">
        <w:tblPrEx>
          <w:tblCellMar>
            <w:top w:w="0" w:type="dxa"/>
            <w:left w:w="108" w:type="dxa"/>
            <w:bottom w:w="0" w:type="dxa"/>
            <w:right w:w="108" w:type="dxa"/>
          </w:tblCellMar>
        </w:tblPrEx>
        <w:trPr>
          <w:trHeight w:val="0" w:hRule="atLeast"/>
          <w:jc w:val="center"/>
        </w:trPr>
        <w:tc>
          <w:tcPr>
            <w:tcW w:w="0" w:type="auto"/>
            <w:vAlign w:val="center"/>
          </w:tcPr>
          <w:p w14:paraId="7A116A1D">
            <w:pPr>
              <w:pStyle w:val="24"/>
              <w:snapToGrid w:val="0"/>
              <w:ind w:left="0" w:leftChars="0" w:right="0" w:rightChars="0" w:firstLine="0" w:firstLineChars="0"/>
              <w:jc w:val="center"/>
              <w:rPr>
                <w:rFonts w:ascii="Cambria" w:eastAsia="Cambria"/>
                <w:color w:val="auto"/>
                <w:sz w:val="24"/>
              </w:rPr>
            </w:pPr>
            <w:r>
              <w:rPr>
                <w:rFonts w:ascii="Cambria" w:eastAsia="Cambria"/>
                <w:color w:val="auto"/>
                <w:sz w:val="24"/>
              </w:rPr>
              <w:t>GMRES convergence tolerance (relative residual)</w:t>
            </w:r>
          </w:p>
        </w:tc>
        <w:tc>
          <w:tcPr>
            <w:tcW w:w="5364" w:type="dxa"/>
            <w:vAlign w:val="center"/>
          </w:tcPr>
          <w:p w14:paraId="1C570D5C">
            <w:pPr>
              <w:pStyle w:val="24"/>
              <w:snapToGrid w:val="0"/>
              <w:ind w:left="0" w:leftChars="0" w:right="0" w:rightChars="0" w:firstLine="0" w:firstLineChars="0"/>
              <w:jc w:val="left"/>
              <w:rPr>
                <w:rFonts w:ascii="Cambria" w:eastAsia="Cambria"/>
                <w:color w:val="auto"/>
                <w:sz w:val="24"/>
              </w:rPr>
            </w:pPr>
            <m:oMathPara>
              <m:oMath>
                <m:r>
                  <m:rPr/>
                  <w:rPr>
                    <w:rFonts w:ascii="Cambria Math" w:hAnsi="Cambria Math" w:eastAsia="Cambria"/>
                    <w:color w:val="auto"/>
                    <w:sz w:val="24"/>
                  </w:rPr>
                  <m:t>1×</m:t>
                </m:r>
                <m:sSup>
                  <m:sSupPr>
                    <m:ctrlPr>
                      <w:rPr>
                        <w:rFonts w:ascii="Cambria Math" w:hAnsi="Cambria Math" w:eastAsia="Cambria"/>
                        <w:color w:val="auto"/>
                        <w:sz w:val="24"/>
                      </w:rPr>
                    </m:ctrlPr>
                  </m:sSupPr>
                  <m:e>
                    <m:r>
                      <m:rPr/>
                      <w:rPr>
                        <w:rFonts w:ascii="Cambria Math" w:hAnsi="Cambria Math" w:eastAsia="Cambria"/>
                        <w:color w:val="auto"/>
                        <w:sz w:val="24"/>
                      </w:rPr>
                      <m:t>10</m:t>
                    </m:r>
                    <m:ctrlPr>
                      <w:rPr>
                        <w:rFonts w:ascii="Cambria Math" w:hAnsi="Cambria Math" w:eastAsia="Cambria"/>
                        <w:color w:val="auto"/>
                        <w:sz w:val="24"/>
                      </w:rPr>
                    </m:ctrlPr>
                  </m:e>
                  <m:sup>
                    <m:r>
                      <m:rPr/>
                      <w:rPr>
                        <w:rFonts w:ascii="Cambria Math" w:hAnsi="Cambria Math" w:eastAsia="Cambria"/>
                        <w:color w:val="auto"/>
                        <w:sz w:val="24"/>
                      </w:rPr>
                      <m:t>−6</m:t>
                    </m:r>
                    <m:ctrlPr>
                      <w:rPr>
                        <w:rFonts w:ascii="Cambria Math" w:hAnsi="Cambria Math" w:eastAsia="Cambria"/>
                        <w:color w:val="auto"/>
                        <w:sz w:val="24"/>
                      </w:rPr>
                    </m:ctrlPr>
                  </m:sup>
                </m:sSup>
              </m:oMath>
            </m:oMathPara>
          </w:p>
        </w:tc>
      </w:tr>
      <w:tr w14:paraId="1575B687">
        <w:tblPrEx>
          <w:tblCellMar>
            <w:top w:w="0" w:type="dxa"/>
            <w:left w:w="108" w:type="dxa"/>
            <w:bottom w:w="0" w:type="dxa"/>
            <w:right w:w="108" w:type="dxa"/>
          </w:tblCellMar>
        </w:tblPrEx>
        <w:trPr>
          <w:trHeight w:val="0" w:hRule="atLeast"/>
          <w:jc w:val="center"/>
        </w:trPr>
        <w:tc>
          <w:tcPr>
            <w:tcW w:w="0" w:type="auto"/>
            <w:vAlign w:val="center"/>
          </w:tcPr>
          <w:p w14:paraId="4AE62762">
            <w:pPr>
              <w:pStyle w:val="24"/>
              <w:snapToGrid w:val="0"/>
              <w:ind w:left="0" w:leftChars="0" w:right="0" w:rightChars="0" w:firstLine="0" w:firstLineChars="0"/>
              <w:jc w:val="center"/>
              <w:rPr>
                <w:rFonts w:ascii="Cambria" w:eastAsia="Cambria"/>
                <w:color w:val="auto"/>
                <w:sz w:val="24"/>
              </w:rPr>
            </w:pPr>
            <w:r>
              <w:rPr>
                <w:rFonts w:ascii="Cambria" w:eastAsia="Cambria"/>
                <w:color w:val="auto"/>
                <w:sz w:val="24"/>
              </w:rPr>
              <w:t xml:space="preserve">SA-AMG strong-coupling threshold </w:t>
            </w:r>
            <m:oMath>
              <m:sSub>
                <m:sSubPr>
                  <m:ctrlPr>
                    <w:rPr>
                      <w:rFonts w:ascii="Cambria Math" w:hAnsi="Cambria Math" w:eastAsia="Cambria"/>
                      <w:color w:val="auto"/>
                      <w:sz w:val="24"/>
                    </w:rPr>
                  </m:ctrlPr>
                </m:sSubPr>
                <m:e>
                  <m:r>
                    <m:rPr/>
                    <w:rPr>
                      <w:rFonts w:ascii="Cambria Math" w:hAnsi="Cambria Math" w:eastAsia="Cambria"/>
                      <w:color w:val="auto"/>
                      <w:sz w:val="24"/>
                    </w:rPr>
                    <m:t>ε</m:t>
                  </m:r>
                  <m:ctrlPr>
                    <w:rPr>
                      <w:rFonts w:ascii="Cambria Math" w:hAnsi="Cambria Math" w:eastAsia="Cambria"/>
                      <w:color w:val="auto"/>
                      <w:sz w:val="24"/>
                    </w:rPr>
                  </m:ctrlPr>
                </m:e>
                <m:sub>
                  <m:r>
                    <m:rPr>
                      <m:nor/>
                      <m:sty m:val="p"/>
                    </m:rPr>
                    <w:rPr>
                      <w:rFonts w:ascii="Cambria Math" w:hAnsi="Cambria Math" w:eastAsia="Cambria"/>
                      <w:b w:val="0"/>
                      <w:i w:val="0"/>
                      <w:color w:val="auto"/>
                      <w:sz w:val="24"/>
                    </w:rPr>
                    <m:t>str</m:t>
                  </m:r>
                  <m:ctrlPr>
                    <w:rPr>
                      <w:rFonts w:ascii="Cambria Math" w:hAnsi="Cambria Math" w:eastAsia="Cambria"/>
                      <w:color w:val="auto"/>
                      <w:sz w:val="24"/>
                    </w:rPr>
                  </m:ctrlPr>
                </m:sub>
              </m:sSub>
            </m:oMath>
          </w:p>
        </w:tc>
        <w:tc>
          <w:tcPr>
            <w:tcW w:w="5364" w:type="dxa"/>
            <w:vAlign w:val="center"/>
          </w:tcPr>
          <w:p w14:paraId="1F6787E5">
            <w:pPr>
              <w:pStyle w:val="24"/>
              <w:snapToGrid w:val="0"/>
              <w:ind w:left="0" w:leftChars="0" w:right="0" w:rightChars="0" w:firstLine="0" w:firstLineChars="0"/>
              <w:jc w:val="left"/>
              <w:rPr>
                <w:rFonts w:ascii="Cambria" w:eastAsia="Cambria"/>
                <w:color w:val="auto"/>
                <w:sz w:val="24"/>
              </w:rPr>
            </w:pPr>
            <w:r>
              <w:rPr>
                <w:rFonts w:ascii="Cambria" w:eastAsia="Cambria"/>
                <w:color w:val="auto"/>
                <w:sz w:val="24"/>
              </w:rPr>
              <w:t>0.25</w:t>
            </w:r>
          </w:p>
        </w:tc>
      </w:tr>
      <w:tr w14:paraId="1AA11405">
        <w:tblPrEx>
          <w:tblCellMar>
            <w:top w:w="0" w:type="dxa"/>
            <w:left w:w="108" w:type="dxa"/>
            <w:bottom w:w="0" w:type="dxa"/>
            <w:right w:w="108" w:type="dxa"/>
          </w:tblCellMar>
        </w:tblPrEx>
        <w:trPr>
          <w:trHeight w:val="0" w:hRule="atLeast"/>
          <w:jc w:val="center"/>
        </w:trPr>
        <w:tc>
          <w:tcPr>
            <w:tcW w:w="0" w:type="auto"/>
            <w:vAlign w:val="center"/>
          </w:tcPr>
          <w:p w14:paraId="438685D6">
            <w:pPr>
              <w:pStyle w:val="24"/>
              <w:snapToGrid w:val="0"/>
              <w:ind w:left="0" w:leftChars="0" w:right="0" w:rightChars="0" w:firstLine="0" w:firstLineChars="0"/>
              <w:jc w:val="center"/>
              <w:rPr>
                <w:rFonts w:ascii="Cambria" w:eastAsia="Cambria"/>
                <w:color w:val="auto"/>
                <w:sz w:val="24"/>
              </w:rPr>
            </w:pPr>
            <w:r>
              <w:rPr>
                <w:rFonts w:ascii="Cambria" w:eastAsia="Cambria"/>
                <w:color w:val="auto"/>
                <w:sz w:val="24"/>
              </w:rPr>
              <w:t xml:space="preserve">SA-AMG damping parameter </w:t>
            </w:r>
            <m:oMath>
              <m:r>
                <m:rPr/>
                <w:rPr>
                  <w:rFonts w:ascii="Cambria Math" w:hAnsi="Cambria Math" w:eastAsia="Cambria"/>
                  <w:color w:val="auto"/>
                  <w:sz w:val="24"/>
                </w:rPr>
                <m:t>ω</m:t>
              </m:r>
            </m:oMath>
          </w:p>
        </w:tc>
        <w:tc>
          <w:tcPr>
            <w:tcW w:w="5364" w:type="dxa"/>
            <w:vAlign w:val="center"/>
          </w:tcPr>
          <w:p w14:paraId="203C1D11">
            <w:pPr>
              <w:pStyle w:val="24"/>
              <w:snapToGrid w:val="0"/>
              <w:ind w:left="0" w:leftChars="0" w:right="0" w:rightChars="0" w:firstLine="0" w:firstLineChars="0"/>
              <w:jc w:val="left"/>
              <w:rPr>
                <w:rFonts w:ascii="Cambria" w:eastAsia="Cambria"/>
                <w:color w:val="auto"/>
                <w:sz w:val="24"/>
              </w:rPr>
            </w:pPr>
            <w:r>
              <w:rPr>
                <w:rFonts w:ascii="Cambria" w:eastAsia="Cambria"/>
                <w:color w:val="auto"/>
                <w:sz w:val="24"/>
              </w:rPr>
              <w:t>0.7</w:t>
            </w:r>
          </w:p>
        </w:tc>
      </w:tr>
      <w:tr w14:paraId="6673F5C7">
        <w:tblPrEx>
          <w:tblCellMar>
            <w:top w:w="0" w:type="dxa"/>
            <w:left w:w="108" w:type="dxa"/>
            <w:bottom w:w="0" w:type="dxa"/>
            <w:right w:w="108" w:type="dxa"/>
          </w:tblCellMar>
        </w:tblPrEx>
        <w:trPr>
          <w:trHeight w:val="0" w:hRule="atLeast"/>
          <w:jc w:val="center"/>
        </w:trPr>
        <w:tc>
          <w:tcPr>
            <w:tcW w:w="0" w:type="auto"/>
            <w:vAlign w:val="center"/>
          </w:tcPr>
          <w:p w14:paraId="5E8DA2F7">
            <w:pPr>
              <w:pStyle w:val="24"/>
              <w:snapToGrid w:val="0"/>
              <w:ind w:left="0" w:leftChars="0" w:right="0" w:rightChars="0" w:firstLine="0" w:firstLineChars="0"/>
              <w:jc w:val="center"/>
              <w:rPr>
                <w:rFonts w:ascii="Cambria" w:eastAsia="Cambria"/>
                <w:color w:val="auto"/>
                <w:sz w:val="24"/>
              </w:rPr>
            </w:pPr>
            <w:r>
              <w:rPr>
                <w:rFonts w:ascii="Cambria" w:eastAsia="Cambria"/>
                <w:color w:val="auto"/>
                <w:sz w:val="24"/>
              </w:rPr>
              <w:t>SA-AMG max coarse-grid size</w:t>
            </w:r>
          </w:p>
        </w:tc>
        <w:tc>
          <w:tcPr>
            <w:tcW w:w="5364" w:type="dxa"/>
            <w:vAlign w:val="center"/>
          </w:tcPr>
          <w:p w14:paraId="0ABBB1F3">
            <w:pPr>
              <w:pStyle w:val="24"/>
              <w:snapToGrid w:val="0"/>
              <w:ind w:left="0" w:leftChars="0" w:right="0" w:rightChars="0" w:firstLine="0" w:firstLineChars="0"/>
              <w:jc w:val="left"/>
              <w:rPr>
                <w:rFonts w:ascii="Cambria" w:eastAsia="Cambria"/>
                <w:color w:val="auto"/>
                <w:sz w:val="24"/>
              </w:rPr>
            </w:pPr>
            <w:r>
              <w:rPr>
                <w:rFonts w:ascii="Cambria" w:eastAsia="Cambria"/>
                <w:color w:val="auto"/>
                <w:sz w:val="24"/>
              </w:rPr>
              <w:t>500</w:t>
            </w:r>
          </w:p>
        </w:tc>
      </w:tr>
      <w:tr w14:paraId="2FA15889">
        <w:tblPrEx>
          <w:tblCellMar>
            <w:top w:w="0" w:type="dxa"/>
            <w:left w:w="108" w:type="dxa"/>
            <w:bottom w:w="0" w:type="dxa"/>
            <w:right w:w="108" w:type="dxa"/>
          </w:tblCellMar>
        </w:tblPrEx>
        <w:trPr>
          <w:trHeight w:val="0" w:hRule="atLeast"/>
          <w:jc w:val="center"/>
        </w:trPr>
        <w:tc>
          <w:tcPr>
            <w:tcW w:w="0" w:type="auto"/>
            <w:vAlign w:val="center"/>
          </w:tcPr>
          <w:p w14:paraId="07A1EDA3">
            <w:pPr>
              <w:pStyle w:val="24"/>
              <w:snapToGrid w:val="0"/>
              <w:ind w:left="0" w:leftChars="0" w:right="0" w:rightChars="0" w:firstLine="0" w:firstLineChars="0"/>
              <w:jc w:val="center"/>
              <w:rPr>
                <w:rFonts w:ascii="Cambria" w:eastAsia="Cambria"/>
                <w:color w:val="auto"/>
                <w:sz w:val="24"/>
              </w:rPr>
            </w:pPr>
            <w:r>
              <w:rPr>
                <w:rFonts w:ascii="Cambria" w:eastAsia="Cambria"/>
                <w:color w:val="auto"/>
                <w:sz w:val="24"/>
              </w:rPr>
              <w:t>Block-ILU fill level</w:t>
            </w:r>
          </w:p>
        </w:tc>
        <w:tc>
          <w:tcPr>
            <w:tcW w:w="5364" w:type="dxa"/>
            <w:vAlign w:val="center"/>
          </w:tcPr>
          <w:p w14:paraId="3EF82F73">
            <w:pPr>
              <w:pStyle w:val="24"/>
              <w:snapToGrid w:val="0"/>
              <w:ind w:left="0" w:leftChars="0" w:right="0" w:rightChars="0" w:firstLine="0" w:firstLineChars="0"/>
              <w:jc w:val="left"/>
              <w:rPr>
                <w:rFonts w:ascii="Cambria" w:eastAsia="Cambria"/>
                <w:color w:val="auto"/>
                <w:sz w:val="24"/>
              </w:rPr>
            </w:pPr>
            <w:r>
              <w:rPr>
                <w:rFonts w:ascii="Cambria" w:eastAsia="Cambria"/>
                <w:color w:val="auto"/>
                <w:sz w:val="24"/>
              </w:rPr>
              <w:t>0</w:t>
            </w:r>
          </w:p>
        </w:tc>
      </w:tr>
      <w:tr w14:paraId="5BC793CD">
        <w:tblPrEx>
          <w:tblCellMar>
            <w:top w:w="0" w:type="dxa"/>
            <w:left w:w="108" w:type="dxa"/>
            <w:bottom w:w="0" w:type="dxa"/>
            <w:right w:w="108" w:type="dxa"/>
          </w:tblCellMar>
        </w:tblPrEx>
        <w:trPr>
          <w:trHeight w:val="0" w:hRule="atLeast"/>
          <w:jc w:val="center"/>
        </w:trPr>
        <w:tc>
          <w:tcPr>
            <w:tcW w:w="0" w:type="auto"/>
            <w:vAlign w:val="center"/>
          </w:tcPr>
          <w:p w14:paraId="5B21D499">
            <w:pPr>
              <w:pStyle w:val="24"/>
              <w:snapToGrid w:val="0"/>
              <w:ind w:left="0" w:leftChars="0" w:right="0" w:rightChars="0" w:firstLine="0" w:firstLineChars="0"/>
              <w:jc w:val="center"/>
              <w:rPr>
                <w:rFonts w:ascii="Cambria" w:eastAsia="Cambria"/>
                <w:color w:val="auto"/>
                <w:sz w:val="24"/>
              </w:rPr>
            </w:pPr>
            <w:r>
              <w:rPr>
                <w:rFonts w:ascii="Cambria" w:eastAsia="Cambria"/>
                <w:color w:val="auto"/>
                <w:sz w:val="24"/>
              </w:rPr>
              <w:t>ParMETIS edge weight function</w:t>
            </w:r>
          </w:p>
        </w:tc>
        <w:tc>
          <w:tcPr>
            <w:tcW w:w="5364" w:type="dxa"/>
            <w:vAlign w:val="center"/>
          </w:tcPr>
          <w:p w14:paraId="0A7BF77D">
            <w:pPr>
              <w:pStyle w:val="24"/>
              <w:snapToGrid w:val="0"/>
              <w:ind w:left="0" w:leftChars="0" w:right="0" w:rightChars="0" w:firstLine="0" w:firstLineChars="0"/>
              <w:jc w:val="left"/>
              <w:rPr>
                <w:rFonts w:ascii="Cambria" w:eastAsia="Cambria"/>
                <w:color w:val="auto"/>
                <w:sz w:val="24"/>
              </w:rPr>
            </w:pPr>
            <m:oMathPara>
              <m:oMath>
                <m:sSub>
                  <m:sSubPr>
                    <m:ctrlPr>
                      <w:rPr>
                        <w:rFonts w:ascii="Cambria Math" w:hAnsi="Cambria Math" w:eastAsia="Cambria"/>
                        <w:color w:val="auto"/>
                        <w:sz w:val="24"/>
                      </w:rPr>
                    </m:ctrlPr>
                  </m:sSubPr>
                  <m:e>
                    <m:r>
                      <m:rPr/>
                      <w:rPr>
                        <w:rFonts w:ascii="Cambria Math" w:hAnsi="Cambria Math" w:eastAsia="Cambria"/>
                        <w:color w:val="auto"/>
                        <w:sz w:val="24"/>
                      </w:rPr>
                      <m:t>T</m:t>
                    </m:r>
                    <m:ctrlPr>
                      <w:rPr>
                        <w:rFonts w:ascii="Cambria Math" w:hAnsi="Cambria Math" w:eastAsia="Cambria"/>
                        <w:color w:val="auto"/>
                        <w:sz w:val="24"/>
                      </w:rPr>
                    </m:ctrlPr>
                  </m:e>
                  <m:sub>
                    <m:r>
                      <m:rPr/>
                      <w:rPr>
                        <w:rFonts w:ascii="Cambria Math" w:hAnsi="Cambria Math" w:eastAsia="Cambria"/>
                        <w:color w:val="auto"/>
                        <w:sz w:val="24"/>
                      </w:rPr>
                      <m:t>o,ij</m:t>
                    </m:r>
                    <m:ctrlPr>
                      <w:rPr>
                        <w:rFonts w:ascii="Cambria Math" w:hAnsi="Cambria Math" w:eastAsia="Cambria"/>
                        <w:color w:val="auto"/>
                        <w:sz w:val="24"/>
                      </w:rPr>
                    </m:ctrlPr>
                  </m:sub>
                </m:sSub>
                <m:r>
                  <m:rPr/>
                  <w:rPr>
                    <w:rFonts w:ascii="Cambria Math" w:hAnsi="Cambria Math" w:eastAsia="Cambria"/>
                    <w:color w:val="auto"/>
                    <w:sz w:val="24"/>
                  </w:rPr>
                  <m:t>⋅(1+Δ</m:t>
                </m:r>
                <m:sSub>
                  <m:sSubPr>
                    <m:ctrlPr>
                      <w:rPr>
                        <w:rFonts w:ascii="Cambria Math" w:hAnsi="Cambria Math" w:eastAsia="Cambria"/>
                        <w:color w:val="auto"/>
                        <w:sz w:val="24"/>
                      </w:rPr>
                    </m:ctrlPr>
                  </m:sSubPr>
                  <m:e>
                    <m:r>
                      <m:rPr/>
                      <w:rPr>
                        <w:rFonts w:ascii="Cambria Math" w:hAnsi="Cambria Math" w:eastAsia="Cambria"/>
                        <w:color w:val="auto"/>
                        <w:sz w:val="24"/>
                      </w:rPr>
                      <m:t>S</m:t>
                    </m:r>
                    <m:ctrlPr>
                      <w:rPr>
                        <w:rFonts w:ascii="Cambria Math" w:hAnsi="Cambria Math" w:eastAsia="Cambria"/>
                        <w:color w:val="auto"/>
                        <w:sz w:val="24"/>
                      </w:rPr>
                    </m:ctrlPr>
                  </m:e>
                  <m:sub>
                    <m:r>
                      <m:rPr/>
                      <w:rPr>
                        <w:rFonts w:ascii="Cambria Math" w:hAnsi="Cambria Math" w:eastAsia="Cambria"/>
                        <w:color w:val="auto"/>
                        <w:sz w:val="24"/>
                      </w:rPr>
                      <m:t>o,ij</m:t>
                    </m:r>
                    <m:ctrlPr>
                      <w:rPr>
                        <w:rFonts w:ascii="Cambria Math" w:hAnsi="Cambria Math" w:eastAsia="Cambria"/>
                        <w:color w:val="auto"/>
                        <w:sz w:val="24"/>
                      </w:rPr>
                    </m:ctrlPr>
                  </m:sub>
                </m:sSub>
                <m:r>
                  <m:rPr/>
                  <w:rPr>
                    <w:rFonts w:ascii="Cambria Math" w:hAnsi="Cambria Math" w:eastAsia="Cambria"/>
                    <w:color w:val="auto"/>
                    <w:sz w:val="24"/>
                  </w:rPr>
                  <m:t>)</m:t>
                </m:r>
              </m:oMath>
            </m:oMathPara>
          </w:p>
        </w:tc>
      </w:tr>
      <w:tr w14:paraId="1852E79C">
        <w:tblPrEx>
          <w:tblCellMar>
            <w:top w:w="0" w:type="dxa"/>
            <w:left w:w="108" w:type="dxa"/>
            <w:bottom w:w="0" w:type="dxa"/>
            <w:right w:w="108" w:type="dxa"/>
          </w:tblCellMar>
        </w:tblPrEx>
        <w:trPr>
          <w:trHeight w:val="0" w:hRule="atLeast"/>
          <w:jc w:val="center"/>
        </w:trPr>
        <w:tc>
          <w:tcPr>
            <w:tcW w:w="0" w:type="auto"/>
            <w:vAlign w:val="center"/>
          </w:tcPr>
          <w:p w14:paraId="7E4E45E3">
            <w:pPr>
              <w:pStyle w:val="24"/>
              <w:snapToGrid w:val="0"/>
              <w:ind w:left="0" w:leftChars="0" w:right="0" w:rightChars="0" w:firstLine="0" w:firstLineChars="0"/>
              <w:jc w:val="center"/>
              <w:rPr>
                <w:rFonts w:ascii="Cambria" w:eastAsia="Cambria"/>
                <w:color w:val="auto"/>
                <w:sz w:val="24"/>
              </w:rPr>
            </w:pPr>
            <w:r>
              <w:rPr>
                <w:rFonts w:ascii="Cambria" w:eastAsia="Cambria"/>
                <w:color w:val="auto"/>
                <w:sz w:val="24"/>
              </w:rPr>
              <w:t>MPI protocol</w:t>
            </w:r>
          </w:p>
        </w:tc>
        <w:tc>
          <w:tcPr>
            <w:tcW w:w="5364" w:type="dxa"/>
            <w:vAlign w:val="center"/>
          </w:tcPr>
          <w:p w14:paraId="3D2A4B91">
            <w:pPr>
              <w:pStyle w:val="24"/>
              <w:snapToGrid w:val="0"/>
              <w:ind w:left="0" w:leftChars="0" w:right="0" w:rightChars="0" w:firstLine="0" w:firstLineChars="0"/>
              <w:jc w:val="left"/>
              <w:rPr>
                <w:rFonts w:ascii="Cambria" w:eastAsia="Cambria"/>
                <w:color w:val="auto"/>
                <w:sz w:val="24"/>
              </w:rPr>
            </w:pPr>
            <w:r>
              <w:rPr>
                <w:rFonts w:ascii="Cambria" w:eastAsia="Cambria"/>
                <w:color w:val="auto"/>
                <w:sz w:val="24"/>
              </w:rPr>
              <w:t>Persistent non-blocking (</w:t>
            </w:r>
            <w:r>
              <w:rPr>
                <w:rStyle w:val="35"/>
                <w:rFonts w:ascii="Cambria" w:eastAsia="Cambria"/>
                <w:color w:val="auto"/>
                <w:sz w:val="24"/>
              </w:rPr>
              <w:t>MPI_Send_init</w:t>
            </w:r>
            <w:r>
              <w:rPr>
                <w:rFonts w:ascii="Cambria" w:eastAsia="Cambria"/>
                <w:color w:val="auto"/>
                <w:sz w:val="24"/>
              </w:rPr>
              <w:t>/</w:t>
            </w:r>
            <w:r>
              <w:rPr>
                <w:rStyle w:val="35"/>
                <w:rFonts w:ascii="Cambria" w:eastAsia="Cambria"/>
                <w:color w:val="auto"/>
                <w:sz w:val="24"/>
              </w:rPr>
              <w:t>MPI_Recv_init</w:t>
            </w:r>
            <w:r>
              <w:rPr>
                <w:rFonts w:ascii="Cambria" w:eastAsia="Cambria"/>
                <w:color w:val="auto"/>
                <w:sz w:val="24"/>
              </w:rPr>
              <w:t>)</w:t>
            </w:r>
          </w:p>
        </w:tc>
      </w:tr>
      <w:tr w14:paraId="590750DA">
        <w:tblPrEx>
          <w:tblCellMar>
            <w:top w:w="0" w:type="dxa"/>
            <w:left w:w="108" w:type="dxa"/>
            <w:bottom w:w="0" w:type="dxa"/>
            <w:right w:w="108" w:type="dxa"/>
          </w:tblCellMar>
        </w:tblPrEx>
        <w:trPr>
          <w:trHeight w:val="0" w:hRule="atLeast"/>
          <w:jc w:val="center"/>
        </w:trPr>
        <w:tc>
          <w:tcPr>
            <w:tcW w:w="3492" w:type="dxa"/>
            <w:vAlign w:val="center"/>
          </w:tcPr>
          <w:p w14:paraId="1C8BB34F">
            <w:pPr>
              <w:pStyle w:val="24"/>
              <w:snapToGrid w:val="0"/>
              <w:ind w:left="0" w:leftChars="0" w:right="0" w:rightChars="0" w:firstLine="0" w:firstLineChars="0"/>
              <w:jc w:val="center"/>
              <w:rPr>
                <w:rFonts w:ascii="Cambria" w:eastAsia="Cambria"/>
                <w:color w:val="auto"/>
                <w:sz w:val="24"/>
              </w:rPr>
            </w:pPr>
            <w:r>
              <w:rPr>
                <w:rFonts w:ascii="Cambria" w:eastAsia="Cambria"/>
                <w:color w:val="auto"/>
                <w:sz w:val="24"/>
              </w:rPr>
              <w:t>AMG hierarchy rebuild frequency</w:t>
            </w:r>
          </w:p>
        </w:tc>
        <w:tc>
          <w:tcPr>
            <w:tcW w:w="5364" w:type="dxa"/>
            <w:vAlign w:val="center"/>
          </w:tcPr>
          <w:p w14:paraId="72FD81B9">
            <w:pPr>
              <w:pStyle w:val="24"/>
              <w:snapToGrid w:val="0"/>
              <w:ind w:left="0" w:leftChars="0" w:right="0" w:rightChars="0" w:firstLine="0" w:firstLineChars="0"/>
              <w:jc w:val="left"/>
              <w:rPr>
                <w:rFonts w:ascii="Cambria" w:eastAsia="Cambria"/>
                <w:color w:val="auto"/>
                <w:sz w:val="24"/>
              </w:rPr>
            </w:pPr>
            <w:r>
              <w:rPr>
                <w:rFonts w:ascii="Cambria" w:eastAsia="Cambria"/>
                <w:color w:val="auto"/>
                <w:sz w:val="24"/>
              </w:rPr>
              <w:t>Every 5 Newton iterations or on convergence degradation &gt; 20%</w:t>
            </w:r>
          </w:p>
        </w:tc>
      </w:tr>
    </w:tbl>
    <w:p w14:paraId="62785EC3">
      <w:pPr>
        <w:pStyle w:val="4"/>
        <w:spacing w:before="360" w:after="120"/>
        <w:ind w:firstLine="0"/>
        <w:rPr>
          <w:color w:val="auto"/>
        </w:rPr>
      </w:pPr>
      <w:bookmarkStart w:id="13" w:name="results"/>
      <w:r>
        <w:rPr>
          <w:color w:val="auto"/>
        </w:rPr>
        <w:t>3 Results</w:t>
      </w:r>
      <w:bookmarkEnd w:id="13"/>
    </w:p>
    <w:p w14:paraId="77DDE0A6">
      <w:pPr>
        <w:pStyle w:val="23"/>
        <w:spacing w:before="0" w:after="120"/>
        <w:ind w:firstLine="480" w:firstLineChars="200"/>
        <w:jc w:val="both"/>
        <w:rPr>
          <w:color w:val="auto"/>
        </w:rPr>
      </w:pPr>
      <w:r>
        <w:rPr>
          <w:color w:val="auto"/>
        </w:rPr>
        <w:t xml:space="preserve">All simulations reported in this section were conducted on a computing cluster equipped with dual Intel Xeon Platinum 8358 processors (32 cores per socket, 64 cores per node, 2.6 GHz base frequency) and HDR InfiniBand interconnects (200 Gb/s). Each node is configured with 512 GB of DDR4-3200 memory. The code is compiled with Intel oneAPI 2023.1 and linked against Intel MPI 2021.8 and PETSc 3.19 (Mills et al., 2025). MPI process placement follows a compact-per-node policy with contiguous rank numbering within each NUMA domain (2 NUMA domains per socket, 4 per node); inter-node communication traverses a single InfiniBand hop within the HDR fat-tree fabric (1:1 oversubscription at the leaf level). A code profiling pass using Intel VTune Profiler 2023.1 on the 64-core baseline configuration independently measured the serial code fraction (i.e., the fraction of execution time spent in non-MPI, non-OpenMP code regions that do not benefit from parallelization) as </w:t>
      </w:r>
      <m:oMath>
        <m:sSub>
          <m:sSubPr>
            <m:ctrlPr>
              <w:rPr>
                <w:color w:val="auto"/>
              </w:rPr>
            </m:ctrlPr>
          </m:sSubPr>
          <m:e>
            <m:r>
              <m:rPr/>
              <w:rPr>
                <w:color w:val="auto"/>
              </w:rPr>
              <m:t>f</m:t>
            </m:r>
            <m:ctrlPr>
              <w:rPr>
                <w:color w:val="auto"/>
              </w:rPr>
            </m:ctrlPr>
          </m:e>
          <m:sub>
            <m:r>
              <m:rPr>
                <m:nor/>
                <m:sty m:val="p"/>
              </m:rPr>
              <w:rPr>
                <w:b w:val="0"/>
                <w:i w:val="0"/>
                <w:color w:val="auto"/>
              </w:rPr>
              <m:t>VTune</m:t>
            </m:r>
            <m:ctrlPr>
              <w:rPr>
                <w:color w:val="auto"/>
              </w:rPr>
            </m:ctrlPr>
          </m:sub>
        </m:sSub>
        <m:r>
          <m:rPr/>
          <w:rPr>
            <w:color w:val="auto"/>
          </w:rPr>
          <m:t>=0.0018±0.0003</m:t>
        </m:r>
      </m:oMath>
      <w:r>
        <w:rPr>
          <w:color w:val="auto"/>
        </w:rPr>
        <w:t xml:space="preserve"> (95% CI, averaged over 10 Newton steps). This independently measured value is consistent with the Amdahl-fit serial fraction </w:t>
      </w:r>
      <m:oMath>
        <m:r>
          <m:rPr/>
          <w:rPr>
            <w:color w:val="auto"/>
          </w:rPr>
          <m:t>f=0.002±0.0004</m:t>
        </m:r>
      </m:oMath>
      <w:r>
        <w:rPr>
          <w:color w:val="auto"/>
        </w:rPr>
        <w:t xml:space="preserve"> reported in Section 3.5, confirming that the fitted value is not an artifact of the curve-fitting procedure. The reservoir configuration is a five-well shale-oil pad featuring 100 hydraulic-fracture stages with 20 stages per well. Key reservoir and completion parameters are listed in Table 5.</w:t>
      </w:r>
    </w:p>
    <w:p w14:paraId="6DFAEE2C">
      <w:pPr>
        <w:pStyle w:val="3"/>
        <w:spacing w:before="0" w:after="120"/>
        <w:ind w:firstLine="480" w:firstLineChars="200"/>
        <w:jc w:val="center"/>
        <w:rPr>
          <w:color w:val="auto"/>
        </w:rPr>
      </w:pPr>
      <w:r>
        <w:rPr>
          <w:b/>
          <w:color w:val="auto"/>
        </w:rPr>
        <w:t>Table 5: Reservoir and completion parameters for the base case.</w:t>
      </w:r>
    </w:p>
    <w:tbl>
      <w:tblPr>
        <w:tblStyle w:val="28"/>
        <w:tblW w:w="8851" w:type="dxa"/>
        <w:jc w:val="center"/>
        <w:tblLayout w:type="autofit"/>
        <w:tblCellMar>
          <w:top w:w="0" w:type="dxa"/>
          <w:left w:w="108" w:type="dxa"/>
          <w:bottom w:w="0" w:type="dxa"/>
          <w:right w:w="108" w:type="dxa"/>
        </w:tblCellMar>
      </w:tblPr>
      <w:tblGrid>
        <w:gridCol w:w="5904"/>
        <w:gridCol w:w="1489"/>
        <w:gridCol w:w="1458"/>
      </w:tblGrid>
      <w:tr w14:paraId="35C0D862">
        <w:tblPrEx>
          <w:tblCellMar>
            <w:top w:w="0" w:type="dxa"/>
            <w:left w:w="108" w:type="dxa"/>
            <w:bottom w:w="0" w:type="dxa"/>
            <w:right w:w="108" w:type="dxa"/>
          </w:tblCellMar>
        </w:tblPrEx>
        <w:trPr>
          <w:trHeight w:val="0" w:hRule="atLeast"/>
          <w:tblHeader/>
          <w:jc w:val="center"/>
        </w:trPr>
        <w:tc>
          <w:tcPr>
            <w:tcW w:w="0" w:type="auto"/>
            <w:tcBorders>
              <w:bottom w:val="single" w:color="auto" w:sz="0" w:space="0"/>
            </w:tcBorders>
            <w:vAlign w:val="center"/>
          </w:tcPr>
          <w:p w14:paraId="7EBBC838">
            <w:pPr>
              <w:pStyle w:val="24"/>
              <w:snapToGrid w:val="0"/>
              <w:ind w:left="0" w:leftChars="0" w:right="0" w:rightChars="0" w:firstLine="0" w:firstLineChars="0"/>
              <w:jc w:val="center"/>
              <w:rPr>
                <w:b/>
                <w:color w:val="auto"/>
              </w:rPr>
            </w:pPr>
            <w:r>
              <w:rPr>
                <w:b/>
                <w:color w:val="auto"/>
              </w:rPr>
              <w:t>Parameter</w:t>
            </w:r>
          </w:p>
        </w:tc>
        <w:tc>
          <w:tcPr>
            <w:tcW w:w="0" w:type="auto"/>
            <w:tcBorders>
              <w:bottom w:val="single" w:color="auto" w:sz="0" w:space="0"/>
            </w:tcBorders>
            <w:vAlign w:val="center"/>
          </w:tcPr>
          <w:p w14:paraId="64617000">
            <w:pPr>
              <w:pStyle w:val="24"/>
              <w:snapToGrid w:val="0"/>
              <w:ind w:left="0" w:leftChars="0" w:right="0" w:rightChars="0" w:firstLine="0" w:firstLineChars="0"/>
              <w:jc w:val="center"/>
              <w:rPr>
                <w:b/>
                <w:color w:val="auto"/>
              </w:rPr>
            </w:pPr>
            <w:r>
              <w:rPr>
                <w:b/>
                <w:color w:val="auto"/>
              </w:rPr>
              <w:t>Value</w:t>
            </w:r>
          </w:p>
        </w:tc>
        <w:tc>
          <w:tcPr>
            <w:tcW w:w="1458" w:type="dxa"/>
            <w:tcBorders>
              <w:bottom w:val="single" w:color="auto" w:sz="0" w:space="0"/>
            </w:tcBorders>
            <w:vAlign w:val="center"/>
          </w:tcPr>
          <w:p w14:paraId="3F6F5858">
            <w:pPr>
              <w:pStyle w:val="24"/>
              <w:snapToGrid w:val="0"/>
              <w:ind w:left="0" w:leftChars="0" w:right="0" w:rightChars="0" w:firstLine="0" w:firstLineChars="0"/>
              <w:jc w:val="center"/>
              <w:rPr>
                <w:b/>
                <w:color w:val="auto"/>
              </w:rPr>
            </w:pPr>
            <w:r>
              <w:rPr>
                <w:b/>
                <w:color w:val="auto"/>
              </w:rPr>
              <w:t>Unit</w:t>
            </w:r>
          </w:p>
        </w:tc>
      </w:tr>
      <w:tr w14:paraId="2F1EECCE">
        <w:tblPrEx>
          <w:tblCellMar>
            <w:top w:w="0" w:type="dxa"/>
            <w:left w:w="108" w:type="dxa"/>
            <w:bottom w:w="0" w:type="dxa"/>
            <w:right w:w="108" w:type="dxa"/>
          </w:tblCellMar>
        </w:tblPrEx>
        <w:trPr>
          <w:trHeight w:val="0" w:hRule="atLeast"/>
          <w:jc w:val="center"/>
        </w:trPr>
        <w:tc>
          <w:tcPr>
            <w:tcW w:w="0" w:type="auto"/>
            <w:vAlign w:val="center"/>
          </w:tcPr>
          <w:p w14:paraId="759C1846">
            <w:pPr>
              <w:pStyle w:val="24"/>
              <w:snapToGrid w:val="0"/>
              <w:ind w:left="0" w:leftChars="0" w:right="0" w:rightChars="0" w:firstLine="0" w:firstLineChars="0"/>
              <w:jc w:val="center"/>
              <w:rPr>
                <w:color w:val="auto"/>
              </w:rPr>
            </w:pPr>
            <w:r>
              <w:rPr>
                <w:color w:val="auto"/>
              </w:rPr>
              <w:t>Matrix permeability</w:t>
            </w:r>
          </w:p>
        </w:tc>
        <w:tc>
          <w:tcPr>
            <w:tcW w:w="0" w:type="auto"/>
            <w:vAlign w:val="center"/>
          </w:tcPr>
          <w:p w14:paraId="7FF1A875">
            <w:pPr>
              <w:pStyle w:val="24"/>
              <w:snapToGrid w:val="0"/>
              <w:ind w:left="0" w:leftChars="0" w:right="0" w:rightChars="0" w:firstLine="0" w:firstLineChars="0"/>
              <w:jc w:val="left"/>
              <w:rPr>
                <w:color w:val="auto"/>
              </w:rPr>
            </w:pPr>
            <w:r>
              <w:rPr>
                <w:color w:val="auto"/>
              </w:rPr>
              <w:t>0.008</w:t>
            </w:r>
          </w:p>
        </w:tc>
        <w:tc>
          <w:tcPr>
            <w:tcW w:w="1458" w:type="dxa"/>
            <w:vAlign w:val="center"/>
          </w:tcPr>
          <w:p w14:paraId="60BB496D">
            <w:pPr>
              <w:pStyle w:val="24"/>
              <w:snapToGrid w:val="0"/>
              <w:ind w:left="0" w:leftChars="0" w:right="0" w:rightChars="0" w:firstLine="0" w:firstLineChars="0"/>
              <w:jc w:val="center"/>
              <w:rPr>
                <w:color w:val="auto"/>
              </w:rPr>
            </w:pPr>
            <w:r>
              <w:rPr>
                <w:color w:val="auto"/>
              </w:rPr>
              <w:t>mD</w:t>
            </w:r>
          </w:p>
        </w:tc>
      </w:tr>
      <w:tr w14:paraId="008E26FA">
        <w:tblPrEx>
          <w:tblCellMar>
            <w:top w:w="0" w:type="dxa"/>
            <w:left w:w="108" w:type="dxa"/>
            <w:bottom w:w="0" w:type="dxa"/>
            <w:right w:w="108" w:type="dxa"/>
          </w:tblCellMar>
        </w:tblPrEx>
        <w:trPr>
          <w:trHeight w:val="0" w:hRule="atLeast"/>
          <w:jc w:val="center"/>
        </w:trPr>
        <w:tc>
          <w:tcPr>
            <w:tcW w:w="0" w:type="auto"/>
            <w:vAlign w:val="center"/>
          </w:tcPr>
          <w:p w14:paraId="7B66B68E">
            <w:pPr>
              <w:pStyle w:val="24"/>
              <w:snapToGrid w:val="0"/>
              <w:ind w:left="0" w:leftChars="0" w:right="0" w:rightChars="0" w:firstLine="0" w:firstLineChars="0"/>
              <w:jc w:val="center"/>
              <w:rPr>
                <w:color w:val="auto"/>
              </w:rPr>
            </w:pPr>
            <w:r>
              <w:rPr>
                <w:color w:val="auto"/>
              </w:rPr>
              <w:t>Matrix porosity</w:t>
            </w:r>
          </w:p>
        </w:tc>
        <w:tc>
          <w:tcPr>
            <w:tcW w:w="0" w:type="auto"/>
            <w:vAlign w:val="center"/>
          </w:tcPr>
          <w:p w14:paraId="2D10D865">
            <w:pPr>
              <w:pStyle w:val="24"/>
              <w:snapToGrid w:val="0"/>
              <w:ind w:left="0" w:leftChars="0" w:right="0" w:rightChars="0" w:firstLine="0" w:firstLineChars="0"/>
              <w:jc w:val="left"/>
              <w:rPr>
                <w:color w:val="auto"/>
              </w:rPr>
            </w:pPr>
            <w:r>
              <w:rPr>
                <w:color w:val="auto"/>
              </w:rPr>
              <w:t>0.07</w:t>
            </w:r>
          </w:p>
        </w:tc>
        <w:tc>
          <w:tcPr>
            <w:tcW w:w="1458" w:type="dxa"/>
            <w:vAlign w:val="center"/>
          </w:tcPr>
          <w:p w14:paraId="478FBDDE">
            <w:pPr>
              <w:pStyle w:val="24"/>
              <w:snapToGrid w:val="0"/>
              <w:ind w:left="0" w:leftChars="0" w:right="0" w:rightChars="0" w:firstLine="0" w:firstLineChars="0"/>
              <w:jc w:val="center"/>
              <w:rPr>
                <w:color w:val="auto"/>
              </w:rPr>
            </w:pPr>
            <w:r>
              <w:rPr>
                <w:color w:val="auto"/>
              </w:rPr>
              <w:t>—</w:t>
            </w:r>
          </w:p>
        </w:tc>
      </w:tr>
      <w:tr w14:paraId="59D716C3">
        <w:tblPrEx>
          <w:tblCellMar>
            <w:top w:w="0" w:type="dxa"/>
            <w:left w:w="108" w:type="dxa"/>
            <w:bottom w:w="0" w:type="dxa"/>
            <w:right w:w="108" w:type="dxa"/>
          </w:tblCellMar>
        </w:tblPrEx>
        <w:trPr>
          <w:trHeight w:val="0" w:hRule="atLeast"/>
          <w:jc w:val="center"/>
        </w:trPr>
        <w:tc>
          <w:tcPr>
            <w:tcW w:w="0" w:type="auto"/>
            <w:vAlign w:val="center"/>
          </w:tcPr>
          <w:p w14:paraId="3FDB9FD8">
            <w:pPr>
              <w:pStyle w:val="24"/>
              <w:snapToGrid w:val="0"/>
              <w:ind w:left="0" w:leftChars="0" w:right="0" w:rightChars="0" w:firstLine="0" w:firstLineChars="0"/>
              <w:jc w:val="center"/>
              <w:rPr>
                <w:color w:val="auto"/>
              </w:rPr>
            </w:pPr>
            <w:r>
              <w:rPr>
                <w:color w:val="auto"/>
              </w:rPr>
              <w:t>Fracture half-length</w:t>
            </w:r>
          </w:p>
        </w:tc>
        <w:tc>
          <w:tcPr>
            <w:tcW w:w="0" w:type="auto"/>
            <w:vAlign w:val="center"/>
          </w:tcPr>
          <w:p w14:paraId="59086AA6">
            <w:pPr>
              <w:pStyle w:val="24"/>
              <w:snapToGrid w:val="0"/>
              <w:ind w:left="0" w:leftChars="0" w:right="0" w:rightChars="0" w:firstLine="0" w:firstLineChars="0"/>
              <w:jc w:val="left"/>
              <w:rPr>
                <w:color w:val="auto"/>
              </w:rPr>
            </w:pPr>
            <w:r>
              <w:rPr>
                <w:color w:val="auto"/>
              </w:rPr>
              <w:t>150</w:t>
            </w:r>
          </w:p>
        </w:tc>
        <w:tc>
          <w:tcPr>
            <w:tcW w:w="1458" w:type="dxa"/>
            <w:vAlign w:val="center"/>
          </w:tcPr>
          <w:p w14:paraId="77C68882">
            <w:pPr>
              <w:pStyle w:val="24"/>
              <w:snapToGrid w:val="0"/>
              <w:ind w:left="0" w:leftChars="0" w:right="0" w:rightChars="0" w:firstLine="0" w:firstLineChars="0"/>
              <w:jc w:val="center"/>
              <w:rPr>
                <w:color w:val="auto"/>
              </w:rPr>
            </w:pPr>
            <w:r>
              <w:rPr>
                <w:color w:val="auto"/>
              </w:rPr>
              <w:t>m</w:t>
            </w:r>
          </w:p>
        </w:tc>
      </w:tr>
      <w:tr w14:paraId="0B73460F">
        <w:tblPrEx>
          <w:tblCellMar>
            <w:top w:w="0" w:type="dxa"/>
            <w:left w:w="108" w:type="dxa"/>
            <w:bottom w:w="0" w:type="dxa"/>
            <w:right w:w="108" w:type="dxa"/>
          </w:tblCellMar>
        </w:tblPrEx>
        <w:trPr>
          <w:trHeight w:val="0" w:hRule="atLeast"/>
          <w:jc w:val="center"/>
        </w:trPr>
        <w:tc>
          <w:tcPr>
            <w:tcW w:w="0" w:type="auto"/>
            <w:vAlign w:val="center"/>
          </w:tcPr>
          <w:p w14:paraId="07B43456">
            <w:pPr>
              <w:pStyle w:val="24"/>
              <w:snapToGrid w:val="0"/>
              <w:ind w:left="0" w:leftChars="0" w:right="0" w:rightChars="0" w:firstLine="0" w:firstLineChars="0"/>
              <w:jc w:val="center"/>
              <w:rPr>
                <w:color w:val="auto"/>
              </w:rPr>
            </w:pPr>
            <w:r>
              <w:rPr>
                <w:color w:val="auto"/>
              </w:rPr>
              <w:t>Fracture conductivity</w:t>
            </w:r>
          </w:p>
        </w:tc>
        <w:tc>
          <w:tcPr>
            <w:tcW w:w="0" w:type="auto"/>
            <w:vAlign w:val="center"/>
          </w:tcPr>
          <w:p w14:paraId="0E9EAE71">
            <w:pPr>
              <w:pStyle w:val="24"/>
              <w:snapToGrid w:val="0"/>
              <w:ind w:left="0" w:leftChars="0" w:right="0" w:rightChars="0" w:firstLine="0" w:firstLineChars="0"/>
              <w:jc w:val="left"/>
              <w:rPr>
                <w:color w:val="auto"/>
              </w:rPr>
            </w:pPr>
            <w:r>
              <w:rPr>
                <w:color w:val="auto"/>
              </w:rPr>
              <w:t>500</w:t>
            </w:r>
          </w:p>
        </w:tc>
        <w:tc>
          <w:tcPr>
            <w:tcW w:w="1458" w:type="dxa"/>
            <w:vAlign w:val="center"/>
          </w:tcPr>
          <w:p w14:paraId="53B5A107">
            <w:pPr>
              <w:pStyle w:val="24"/>
              <w:snapToGrid w:val="0"/>
              <w:ind w:left="0" w:leftChars="0" w:right="0" w:rightChars="0" w:firstLine="0" w:firstLineChars="0"/>
              <w:jc w:val="center"/>
              <w:rPr>
                <w:color w:val="auto"/>
              </w:rPr>
            </w:pPr>
            <w:r>
              <w:rPr>
                <w:color w:val="auto"/>
              </w:rPr>
              <w:t>mD·m</w:t>
            </w:r>
          </w:p>
        </w:tc>
      </w:tr>
      <w:tr w14:paraId="342C6F66">
        <w:tblPrEx>
          <w:tblCellMar>
            <w:top w:w="0" w:type="dxa"/>
            <w:left w:w="108" w:type="dxa"/>
            <w:bottom w:w="0" w:type="dxa"/>
            <w:right w:w="108" w:type="dxa"/>
          </w:tblCellMar>
        </w:tblPrEx>
        <w:trPr>
          <w:trHeight w:val="0" w:hRule="atLeast"/>
          <w:jc w:val="center"/>
        </w:trPr>
        <w:tc>
          <w:tcPr>
            <w:tcW w:w="0" w:type="auto"/>
            <w:vAlign w:val="center"/>
          </w:tcPr>
          <w:p w14:paraId="78A12A44">
            <w:pPr>
              <w:pStyle w:val="24"/>
              <w:snapToGrid w:val="0"/>
              <w:ind w:left="0" w:leftChars="0" w:right="0" w:rightChars="0" w:firstLine="0" w:firstLineChars="0"/>
              <w:jc w:val="center"/>
              <w:rPr>
                <w:color w:val="auto"/>
              </w:rPr>
            </w:pPr>
            <w:r>
              <w:rPr>
                <w:color w:val="auto"/>
              </w:rPr>
              <w:t>Fracture aperture (hydraulic)</w:t>
            </w:r>
          </w:p>
        </w:tc>
        <w:tc>
          <w:tcPr>
            <w:tcW w:w="0" w:type="auto"/>
            <w:vAlign w:val="center"/>
          </w:tcPr>
          <w:p w14:paraId="1E2D9034">
            <w:pPr>
              <w:pStyle w:val="24"/>
              <w:snapToGrid w:val="0"/>
              <w:ind w:left="0" w:leftChars="0" w:right="0" w:rightChars="0" w:firstLine="0" w:firstLineChars="0"/>
              <w:jc w:val="left"/>
              <w:rPr>
                <w:color w:val="auto"/>
              </w:rPr>
            </w:pPr>
            <w:r>
              <w:rPr>
                <w:color w:val="auto"/>
              </w:rPr>
              <w:t>3.0</w:t>
            </w:r>
          </w:p>
        </w:tc>
        <w:tc>
          <w:tcPr>
            <w:tcW w:w="1458" w:type="dxa"/>
            <w:vAlign w:val="center"/>
          </w:tcPr>
          <w:p w14:paraId="29FEB8DD">
            <w:pPr>
              <w:pStyle w:val="24"/>
              <w:snapToGrid w:val="0"/>
              <w:ind w:left="0" w:leftChars="0" w:right="0" w:rightChars="0" w:firstLine="0" w:firstLineChars="0"/>
              <w:jc w:val="center"/>
              <w:rPr>
                <w:color w:val="auto"/>
              </w:rPr>
            </w:pPr>
            <w:r>
              <w:rPr>
                <w:color w:val="auto"/>
              </w:rPr>
              <w:t>mm</w:t>
            </w:r>
          </w:p>
        </w:tc>
      </w:tr>
      <w:tr w14:paraId="0E7F1636">
        <w:tblPrEx>
          <w:tblCellMar>
            <w:top w:w="0" w:type="dxa"/>
            <w:left w:w="108" w:type="dxa"/>
            <w:bottom w:w="0" w:type="dxa"/>
            <w:right w:w="108" w:type="dxa"/>
          </w:tblCellMar>
        </w:tblPrEx>
        <w:trPr>
          <w:trHeight w:val="0" w:hRule="atLeast"/>
          <w:jc w:val="center"/>
        </w:trPr>
        <w:tc>
          <w:tcPr>
            <w:tcW w:w="0" w:type="auto"/>
            <w:vAlign w:val="center"/>
          </w:tcPr>
          <w:p w14:paraId="48F6F412">
            <w:pPr>
              <w:pStyle w:val="24"/>
              <w:snapToGrid w:val="0"/>
              <w:ind w:left="0" w:leftChars="0" w:right="0" w:rightChars="0" w:firstLine="0" w:firstLineChars="0"/>
              <w:jc w:val="center"/>
              <w:rPr>
                <w:color w:val="auto"/>
              </w:rPr>
            </w:pPr>
            <w:r>
              <w:rPr>
                <w:color w:val="auto"/>
              </w:rPr>
              <w:t>Fracture permeability (hydraulic, internal)</w:t>
            </w:r>
          </w:p>
        </w:tc>
        <w:tc>
          <w:tcPr>
            <w:tcW w:w="0" w:type="auto"/>
            <w:vAlign w:val="center"/>
          </w:tcPr>
          <w:p w14:paraId="709F6BD5">
            <w:pPr>
              <w:pStyle w:val="24"/>
              <w:snapToGrid w:val="0"/>
              <w:ind w:left="0" w:leftChars="0" w:right="0" w:rightChars="0" w:firstLine="0" w:firstLineChars="0"/>
              <w:jc w:val="left"/>
              <w:rPr>
                <w:color w:val="auto"/>
              </w:rPr>
            </w:pPr>
            <m:oMathPara>
              <m:oMath>
                <m:r>
                  <m:rPr/>
                  <w:rPr>
                    <w:color w:val="auto"/>
                  </w:rPr>
                  <m:t>1.67×</m:t>
                </m:r>
                <m:sSup>
                  <m:sSupPr>
                    <m:ctrlPr>
                      <w:rPr>
                        <w:color w:val="auto"/>
                      </w:rPr>
                    </m:ctrlPr>
                  </m:sSupPr>
                  <m:e>
                    <m:r>
                      <m:rPr/>
                      <w:rPr>
                        <w:color w:val="auto"/>
                      </w:rPr>
                      <m:t>10</m:t>
                    </m:r>
                    <m:ctrlPr>
                      <w:rPr>
                        <w:color w:val="auto"/>
                      </w:rPr>
                    </m:ctrlPr>
                  </m:e>
                  <m:sup>
                    <m:r>
                      <m:rPr/>
                      <w:rPr>
                        <w:color w:val="auto"/>
                      </w:rPr>
                      <m:t>5</m:t>
                    </m:r>
                    <m:ctrlPr>
                      <w:rPr>
                        <w:color w:val="auto"/>
                      </w:rPr>
                    </m:ctrlPr>
                  </m:sup>
                </m:sSup>
              </m:oMath>
            </m:oMathPara>
          </w:p>
        </w:tc>
        <w:tc>
          <w:tcPr>
            <w:tcW w:w="1458" w:type="dxa"/>
            <w:vAlign w:val="center"/>
          </w:tcPr>
          <w:p w14:paraId="3CCFFD5D">
            <w:pPr>
              <w:pStyle w:val="24"/>
              <w:snapToGrid w:val="0"/>
              <w:ind w:left="0" w:leftChars="0" w:right="0" w:rightChars="0" w:firstLine="0" w:firstLineChars="0"/>
              <w:jc w:val="center"/>
              <w:rPr>
                <w:color w:val="auto"/>
              </w:rPr>
            </w:pPr>
            <w:r>
              <w:rPr>
                <w:color w:val="auto"/>
              </w:rPr>
              <w:t>mD</w:t>
            </w:r>
          </w:p>
        </w:tc>
      </w:tr>
      <w:tr w14:paraId="0DCD1400">
        <w:tblPrEx>
          <w:tblCellMar>
            <w:top w:w="0" w:type="dxa"/>
            <w:left w:w="108" w:type="dxa"/>
            <w:bottom w:w="0" w:type="dxa"/>
            <w:right w:w="108" w:type="dxa"/>
          </w:tblCellMar>
        </w:tblPrEx>
        <w:trPr>
          <w:trHeight w:val="0" w:hRule="atLeast"/>
          <w:jc w:val="center"/>
        </w:trPr>
        <w:tc>
          <w:tcPr>
            <w:tcW w:w="0" w:type="auto"/>
            <w:vAlign w:val="center"/>
          </w:tcPr>
          <w:p w14:paraId="617E63BD">
            <w:pPr>
              <w:pStyle w:val="24"/>
              <w:snapToGrid w:val="0"/>
              <w:ind w:left="0" w:leftChars="0" w:right="0" w:rightChars="0" w:firstLine="0" w:firstLineChars="0"/>
              <w:jc w:val="center"/>
              <w:rPr>
                <w:color w:val="auto"/>
              </w:rPr>
            </w:pPr>
            <w:r>
              <w:rPr>
                <w:color w:val="auto"/>
              </w:rPr>
              <w:t>Initial reservoir pressure</w:t>
            </w:r>
          </w:p>
        </w:tc>
        <w:tc>
          <w:tcPr>
            <w:tcW w:w="0" w:type="auto"/>
            <w:vAlign w:val="center"/>
          </w:tcPr>
          <w:p w14:paraId="20179E07">
            <w:pPr>
              <w:pStyle w:val="24"/>
              <w:snapToGrid w:val="0"/>
              <w:ind w:left="0" w:leftChars="0" w:right="0" w:rightChars="0" w:firstLine="0" w:firstLineChars="0"/>
              <w:jc w:val="left"/>
              <w:rPr>
                <w:color w:val="auto"/>
              </w:rPr>
            </w:pPr>
            <w:r>
              <w:rPr>
                <w:color w:val="auto"/>
              </w:rPr>
              <w:t>35</w:t>
            </w:r>
          </w:p>
        </w:tc>
        <w:tc>
          <w:tcPr>
            <w:tcW w:w="1458" w:type="dxa"/>
            <w:vAlign w:val="center"/>
          </w:tcPr>
          <w:p w14:paraId="5A36EE5B">
            <w:pPr>
              <w:pStyle w:val="24"/>
              <w:snapToGrid w:val="0"/>
              <w:ind w:left="0" w:leftChars="0" w:right="0" w:rightChars="0" w:firstLine="0" w:firstLineChars="0"/>
              <w:jc w:val="center"/>
              <w:rPr>
                <w:color w:val="auto"/>
              </w:rPr>
            </w:pPr>
            <w:r>
              <w:rPr>
                <w:color w:val="auto"/>
              </w:rPr>
              <w:t>MPa</w:t>
            </w:r>
          </w:p>
        </w:tc>
      </w:tr>
      <w:tr w14:paraId="51355152">
        <w:tblPrEx>
          <w:tblCellMar>
            <w:top w:w="0" w:type="dxa"/>
            <w:left w:w="108" w:type="dxa"/>
            <w:bottom w:w="0" w:type="dxa"/>
            <w:right w:w="108" w:type="dxa"/>
          </w:tblCellMar>
        </w:tblPrEx>
        <w:trPr>
          <w:trHeight w:val="0" w:hRule="atLeast"/>
          <w:jc w:val="center"/>
        </w:trPr>
        <w:tc>
          <w:tcPr>
            <w:tcW w:w="0" w:type="auto"/>
            <w:vAlign w:val="center"/>
          </w:tcPr>
          <w:p w14:paraId="77503174">
            <w:pPr>
              <w:pStyle w:val="24"/>
              <w:snapToGrid w:val="0"/>
              <w:ind w:left="0" w:leftChars="0" w:right="0" w:rightChars="0" w:firstLine="0" w:firstLineChars="0"/>
              <w:jc w:val="center"/>
              <w:rPr>
                <w:color w:val="auto"/>
              </w:rPr>
            </w:pPr>
            <w:r>
              <w:rPr>
                <w:color w:val="auto"/>
              </w:rPr>
              <w:t>Bubble-point pressure</w:t>
            </w:r>
          </w:p>
        </w:tc>
        <w:tc>
          <w:tcPr>
            <w:tcW w:w="0" w:type="auto"/>
            <w:vAlign w:val="center"/>
          </w:tcPr>
          <w:p w14:paraId="4283E127">
            <w:pPr>
              <w:pStyle w:val="24"/>
              <w:snapToGrid w:val="0"/>
              <w:ind w:left="0" w:leftChars="0" w:right="0" w:rightChars="0" w:firstLine="0" w:firstLineChars="0"/>
              <w:jc w:val="left"/>
              <w:rPr>
                <w:color w:val="auto"/>
              </w:rPr>
            </w:pPr>
            <w:r>
              <w:rPr>
                <w:color w:val="auto"/>
              </w:rPr>
              <w:t>25</w:t>
            </w:r>
          </w:p>
        </w:tc>
        <w:tc>
          <w:tcPr>
            <w:tcW w:w="1458" w:type="dxa"/>
            <w:vAlign w:val="center"/>
          </w:tcPr>
          <w:p w14:paraId="65E275ED">
            <w:pPr>
              <w:pStyle w:val="24"/>
              <w:snapToGrid w:val="0"/>
              <w:ind w:left="0" w:leftChars="0" w:right="0" w:rightChars="0" w:firstLine="0" w:firstLineChars="0"/>
              <w:jc w:val="center"/>
              <w:rPr>
                <w:color w:val="auto"/>
              </w:rPr>
            </w:pPr>
            <w:r>
              <w:rPr>
                <w:color w:val="auto"/>
              </w:rPr>
              <w:t>MPa</w:t>
            </w:r>
          </w:p>
        </w:tc>
      </w:tr>
      <w:tr w14:paraId="7D61432A">
        <w:tblPrEx>
          <w:tblCellMar>
            <w:top w:w="0" w:type="dxa"/>
            <w:left w:w="108" w:type="dxa"/>
            <w:bottom w:w="0" w:type="dxa"/>
            <w:right w:w="108" w:type="dxa"/>
          </w:tblCellMar>
        </w:tblPrEx>
        <w:trPr>
          <w:trHeight w:val="0" w:hRule="atLeast"/>
          <w:jc w:val="center"/>
        </w:trPr>
        <w:tc>
          <w:tcPr>
            <w:tcW w:w="0" w:type="auto"/>
            <w:vAlign w:val="center"/>
          </w:tcPr>
          <w:p w14:paraId="50D17FF9">
            <w:pPr>
              <w:pStyle w:val="24"/>
              <w:snapToGrid w:val="0"/>
              <w:ind w:left="0" w:leftChars="0" w:right="0" w:rightChars="0" w:firstLine="0" w:firstLineChars="0"/>
              <w:jc w:val="center"/>
              <w:rPr>
                <w:color w:val="auto"/>
              </w:rPr>
            </w:pPr>
            <w:r>
              <w:rPr>
                <w:color w:val="auto"/>
              </w:rPr>
              <w:t>Initial oil saturation</w:t>
            </w:r>
          </w:p>
        </w:tc>
        <w:tc>
          <w:tcPr>
            <w:tcW w:w="0" w:type="auto"/>
            <w:vAlign w:val="center"/>
          </w:tcPr>
          <w:p w14:paraId="0169F04F">
            <w:pPr>
              <w:pStyle w:val="24"/>
              <w:snapToGrid w:val="0"/>
              <w:ind w:left="0" w:leftChars="0" w:right="0" w:rightChars="0" w:firstLine="0" w:firstLineChars="0"/>
              <w:jc w:val="left"/>
              <w:rPr>
                <w:color w:val="auto"/>
              </w:rPr>
            </w:pPr>
            <w:r>
              <w:rPr>
                <w:color w:val="auto"/>
              </w:rPr>
              <w:t>0.65</w:t>
            </w:r>
          </w:p>
        </w:tc>
        <w:tc>
          <w:tcPr>
            <w:tcW w:w="1458" w:type="dxa"/>
            <w:vAlign w:val="center"/>
          </w:tcPr>
          <w:p w14:paraId="1812CC17">
            <w:pPr>
              <w:pStyle w:val="24"/>
              <w:snapToGrid w:val="0"/>
              <w:ind w:left="0" w:leftChars="0" w:right="0" w:rightChars="0" w:firstLine="0" w:firstLineChars="0"/>
              <w:jc w:val="center"/>
              <w:rPr>
                <w:color w:val="auto"/>
              </w:rPr>
            </w:pPr>
            <w:r>
              <w:rPr>
                <w:color w:val="auto"/>
              </w:rPr>
              <w:t>—</w:t>
            </w:r>
          </w:p>
        </w:tc>
      </w:tr>
      <w:tr w14:paraId="767F34BC">
        <w:tblPrEx>
          <w:tblCellMar>
            <w:top w:w="0" w:type="dxa"/>
            <w:left w:w="108" w:type="dxa"/>
            <w:bottom w:w="0" w:type="dxa"/>
            <w:right w:w="108" w:type="dxa"/>
          </w:tblCellMar>
        </w:tblPrEx>
        <w:trPr>
          <w:trHeight w:val="0" w:hRule="atLeast"/>
          <w:jc w:val="center"/>
        </w:trPr>
        <w:tc>
          <w:tcPr>
            <w:tcW w:w="0" w:type="auto"/>
            <w:vAlign w:val="center"/>
          </w:tcPr>
          <w:p w14:paraId="5C97E33A">
            <w:pPr>
              <w:pStyle w:val="24"/>
              <w:snapToGrid w:val="0"/>
              <w:ind w:left="0" w:leftChars="0" w:right="0" w:rightChars="0" w:firstLine="0" w:firstLineChars="0"/>
              <w:jc w:val="center"/>
              <w:rPr>
                <w:color w:val="auto"/>
              </w:rPr>
            </w:pPr>
            <w:r>
              <w:rPr>
                <w:color w:val="auto"/>
              </w:rPr>
              <w:t>Initial water saturation</w:t>
            </w:r>
          </w:p>
        </w:tc>
        <w:tc>
          <w:tcPr>
            <w:tcW w:w="0" w:type="auto"/>
            <w:vAlign w:val="center"/>
          </w:tcPr>
          <w:p w14:paraId="1ECFBF98">
            <w:pPr>
              <w:pStyle w:val="24"/>
              <w:snapToGrid w:val="0"/>
              <w:ind w:left="0" w:leftChars="0" w:right="0" w:rightChars="0" w:firstLine="0" w:firstLineChars="0"/>
              <w:jc w:val="left"/>
              <w:rPr>
                <w:color w:val="auto"/>
              </w:rPr>
            </w:pPr>
            <w:r>
              <w:rPr>
                <w:color w:val="auto"/>
              </w:rPr>
              <w:t>0.35</w:t>
            </w:r>
          </w:p>
        </w:tc>
        <w:tc>
          <w:tcPr>
            <w:tcW w:w="1458" w:type="dxa"/>
            <w:vAlign w:val="center"/>
          </w:tcPr>
          <w:p w14:paraId="1CAA3588">
            <w:pPr>
              <w:pStyle w:val="24"/>
              <w:snapToGrid w:val="0"/>
              <w:ind w:left="0" w:leftChars="0" w:right="0" w:rightChars="0" w:firstLine="0" w:firstLineChars="0"/>
              <w:jc w:val="center"/>
              <w:rPr>
                <w:color w:val="auto"/>
              </w:rPr>
            </w:pPr>
            <w:r>
              <w:rPr>
                <w:color w:val="auto"/>
              </w:rPr>
              <w:t>—</w:t>
            </w:r>
          </w:p>
        </w:tc>
      </w:tr>
      <w:tr w14:paraId="34C12F3E">
        <w:tblPrEx>
          <w:tblCellMar>
            <w:top w:w="0" w:type="dxa"/>
            <w:left w:w="108" w:type="dxa"/>
            <w:bottom w:w="0" w:type="dxa"/>
            <w:right w:w="108" w:type="dxa"/>
          </w:tblCellMar>
        </w:tblPrEx>
        <w:trPr>
          <w:trHeight w:val="0" w:hRule="atLeast"/>
          <w:jc w:val="center"/>
        </w:trPr>
        <w:tc>
          <w:tcPr>
            <w:tcW w:w="0" w:type="auto"/>
            <w:vAlign w:val="center"/>
          </w:tcPr>
          <w:p w14:paraId="3678D023">
            <w:pPr>
              <w:pStyle w:val="24"/>
              <w:snapToGrid w:val="0"/>
              <w:ind w:left="0" w:leftChars="0" w:right="0" w:rightChars="0" w:firstLine="0" w:firstLineChars="0"/>
              <w:jc w:val="center"/>
              <w:rPr>
                <w:color w:val="auto"/>
              </w:rPr>
            </w:pPr>
            <w:r>
              <w:rPr>
                <w:color w:val="auto"/>
              </w:rPr>
              <w:t>Stage spacing</w:t>
            </w:r>
          </w:p>
        </w:tc>
        <w:tc>
          <w:tcPr>
            <w:tcW w:w="0" w:type="auto"/>
            <w:vAlign w:val="center"/>
          </w:tcPr>
          <w:p w14:paraId="53790804">
            <w:pPr>
              <w:pStyle w:val="24"/>
              <w:snapToGrid w:val="0"/>
              <w:ind w:left="0" w:leftChars="0" w:right="0" w:rightChars="0" w:firstLine="0" w:firstLineChars="0"/>
              <w:jc w:val="left"/>
              <w:rPr>
                <w:color w:val="auto"/>
              </w:rPr>
            </w:pPr>
            <w:r>
              <w:rPr>
                <w:color w:val="auto"/>
              </w:rPr>
              <w:t>60</w:t>
            </w:r>
          </w:p>
        </w:tc>
        <w:tc>
          <w:tcPr>
            <w:tcW w:w="1458" w:type="dxa"/>
            <w:vAlign w:val="center"/>
          </w:tcPr>
          <w:p w14:paraId="3F21B5E0">
            <w:pPr>
              <w:pStyle w:val="24"/>
              <w:snapToGrid w:val="0"/>
              <w:ind w:left="0" w:leftChars="0" w:right="0" w:rightChars="0" w:firstLine="0" w:firstLineChars="0"/>
              <w:jc w:val="center"/>
              <w:rPr>
                <w:color w:val="auto"/>
              </w:rPr>
            </w:pPr>
            <w:r>
              <w:rPr>
                <w:color w:val="auto"/>
              </w:rPr>
              <w:t>m</w:t>
            </w:r>
          </w:p>
        </w:tc>
      </w:tr>
      <w:tr w14:paraId="1131428B">
        <w:tblPrEx>
          <w:tblCellMar>
            <w:top w:w="0" w:type="dxa"/>
            <w:left w:w="108" w:type="dxa"/>
            <w:bottom w:w="0" w:type="dxa"/>
            <w:right w:w="108" w:type="dxa"/>
          </w:tblCellMar>
        </w:tblPrEx>
        <w:trPr>
          <w:trHeight w:val="0" w:hRule="atLeast"/>
          <w:jc w:val="center"/>
        </w:trPr>
        <w:tc>
          <w:tcPr>
            <w:tcW w:w="0" w:type="auto"/>
            <w:vAlign w:val="center"/>
          </w:tcPr>
          <w:p w14:paraId="7B762A49">
            <w:pPr>
              <w:pStyle w:val="24"/>
              <w:snapToGrid w:val="0"/>
              <w:ind w:left="0" w:leftChars="0" w:right="0" w:rightChars="0" w:firstLine="0" w:firstLineChars="0"/>
              <w:jc w:val="center"/>
              <w:rPr>
                <w:color w:val="auto"/>
              </w:rPr>
            </w:pPr>
            <w:r>
              <w:rPr>
                <w:color w:val="auto"/>
              </w:rPr>
              <w:t>Well count</w:t>
            </w:r>
          </w:p>
        </w:tc>
        <w:tc>
          <w:tcPr>
            <w:tcW w:w="0" w:type="auto"/>
            <w:vAlign w:val="center"/>
          </w:tcPr>
          <w:p w14:paraId="378ABCD3">
            <w:pPr>
              <w:pStyle w:val="24"/>
              <w:snapToGrid w:val="0"/>
              <w:ind w:left="0" w:leftChars="0" w:right="0" w:rightChars="0" w:firstLine="0" w:firstLineChars="0"/>
              <w:jc w:val="left"/>
              <w:rPr>
                <w:color w:val="auto"/>
              </w:rPr>
            </w:pPr>
            <w:r>
              <w:rPr>
                <w:color w:val="auto"/>
              </w:rPr>
              <w:t>5</w:t>
            </w:r>
          </w:p>
        </w:tc>
        <w:tc>
          <w:tcPr>
            <w:tcW w:w="1458" w:type="dxa"/>
            <w:vAlign w:val="center"/>
          </w:tcPr>
          <w:p w14:paraId="7C393E55">
            <w:pPr>
              <w:pStyle w:val="24"/>
              <w:snapToGrid w:val="0"/>
              <w:ind w:left="0" w:leftChars="0" w:right="0" w:rightChars="0" w:firstLine="0" w:firstLineChars="0"/>
              <w:jc w:val="center"/>
              <w:rPr>
                <w:color w:val="auto"/>
              </w:rPr>
            </w:pPr>
            <w:r>
              <w:rPr>
                <w:color w:val="auto"/>
              </w:rPr>
              <w:t>—</w:t>
            </w:r>
          </w:p>
        </w:tc>
      </w:tr>
      <w:tr w14:paraId="3CD7C3AC">
        <w:tblPrEx>
          <w:tblCellMar>
            <w:top w:w="0" w:type="dxa"/>
            <w:left w:w="108" w:type="dxa"/>
            <w:bottom w:w="0" w:type="dxa"/>
            <w:right w:w="108" w:type="dxa"/>
          </w:tblCellMar>
        </w:tblPrEx>
        <w:trPr>
          <w:trHeight w:val="0" w:hRule="atLeast"/>
          <w:jc w:val="center"/>
        </w:trPr>
        <w:tc>
          <w:tcPr>
            <w:tcW w:w="0" w:type="auto"/>
            <w:vAlign w:val="center"/>
          </w:tcPr>
          <w:p w14:paraId="09DBEDB0">
            <w:pPr>
              <w:pStyle w:val="24"/>
              <w:snapToGrid w:val="0"/>
              <w:ind w:left="0" w:leftChars="0" w:right="0" w:rightChars="0" w:firstLine="0" w:firstLineChars="0"/>
              <w:jc w:val="center"/>
              <w:rPr>
                <w:color w:val="auto"/>
              </w:rPr>
            </w:pPr>
            <w:r>
              <w:rPr>
                <w:color w:val="auto"/>
              </w:rPr>
              <w:t>Stages per well</w:t>
            </w:r>
          </w:p>
        </w:tc>
        <w:tc>
          <w:tcPr>
            <w:tcW w:w="0" w:type="auto"/>
            <w:vAlign w:val="center"/>
          </w:tcPr>
          <w:p w14:paraId="126256C9">
            <w:pPr>
              <w:pStyle w:val="24"/>
              <w:snapToGrid w:val="0"/>
              <w:ind w:left="0" w:leftChars="0" w:right="0" w:rightChars="0" w:firstLine="0" w:firstLineChars="0"/>
              <w:jc w:val="left"/>
              <w:rPr>
                <w:color w:val="auto"/>
              </w:rPr>
            </w:pPr>
            <w:r>
              <w:rPr>
                <w:color w:val="auto"/>
              </w:rPr>
              <w:t>20</w:t>
            </w:r>
          </w:p>
        </w:tc>
        <w:tc>
          <w:tcPr>
            <w:tcW w:w="1458" w:type="dxa"/>
            <w:vAlign w:val="center"/>
          </w:tcPr>
          <w:p w14:paraId="541B250A">
            <w:pPr>
              <w:pStyle w:val="24"/>
              <w:snapToGrid w:val="0"/>
              <w:ind w:left="0" w:leftChars="0" w:right="0" w:rightChars="0" w:firstLine="0" w:firstLineChars="0"/>
              <w:jc w:val="center"/>
              <w:rPr>
                <w:color w:val="auto"/>
              </w:rPr>
            </w:pPr>
            <w:r>
              <w:rPr>
                <w:color w:val="auto"/>
              </w:rPr>
              <w:t>—</w:t>
            </w:r>
          </w:p>
        </w:tc>
      </w:tr>
      <w:tr w14:paraId="3D1CD886">
        <w:tblPrEx>
          <w:tblCellMar>
            <w:top w:w="0" w:type="dxa"/>
            <w:left w:w="108" w:type="dxa"/>
            <w:bottom w:w="0" w:type="dxa"/>
            <w:right w:w="108" w:type="dxa"/>
          </w:tblCellMar>
        </w:tblPrEx>
        <w:trPr>
          <w:trHeight w:val="0" w:hRule="atLeast"/>
          <w:jc w:val="center"/>
        </w:trPr>
        <w:tc>
          <w:tcPr>
            <w:tcW w:w="0" w:type="auto"/>
            <w:vAlign w:val="center"/>
          </w:tcPr>
          <w:p w14:paraId="6AFD05CC">
            <w:pPr>
              <w:pStyle w:val="24"/>
              <w:snapToGrid w:val="0"/>
              <w:ind w:left="0" w:leftChars="0" w:right="0" w:rightChars="0" w:firstLine="0" w:firstLineChars="0"/>
              <w:jc w:val="center"/>
              <w:rPr>
                <w:color w:val="auto"/>
              </w:rPr>
            </w:pPr>
            <w:r>
              <w:rPr>
                <w:color w:val="auto"/>
              </w:rPr>
              <w:t>Simulation period</w:t>
            </w:r>
          </w:p>
        </w:tc>
        <w:tc>
          <w:tcPr>
            <w:tcW w:w="0" w:type="auto"/>
            <w:vAlign w:val="center"/>
          </w:tcPr>
          <w:p w14:paraId="4931D20B">
            <w:pPr>
              <w:pStyle w:val="24"/>
              <w:snapToGrid w:val="0"/>
              <w:ind w:left="0" w:leftChars="0" w:right="0" w:rightChars="0" w:firstLine="0" w:firstLineChars="0"/>
              <w:jc w:val="left"/>
              <w:rPr>
                <w:color w:val="auto"/>
              </w:rPr>
            </w:pPr>
            <w:r>
              <w:rPr>
                <w:color w:val="auto"/>
              </w:rPr>
              <w:t>10</w:t>
            </w:r>
          </w:p>
        </w:tc>
        <w:tc>
          <w:tcPr>
            <w:tcW w:w="1458" w:type="dxa"/>
            <w:vAlign w:val="center"/>
          </w:tcPr>
          <w:p w14:paraId="1BF58165">
            <w:pPr>
              <w:pStyle w:val="24"/>
              <w:snapToGrid w:val="0"/>
              <w:ind w:left="0" w:leftChars="0" w:right="0" w:rightChars="0" w:firstLine="0" w:firstLineChars="0"/>
              <w:jc w:val="center"/>
              <w:rPr>
                <w:color w:val="auto"/>
              </w:rPr>
            </w:pPr>
            <w:r>
              <w:rPr>
                <w:color w:val="auto"/>
              </w:rPr>
              <w:t>years</w:t>
            </w:r>
          </w:p>
        </w:tc>
      </w:tr>
      <w:tr w14:paraId="68501AE0">
        <w:tblPrEx>
          <w:tblCellMar>
            <w:top w:w="0" w:type="dxa"/>
            <w:left w:w="108" w:type="dxa"/>
            <w:bottom w:w="0" w:type="dxa"/>
            <w:right w:w="108" w:type="dxa"/>
          </w:tblCellMar>
        </w:tblPrEx>
        <w:trPr>
          <w:trHeight w:val="0" w:hRule="atLeast"/>
          <w:jc w:val="center"/>
        </w:trPr>
        <w:tc>
          <w:tcPr>
            <w:tcW w:w="0" w:type="auto"/>
            <w:vAlign w:val="center"/>
          </w:tcPr>
          <w:p w14:paraId="1D4EDE5A">
            <w:pPr>
              <w:pStyle w:val="24"/>
              <w:snapToGrid w:val="0"/>
              <w:ind w:left="0" w:leftChars="0" w:right="0" w:rightChars="0" w:firstLine="0" w:firstLineChars="0"/>
              <w:jc w:val="center"/>
              <w:rPr>
                <w:color w:val="auto"/>
              </w:rPr>
            </w:pPr>
            <w:r>
              <w:rPr>
                <w:color w:val="auto"/>
              </w:rPr>
              <w:t>Rock compressibility</w:t>
            </w:r>
          </w:p>
        </w:tc>
        <w:tc>
          <w:tcPr>
            <w:tcW w:w="0" w:type="auto"/>
            <w:vAlign w:val="center"/>
          </w:tcPr>
          <w:p w14:paraId="22262C3F">
            <w:pPr>
              <w:pStyle w:val="24"/>
              <w:snapToGrid w:val="0"/>
              <w:ind w:left="0" w:leftChars="0" w:right="0" w:rightChars="0" w:firstLine="0" w:firstLineChars="0"/>
              <w:jc w:val="left"/>
              <w:rPr>
                <w:color w:val="auto"/>
              </w:rPr>
            </w:pPr>
            <m:oMathPara>
              <m:oMath>
                <m:r>
                  <m:rPr/>
                  <w:rPr>
                    <w:color w:val="auto"/>
                  </w:rPr>
                  <m:t>5×</m:t>
                </m:r>
                <m:sSup>
                  <m:sSupPr>
                    <m:ctrlPr>
                      <w:rPr>
                        <w:color w:val="auto"/>
                      </w:rPr>
                    </m:ctrlPr>
                  </m:sSupPr>
                  <m:e>
                    <m:r>
                      <m:rPr/>
                      <w:rPr>
                        <w:color w:val="auto"/>
                      </w:rPr>
                      <m:t>10</m:t>
                    </m:r>
                    <m:ctrlPr>
                      <w:rPr>
                        <w:color w:val="auto"/>
                      </w:rPr>
                    </m:ctrlPr>
                  </m:e>
                  <m:sup>
                    <m:r>
                      <m:rPr/>
                      <w:rPr>
                        <w:color w:val="auto"/>
                      </w:rPr>
                      <m:t>−6</m:t>
                    </m:r>
                    <m:ctrlPr>
                      <w:rPr>
                        <w:color w:val="auto"/>
                      </w:rPr>
                    </m:ctrlPr>
                  </m:sup>
                </m:sSup>
              </m:oMath>
            </m:oMathPara>
          </w:p>
        </w:tc>
        <w:tc>
          <w:tcPr>
            <w:tcW w:w="1458" w:type="dxa"/>
            <w:vAlign w:val="center"/>
          </w:tcPr>
          <w:p w14:paraId="2686D89C">
            <w:pPr>
              <w:pStyle w:val="24"/>
              <w:snapToGrid w:val="0"/>
              <w:ind w:left="0" w:leftChars="0" w:right="0" w:rightChars="0" w:firstLine="0" w:firstLineChars="0"/>
              <w:jc w:val="center"/>
              <w:rPr>
                <w:color w:val="auto"/>
              </w:rPr>
            </w:pPr>
            <w:r>
              <w:rPr>
                <w:color w:val="auto"/>
              </w:rPr>
              <w:t>psi⁻¹</w:t>
            </w:r>
          </w:p>
        </w:tc>
      </w:tr>
      <w:tr w14:paraId="22BC9206">
        <w:tblPrEx>
          <w:tblCellMar>
            <w:top w:w="0" w:type="dxa"/>
            <w:left w:w="108" w:type="dxa"/>
            <w:bottom w:w="0" w:type="dxa"/>
            <w:right w:w="108" w:type="dxa"/>
          </w:tblCellMar>
        </w:tblPrEx>
        <w:trPr>
          <w:trHeight w:val="0" w:hRule="atLeast"/>
          <w:jc w:val="center"/>
        </w:trPr>
        <w:tc>
          <w:tcPr>
            <w:tcW w:w="0" w:type="auto"/>
            <w:vAlign w:val="center"/>
          </w:tcPr>
          <w:p w14:paraId="0391C7FD">
            <w:pPr>
              <w:pStyle w:val="24"/>
              <w:snapToGrid w:val="0"/>
              <w:ind w:left="0" w:leftChars="0" w:right="0" w:rightChars="0" w:firstLine="0" w:firstLineChars="0"/>
              <w:jc w:val="center"/>
              <w:rPr>
                <w:color w:val="auto"/>
              </w:rPr>
            </w:pPr>
            <w:r>
              <w:rPr>
                <w:color w:val="auto"/>
              </w:rPr>
              <w:t xml:space="preserve">Oil viscosity at </w:t>
            </w:r>
            <m:oMath>
              <m:sSub>
                <m:sSubPr>
                  <m:ctrlPr>
                    <w:rPr>
                      <w:color w:val="auto"/>
                    </w:rPr>
                  </m:ctrlPr>
                </m:sSubPr>
                <m:e>
                  <m:r>
                    <m:rPr/>
                    <w:rPr>
                      <w:color w:val="auto"/>
                    </w:rPr>
                    <m:t>p</m:t>
                  </m:r>
                  <m:ctrlPr>
                    <w:rPr>
                      <w:color w:val="auto"/>
                    </w:rPr>
                  </m:ctrlPr>
                </m:e>
                <m:sub>
                  <m:r>
                    <m:rPr/>
                    <w:rPr>
                      <w:color w:val="auto"/>
                    </w:rPr>
                    <m:t>b</m:t>
                  </m:r>
                  <m:ctrlPr>
                    <w:rPr>
                      <w:color w:val="auto"/>
                    </w:rPr>
                  </m:ctrlPr>
                </m:sub>
              </m:sSub>
            </m:oMath>
          </w:p>
        </w:tc>
        <w:tc>
          <w:tcPr>
            <w:tcW w:w="0" w:type="auto"/>
            <w:vAlign w:val="center"/>
          </w:tcPr>
          <w:p w14:paraId="51D9E42A">
            <w:pPr>
              <w:pStyle w:val="24"/>
              <w:snapToGrid w:val="0"/>
              <w:ind w:left="0" w:leftChars="0" w:right="0" w:rightChars="0" w:firstLine="0" w:firstLineChars="0"/>
              <w:jc w:val="left"/>
              <w:rPr>
                <w:color w:val="auto"/>
              </w:rPr>
            </w:pPr>
            <w:r>
              <w:rPr>
                <w:color w:val="auto"/>
              </w:rPr>
              <w:t>0.35</w:t>
            </w:r>
          </w:p>
        </w:tc>
        <w:tc>
          <w:tcPr>
            <w:tcW w:w="1458" w:type="dxa"/>
            <w:vAlign w:val="center"/>
          </w:tcPr>
          <w:p w14:paraId="0D06C3B3">
            <w:pPr>
              <w:pStyle w:val="24"/>
              <w:snapToGrid w:val="0"/>
              <w:ind w:left="0" w:leftChars="0" w:right="0" w:rightChars="0" w:firstLine="0" w:firstLineChars="0"/>
              <w:jc w:val="center"/>
              <w:rPr>
                <w:color w:val="auto"/>
              </w:rPr>
            </w:pPr>
            <w:r>
              <w:rPr>
                <w:color w:val="auto"/>
              </w:rPr>
              <w:t>cP</w:t>
            </w:r>
          </w:p>
        </w:tc>
      </w:tr>
      <w:tr w14:paraId="28F9515B">
        <w:tblPrEx>
          <w:tblCellMar>
            <w:top w:w="0" w:type="dxa"/>
            <w:left w:w="108" w:type="dxa"/>
            <w:bottom w:w="0" w:type="dxa"/>
            <w:right w:w="108" w:type="dxa"/>
          </w:tblCellMar>
        </w:tblPrEx>
        <w:trPr>
          <w:trHeight w:val="0" w:hRule="atLeast"/>
          <w:jc w:val="center"/>
        </w:trPr>
        <w:tc>
          <w:tcPr>
            <w:tcW w:w="0" w:type="auto"/>
            <w:vAlign w:val="center"/>
          </w:tcPr>
          <w:p w14:paraId="401F5137">
            <w:pPr>
              <w:pStyle w:val="24"/>
              <w:snapToGrid w:val="0"/>
              <w:ind w:left="0" w:leftChars="0" w:right="0" w:rightChars="0" w:firstLine="0" w:firstLineChars="0"/>
              <w:jc w:val="center"/>
              <w:rPr>
                <w:color w:val="auto"/>
              </w:rPr>
            </w:pPr>
            <w:r>
              <w:rPr>
                <w:color w:val="auto"/>
              </w:rPr>
              <w:t xml:space="preserve">Oil formation volume factor at </w:t>
            </w:r>
            <m:oMath>
              <m:sSub>
                <m:sSubPr>
                  <m:ctrlPr>
                    <w:rPr>
                      <w:color w:val="auto"/>
                    </w:rPr>
                  </m:ctrlPr>
                </m:sSubPr>
                <m:e>
                  <m:r>
                    <m:rPr/>
                    <w:rPr>
                      <w:color w:val="auto"/>
                    </w:rPr>
                    <m:t>p</m:t>
                  </m:r>
                  <m:ctrlPr>
                    <w:rPr>
                      <w:color w:val="auto"/>
                    </w:rPr>
                  </m:ctrlPr>
                </m:e>
                <m:sub>
                  <m:r>
                    <m:rPr/>
                    <w:rPr>
                      <w:color w:val="auto"/>
                    </w:rPr>
                    <m:t>b</m:t>
                  </m:r>
                  <m:ctrlPr>
                    <w:rPr>
                      <w:color w:val="auto"/>
                    </w:rPr>
                  </m:ctrlPr>
                </m:sub>
              </m:sSub>
            </m:oMath>
          </w:p>
        </w:tc>
        <w:tc>
          <w:tcPr>
            <w:tcW w:w="0" w:type="auto"/>
            <w:vAlign w:val="center"/>
          </w:tcPr>
          <w:p w14:paraId="4B941424">
            <w:pPr>
              <w:pStyle w:val="24"/>
              <w:snapToGrid w:val="0"/>
              <w:ind w:left="0" w:leftChars="0" w:right="0" w:rightChars="0" w:firstLine="0" w:firstLineChars="0"/>
              <w:jc w:val="left"/>
              <w:rPr>
                <w:color w:val="auto"/>
              </w:rPr>
            </w:pPr>
            <w:r>
              <w:rPr>
                <w:color w:val="auto"/>
              </w:rPr>
              <w:t>1.35</w:t>
            </w:r>
          </w:p>
        </w:tc>
        <w:tc>
          <w:tcPr>
            <w:tcW w:w="1458" w:type="dxa"/>
            <w:vAlign w:val="center"/>
          </w:tcPr>
          <w:p w14:paraId="7552EEB0">
            <w:pPr>
              <w:pStyle w:val="24"/>
              <w:snapToGrid w:val="0"/>
              <w:ind w:left="0" w:leftChars="0" w:right="0" w:rightChars="0" w:firstLine="0" w:firstLineChars="0"/>
              <w:jc w:val="center"/>
              <w:rPr>
                <w:color w:val="auto"/>
              </w:rPr>
            </w:pPr>
            <w:r>
              <w:rPr>
                <w:color w:val="auto"/>
              </w:rPr>
              <w:t>m³/sm³</w:t>
            </w:r>
          </w:p>
        </w:tc>
      </w:tr>
      <w:tr w14:paraId="3C299E8C">
        <w:tblPrEx>
          <w:tblCellMar>
            <w:top w:w="0" w:type="dxa"/>
            <w:left w:w="108" w:type="dxa"/>
            <w:bottom w:w="0" w:type="dxa"/>
            <w:right w:w="108" w:type="dxa"/>
          </w:tblCellMar>
        </w:tblPrEx>
        <w:trPr>
          <w:trHeight w:val="0" w:hRule="atLeast"/>
          <w:jc w:val="center"/>
        </w:trPr>
        <w:tc>
          <w:tcPr>
            <w:tcW w:w="5904" w:type="dxa"/>
            <w:vAlign w:val="center"/>
          </w:tcPr>
          <w:p w14:paraId="69469A89">
            <w:pPr>
              <w:pStyle w:val="24"/>
              <w:snapToGrid w:val="0"/>
              <w:ind w:left="0" w:leftChars="0" w:right="0" w:rightChars="0" w:firstLine="0" w:firstLineChars="0"/>
              <w:jc w:val="center"/>
              <w:rPr>
                <w:color w:val="auto"/>
              </w:rPr>
            </w:pPr>
            <w:r>
              <w:rPr>
                <w:color w:val="auto"/>
              </w:rPr>
              <w:t xml:space="preserve">Solution GOR at </w:t>
            </w:r>
            <m:oMath>
              <m:sSub>
                <m:sSubPr>
                  <m:ctrlPr>
                    <w:rPr>
                      <w:color w:val="auto"/>
                    </w:rPr>
                  </m:ctrlPr>
                </m:sSubPr>
                <m:e>
                  <m:r>
                    <m:rPr/>
                    <w:rPr>
                      <w:color w:val="auto"/>
                    </w:rPr>
                    <m:t>p</m:t>
                  </m:r>
                  <m:ctrlPr>
                    <w:rPr>
                      <w:color w:val="auto"/>
                    </w:rPr>
                  </m:ctrlPr>
                </m:e>
                <m:sub>
                  <m:r>
                    <m:rPr/>
                    <w:rPr>
                      <w:color w:val="auto"/>
                    </w:rPr>
                    <m:t>b</m:t>
                  </m:r>
                  <m:ctrlPr>
                    <w:rPr>
                      <w:color w:val="auto"/>
                    </w:rPr>
                  </m:ctrlPr>
                </m:sub>
              </m:sSub>
            </m:oMath>
          </w:p>
        </w:tc>
        <w:tc>
          <w:tcPr>
            <w:tcW w:w="1489" w:type="dxa"/>
            <w:vAlign w:val="center"/>
          </w:tcPr>
          <w:p w14:paraId="02B40904">
            <w:pPr>
              <w:pStyle w:val="24"/>
              <w:snapToGrid w:val="0"/>
              <w:ind w:left="0" w:leftChars="0" w:right="0" w:rightChars="0" w:firstLine="0" w:firstLineChars="0"/>
              <w:jc w:val="left"/>
              <w:rPr>
                <w:color w:val="auto"/>
              </w:rPr>
            </w:pPr>
            <w:r>
              <w:rPr>
                <w:color w:val="auto"/>
              </w:rPr>
              <w:t>120</w:t>
            </w:r>
          </w:p>
        </w:tc>
        <w:tc>
          <w:tcPr>
            <w:tcW w:w="1458" w:type="dxa"/>
            <w:vAlign w:val="center"/>
          </w:tcPr>
          <w:p w14:paraId="6AA56996">
            <w:pPr>
              <w:pStyle w:val="24"/>
              <w:snapToGrid w:val="0"/>
              <w:ind w:left="0" w:leftChars="0" w:right="0" w:rightChars="0" w:firstLine="0" w:firstLineChars="0"/>
              <w:jc w:val="center"/>
              <w:rPr>
                <w:color w:val="auto"/>
              </w:rPr>
            </w:pPr>
            <w:r>
              <w:rPr>
                <w:color w:val="auto"/>
              </w:rPr>
              <w:t>sm³/sm³</w:t>
            </w:r>
          </w:p>
        </w:tc>
      </w:tr>
    </w:tbl>
    <w:p w14:paraId="20D957F0">
      <w:pPr>
        <w:pStyle w:val="5"/>
        <w:spacing w:before="360" w:after="120"/>
        <w:ind w:firstLine="0"/>
        <w:rPr>
          <w:color w:val="auto"/>
        </w:rPr>
      </w:pPr>
      <w:bookmarkStart w:id="14" w:name="single-phase-analytical-validation"/>
      <w:r>
        <w:rPr>
          <w:color w:val="auto"/>
        </w:rPr>
        <w:t>3.1 Single-Phase Analytical Validation</w:t>
      </w:r>
      <w:bookmarkEnd w:id="14"/>
    </w:p>
    <w:p w14:paraId="6D44F264">
      <w:pPr>
        <w:pStyle w:val="23"/>
        <w:spacing w:before="0" w:after="120"/>
        <w:ind w:firstLine="480" w:firstLineChars="200"/>
        <w:jc w:val="both"/>
        <w:rPr>
          <w:color w:val="auto"/>
        </w:rPr>
      </w:pPr>
      <w:r>
        <w:rPr>
          <w:color w:val="auto"/>
        </w:rPr>
        <w:t>We start with a single-phase validation that strips away multiphase effects and tests the geometric discretization directly. The transient pressure diffusion solution is benchmarked against the analytical Ei-function line-source solution:</w:t>
      </w:r>
    </w:p>
    <w:p w14:paraId="18F3569E">
      <w:pPr>
        <w:pStyle w:val="3"/>
        <w:spacing w:before="0" w:after="120"/>
        <w:ind w:firstLine="480" w:firstLineChars="200"/>
        <w:jc w:val="both"/>
        <w:rPr>
          <w:color w:val="auto"/>
        </w:rPr>
      </w:pPr>
      <m:oMathPara>
        <m:oMathParaPr>
          <m:jc m:val="center"/>
        </m:oMathParaPr>
        <m:oMath>
          <m:r>
            <m:rPr/>
            <w:rPr>
              <w:color w:val="auto"/>
            </w:rPr>
            <m:t>p(r,t)=</m:t>
          </m:r>
          <m:sSub>
            <m:sSubPr>
              <m:ctrlPr>
                <w:rPr>
                  <w:color w:val="auto"/>
                </w:rPr>
              </m:ctrlPr>
            </m:sSubPr>
            <m:e>
              <m:r>
                <m:rPr/>
                <w:rPr>
                  <w:color w:val="auto"/>
                </w:rPr>
                <m:t>p</m:t>
              </m:r>
              <m:ctrlPr>
                <w:rPr>
                  <w:color w:val="auto"/>
                </w:rPr>
              </m:ctrlPr>
            </m:e>
            <m:sub>
              <m:r>
                <m:rPr/>
                <w:rPr>
                  <w:color w:val="auto"/>
                </w:rPr>
                <m:t>i</m:t>
              </m:r>
              <m:ctrlPr>
                <w:rPr>
                  <w:color w:val="auto"/>
                </w:rPr>
              </m:ctrlPr>
            </m:sub>
          </m:sSub>
          <m:r>
            <m:rPr/>
            <w:rPr>
              <w:color w:val="auto"/>
            </w:rPr>
            <m:t>+</m:t>
          </m:r>
          <m:f>
            <m:fPr>
              <m:ctrlPr>
                <w:rPr>
                  <w:color w:val="auto"/>
                </w:rPr>
              </m:ctrlPr>
            </m:fPr>
            <m:num>
              <m:r>
                <m:rPr/>
                <w:rPr>
                  <w:color w:val="auto"/>
                </w:rPr>
                <m:t>qμ</m:t>
              </m:r>
              <m:ctrlPr>
                <w:rPr>
                  <w:color w:val="auto"/>
                </w:rPr>
              </m:ctrlPr>
            </m:num>
            <m:den>
              <m:r>
                <m:rPr/>
                <w:rPr>
                  <w:color w:val="auto"/>
                </w:rPr>
                <m:t>4πKh</m:t>
              </m:r>
              <m:ctrlPr>
                <w:rPr>
                  <w:color w:val="auto"/>
                </w:rPr>
              </m:ctrlPr>
            </m:den>
          </m:f>
          <m:r>
            <m:rPr>
              <m:nor/>
              <m:sty m:val="p"/>
            </m:rPr>
            <w:rPr>
              <w:b w:val="0"/>
              <w:i w:val="0"/>
              <w:color w:val="auto"/>
            </w:rPr>
            <m:t>Ei</m:t>
          </m:r>
          <m:d>
            <m:dPr>
              <m:ctrlPr>
                <w:rPr>
                  <w:color w:val="auto"/>
                </w:rPr>
              </m:ctrlPr>
            </m:dPr>
            <m:e>
              <m:r>
                <m:rPr/>
                <w:rPr>
                  <w:color w:val="auto"/>
                </w:rPr>
                <m:t>−</m:t>
              </m:r>
              <m:f>
                <m:fPr>
                  <m:ctrlPr>
                    <w:rPr>
                      <w:color w:val="auto"/>
                    </w:rPr>
                  </m:ctrlPr>
                </m:fPr>
                <m:num>
                  <m:r>
                    <m:rPr/>
                    <w:rPr>
                      <w:color w:val="auto"/>
                    </w:rPr>
                    <m:t>ϕμ</m:t>
                  </m:r>
                  <m:sSub>
                    <m:sSubPr>
                      <m:ctrlPr>
                        <w:rPr>
                          <w:color w:val="auto"/>
                        </w:rPr>
                      </m:ctrlPr>
                    </m:sSubPr>
                    <m:e>
                      <m:r>
                        <m:rPr/>
                        <w:rPr>
                          <w:color w:val="auto"/>
                        </w:rPr>
                        <m:t>c</m:t>
                      </m:r>
                      <m:ctrlPr>
                        <w:rPr>
                          <w:color w:val="auto"/>
                        </w:rPr>
                      </m:ctrlPr>
                    </m:e>
                    <m:sub>
                      <m:r>
                        <m:rPr/>
                        <w:rPr>
                          <w:color w:val="auto"/>
                        </w:rPr>
                        <m:t>t</m:t>
                      </m:r>
                      <m:ctrlPr>
                        <w:rPr>
                          <w:color w:val="auto"/>
                        </w:rPr>
                      </m:ctrlPr>
                    </m:sub>
                  </m:sSub>
                  <m:sSup>
                    <m:sSupPr>
                      <m:ctrlPr>
                        <w:rPr>
                          <w:color w:val="auto"/>
                        </w:rPr>
                      </m:ctrlPr>
                    </m:sSupPr>
                    <m:e>
                      <m:r>
                        <m:rPr/>
                        <w:rPr>
                          <w:color w:val="auto"/>
                        </w:rPr>
                        <m:t>r</m:t>
                      </m:r>
                      <m:ctrlPr>
                        <w:rPr>
                          <w:color w:val="auto"/>
                        </w:rPr>
                      </m:ctrlPr>
                    </m:e>
                    <m:sup>
                      <m:r>
                        <m:rPr/>
                        <w:rPr>
                          <w:color w:val="auto"/>
                        </w:rPr>
                        <m:t>2</m:t>
                      </m:r>
                      <m:ctrlPr>
                        <w:rPr>
                          <w:color w:val="auto"/>
                        </w:rPr>
                      </m:ctrlPr>
                    </m:sup>
                  </m:sSup>
                  <m:ctrlPr>
                    <w:rPr>
                      <w:color w:val="auto"/>
                    </w:rPr>
                  </m:ctrlPr>
                </m:num>
                <m:den>
                  <m:r>
                    <m:rPr/>
                    <w:rPr>
                      <w:color w:val="auto"/>
                    </w:rPr>
                    <m:t>4Kt</m:t>
                  </m:r>
                  <m:ctrlPr>
                    <w:rPr>
                      <w:color w:val="auto"/>
                    </w:rPr>
                  </m:ctrlPr>
                </m:den>
              </m:f>
              <m:ctrlPr>
                <w:rPr>
                  <w:color w:val="auto"/>
                </w:rPr>
              </m:ctrlPr>
            </m:e>
          </m:d>
          <m:r>
            <m:rPr/>
            <w:rPr>
              <w:color w:val="auto"/>
            </w:rPr>
            <m:t>  (15)</m:t>
          </m:r>
        </m:oMath>
      </m:oMathPara>
    </w:p>
    <w:p w14:paraId="3A944AE7">
      <w:pPr>
        <w:pStyle w:val="23"/>
        <w:spacing w:before="0" w:after="120"/>
        <w:ind w:firstLine="480" w:firstLineChars="200"/>
        <w:jc w:val="both"/>
        <w:rPr>
          <w:color w:val="auto"/>
        </w:rPr>
      </w:pPr>
      <w:r>
        <w:rPr>
          <w:color w:val="auto"/>
        </w:rPr>
        <w:t>Multiphase validation follows in Section 3.2; isolating the single-phase case first lets us pin down the geometric error contribution unambiguously.</w:t>
      </w:r>
    </w:p>
    <w:p w14:paraId="03A8437E">
      <w:pPr>
        <w:pStyle w:val="34"/>
        <w:rPr>
          <w:color w:val="auto"/>
        </w:rPr>
      </w:pPr>
      <w:r>
        <w:rPr>
          <w:color w:val="auto"/>
        </w:rPr>
        <w:drawing>
          <wp:inline distT="0" distB="0" distL="114300" distR="114300">
            <wp:extent cx="5334000" cy="2153285"/>
            <wp:effectExtent l="0" t="0" r="0" b="0"/>
            <wp:docPr id="6" name="Picture" descr="Fig. 6. Analytical validation at t = 100 days. (a) Radial pressure profiles obtained with the PEBI grid, EDFM, Cartesian LGR, and Cartesian uniform mesh. (b) Relative error \varepsilon_p = |p_{\text{sim}} - p_{\text{Ei}}| / p_{\text{Ei}} as a function of radial distance. The PEBI discretization reproduces the analytical solution to within 0.31% at r = 1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descr="Fig. 6. Analytical validation at t = 100 days. (a) Radial pressure profiles obtained with the PEBI grid, EDFM, Cartesian LGR, and Cartesian uniform mesh. (b) Relative error \varepsilon_p = |p_{\text{sim}} - p_{\text{Ei}}| / p_{\text{Ei}} as a function of radial distance. The PEBI discretization reproduces the analytical solution to within 0.31% at r = 1 m."/>
                    <pic:cNvPicPr>
                      <a:picLocks noChangeAspect="1" noChangeArrowheads="1"/>
                    </pic:cNvPicPr>
                  </pic:nvPicPr>
                  <pic:blipFill>
                    <a:blip r:embed="rId10"/>
                    <a:stretch>
                      <a:fillRect/>
                    </a:stretch>
                  </pic:blipFill>
                  <pic:spPr>
                    <a:xfrm>
                      <a:off x="0" y="0"/>
                      <a:ext cx="5334000" cy="2153555"/>
                    </a:xfrm>
                    <a:prstGeom prst="rect">
                      <a:avLst/>
                    </a:prstGeom>
                    <a:noFill/>
                    <a:ln w="9525">
                      <a:noFill/>
                    </a:ln>
                  </pic:spPr>
                </pic:pic>
              </a:graphicData>
            </a:graphic>
          </wp:inline>
        </w:drawing>
      </w:r>
    </w:p>
    <w:p w14:paraId="6BD83AD8">
      <w:pPr>
        <w:pStyle w:val="32"/>
        <w:jc w:val="center"/>
        <w:rPr>
          <w:color w:val="auto"/>
        </w:rPr>
      </w:pPr>
      <w:r>
        <w:rPr>
          <w:color w:val="auto"/>
        </w:rPr>
        <w:t xml:space="preserve">Fig. 6. Analytical validation at </w:t>
      </w:r>
      <m:oMath>
        <m:r>
          <m:rPr/>
          <w:rPr>
            <w:color w:val="auto"/>
          </w:rPr>
          <m:t>t=100</m:t>
        </m:r>
      </m:oMath>
      <w:r>
        <w:rPr>
          <w:color w:val="auto"/>
        </w:rPr>
        <w:t xml:space="preserve"> days. (a) Radial pressure profiles obtained with the PEBI grid, EDFM, Cartesian LGR, and Cartesian uniform mesh. (b) Relative error </w:t>
      </w:r>
      <m:oMath>
        <m:sSub>
          <m:sSubPr>
            <m:ctrlPr>
              <w:rPr>
                <w:color w:val="auto"/>
              </w:rPr>
            </m:ctrlPr>
          </m:sSubPr>
          <m:e>
            <m:r>
              <m:rPr/>
              <w:rPr>
                <w:color w:val="auto"/>
              </w:rPr>
              <m:t>ε</m:t>
            </m:r>
            <m:ctrlPr>
              <w:rPr>
                <w:color w:val="auto"/>
              </w:rPr>
            </m:ctrlPr>
          </m:e>
          <m:sub>
            <m:r>
              <m:rPr/>
              <w:rPr>
                <w:color w:val="auto"/>
              </w:rPr>
              <m:t>p</m:t>
            </m:r>
            <m:ctrlPr>
              <w:rPr>
                <w:color w:val="auto"/>
              </w:rPr>
            </m:ctrlPr>
          </m:sub>
        </m:sSub>
        <m:r>
          <m:rPr/>
          <w:rPr>
            <w:color w:val="auto"/>
          </w:rPr>
          <m:t>=|</m:t>
        </m:r>
        <m:sSub>
          <m:sSubPr>
            <m:ctrlPr>
              <w:rPr>
                <w:color w:val="auto"/>
              </w:rPr>
            </m:ctrlPr>
          </m:sSubPr>
          <m:e>
            <m:r>
              <m:rPr/>
              <w:rPr>
                <w:color w:val="auto"/>
              </w:rPr>
              <m:t>p</m:t>
            </m:r>
            <m:ctrlPr>
              <w:rPr>
                <w:color w:val="auto"/>
              </w:rPr>
            </m:ctrlPr>
          </m:e>
          <m:sub>
            <m:r>
              <m:rPr>
                <m:nor/>
                <m:sty m:val="p"/>
              </m:rPr>
              <w:rPr>
                <w:b w:val="0"/>
                <w:i w:val="0"/>
                <w:color w:val="auto"/>
              </w:rPr>
              <m:t>sim</m:t>
            </m:r>
            <m:ctrlPr>
              <w:rPr>
                <w:color w:val="auto"/>
              </w:rPr>
            </m:ctrlPr>
          </m:sub>
        </m:sSub>
        <m:r>
          <m:rPr/>
          <w:rPr>
            <w:color w:val="auto"/>
          </w:rPr>
          <m:t>−</m:t>
        </m:r>
        <m:sSub>
          <m:sSubPr>
            <m:ctrlPr>
              <w:rPr>
                <w:color w:val="auto"/>
              </w:rPr>
            </m:ctrlPr>
          </m:sSubPr>
          <m:e>
            <m:r>
              <m:rPr/>
              <w:rPr>
                <w:color w:val="auto"/>
              </w:rPr>
              <m:t>p</m:t>
            </m:r>
            <m:ctrlPr>
              <w:rPr>
                <w:color w:val="auto"/>
              </w:rPr>
            </m:ctrlPr>
          </m:e>
          <m:sub>
            <m:r>
              <m:rPr>
                <m:nor/>
                <m:sty m:val="p"/>
              </m:rPr>
              <w:rPr>
                <w:b w:val="0"/>
                <w:i w:val="0"/>
                <w:color w:val="auto"/>
              </w:rPr>
              <m:t>Ei</m:t>
            </m:r>
            <m:ctrlPr>
              <w:rPr>
                <w:color w:val="auto"/>
              </w:rPr>
            </m:ctrlPr>
          </m:sub>
        </m:sSub>
        <m:r>
          <m:rPr/>
          <w:rPr>
            <w:color w:val="auto"/>
          </w:rPr>
          <m:t>|/</m:t>
        </m:r>
        <m:sSub>
          <m:sSubPr>
            <m:ctrlPr>
              <w:rPr>
                <w:color w:val="auto"/>
              </w:rPr>
            </m:ctrlPr>
          </m:sSubPr>
          <m:e>
            <m:r>
              <m:rPr/>
              <w:rPr>
                <w:color w:val="auto"/>
              </w:rPr>
              <m:t>p</m:t>
            </m:r>
            <m:ctrlPr>
              <w:rPr>
                <w:color w:val="auto"/>
              </w:rPr>
            </m:ctrlPr>
          </m:e>
          <m:sub>
            <m:r>
              <m:rPr>
                <m:nor/>
                <m:sty m:val="p"/>
              </m:rPr>
              <w:rPr>
                <w:b w:val="0"/>
                <w:i w:val="0"/>
                <w:color w:val="auto"/>
              </w:rPr>
              <m:t>Ei</m:t>
            </m:r>
            <m:ctrlPr>
              <w:rPr>
                <w:color w:val="auto"/>
              </w:rPr>
            </m:ctrlPr>
          </m:sub>
        </m:sSub>
      </m:oMath>
      <w:r>
        <w:rPr>
          <w:color w:val="auto"/>
        </w:rPr>
        <w:t xml:space="preserve"> as a function of radial distance. The PEBI discretization reproduces the analytical solution to within 0.31% at </w:t>
      </w:r>
      <m:oMath>
        <m:r>
          <m:rPr/>
          <w:rPr>
            <w:color w:val="auto"/>
          </w:rPr>
          <m:t>r=1</m:t>
        </m:r>
      </m:oMath>
      <w:r>
        <w:rPr>
          <w:color w:val="auto"/>
        </w:rPr>
        <w:t xml:space="preserve"> m.</w:t>
      </w:r>
    </w:p>
    <w:p w14:paraId="1D2602A9">
      <w:pPr>
        <w:pStyle w:val="3"/>
        <w:spacing w:before="0" w:after="120"/>
        <w:ind w:firstLine="480" w:firstLineChars="200"/>
        <w:jc w:val="center"/>
        <w:rPr>
          <w:color w:val="auto"/>
        </w:rPr>
      </w:pPr>
      <w:r>
        <w:rPr>
          <w:b/>
          <w:color w:val="auto"/>
        </w:rPr>
        <w:t xml:space="preserve">Table 6: Relative pressure errors </w:t>
      </w:r>
      <m:oMath>
        <m:sSub>
          <m:sSubPr>
            <m:ctrlPr>
              <w:rPr>
                <w:color w:val="auto"/>
              </w:rPr>
            </m:ctrlPr>
          </m:sSubPr>
          <m:e>
            <m:r>
              <m:rPr/>
              <w:rPr>
                <w:color w:val="auto"/>
              </w:rPr>
              <m:t>ε</m:t>
            </m:r>
            <m:ctrlPr>
              <w:rPr>
                <w:color w:val="auto"/>
              </w:rPr>
            </m:ctrlPr>
          </m:e>
          <m:sub>
            <m:r>
              <m:rPr/>
              <w:rPr>
                <w:color w:val="auto"/>
              </w:rPr>
              <m:t>p</m:t>
            </m:r>
            <m:ctrlPr>
              <w:rPr>
                <w:color w:val="auto"/>
              </w:rPr>
            </m:ctrlPr>
          </m:sub>
        </m:sSub>
      </m:oMath>
      <w:r>
        <w:rPr>
          <w:b/>
          <w:color w:val="auto"/>
        </w:rPr>
        <w:t xml:space="preserve"> at selected observation radii (</w:t>
      </w:r>
      <m:oMath>
        <m:r>
          <m:rPr/>
          <w:rPr>
            <w:color w:val="auto"/>
          </w:rPr>
          <m:t>t=100</m:t>
        </m:r>
      </m:oMath>
      <w:r>
        <w:rPr>
          <w:b/>
          <w:color w:val="auto"/>
        </w:rPr>
        <w:t xml:space="preserve"> days).</w:t>
      </w:r>
    </w:p>
    <w:tbl>
      <w:tblPr>
        <w:tblStyle w:val="28"/>
        <w:tblW w:w="8899" w:type="dxa"/>
        <w:jc w:val="center"/>
        <w:tblLayout w:type="autofit"/>
        <w:tblCellMar>
          <w:top w:w="0" w:type="dxa"/>
          <w:left w:w="108" w:type="dxa"/>
          <w:bottom w:w="0" w:type="dxa"/>
          <w:right w:w="108" w:type="dxa"/>
        </w:tblCellMar>
      </w:tblPr>
      <w:tblGrid>
        <w:gridCol w:w="1948"/>
        <w:gridCol w:w="2267"/>
        <w:gridCol w:w="1799"/>
        <w:gridCol w:w="997"/>
        <w:gridCol w:w="1888"/>
      </w:tblGrid>
      <w:tr w14:paraId="7C67B174">
        <w:tblPrEx>
          <w:tblCellMar>
            <w:top w:w="0" w:type="dxa"/>
            <w:left w:w="108" w:type="dxa"/>
            <w:bottom w:w="0" w:type="dxa"/>
            <w:right w:w="108" w:type="dxa"/>
          </w:tblCellMar>
        </w:tblPrEx>
        <w:trPr>
          <w:trHeight w:val="0" w:hRule="atLeast"/>
          <w:tblHeader/>
          <w:jc w:val="center"/>
        </w:trPr>
        <w:tc>
          <w:tcPr>
            <w:tcW w:w="0" w:type="auto"/>
            <w:tcBorders>
              <w:bottom w:val="single" w:color="auto" w:sz="0" w:space="0"/>
            </w:tcBorders>
            <w:vAlign w:val="center"/>
          </w:tcPr>
          <w:p w14:paraId="3D7262BE">
            <w:pPr>
              <w:pStyle w:val="24"/>
              <w:snapToGrid w:val="0"/>
              <w:ind w:left="0" w:leftChars="0" w:right="0" w:rightChars="0" w:firstLine="0" w:firstLineChars="0"/>
              <w:jc w:val="center"/>
              <w:rPr>
                <w:b/>
                <w:color w:val="auto"/>
              </w:rPr>
            </w:pPr>
            <w:r>
              <w:rPr>
                <w:b/>
                <w:color w:val="auto"/>
              </w:rPr>
              <w:t>Radial Distance</w:t>
            </w:r>
          </w:p>
        </w:tc>
        <w:tc>
          <w:tcPr>
            <w:tcW w:w="0" w:type="auto"/>
            <w:tcBorders>
              <w:bottom w:val="single" w:color="auto" w:sz="0" w:space="0"/>
            </w:tcBorders>
            <w:vAlign w:val="center"/>
          </w:tcPr>
          <w:p w14:paraId="7F0FFA98">
            <w:pPr>
              <w:pStyle w:val="24"/>
              <w:snapToGrid w:val="0"/>
              <w:ind w:left="0" w:leftChars="0" w:right="0" w:rightChars="0" w:firstLine="0" w:firstLineChars="0"/>
              <w:jc w:val="center"/>
              <w:rPr>
                <w:b/>
                <w:color w:val="auto"/>
              </w:rPr>
            </w:pPr>
            <w:r>
              <w:rPr>
                <w:b/>
                <w:color w:val="auto"/>
              </w:rPr>
              <w:t>Cartesian Uniform</w:t>
            </w:r>
          </w:p>
        </w:tc>
        <w:tc>
          <w:tcPr>
            <w:tcW w:w="0" w:type="auto"/>
            <w:tcBorders>
              <w:bottom w:val="single" w:color="auto" w:sz="0" w:space="0"/>
            </w:tcBorders>
            <w:vAlign w:val="center"/>
          </w:tcPr>
          <w:p w14:paraId="2B69FBCA">
            <w:pPr>
              <w:pStyle w:val="24"/>
              <w:snapToGrid w:val="0"/>
              <w:ind w:left="0" w:leftChars="0" w:right="0" w:rightChars="0" w:firstLine="0" w:firstLineChars="0"/>
              <w:jc w:val="center"/>
              <w:rPr>
                <w:b/>
                <w:color w:val="auto"/>
              </w:rPr>
            </w:pPr>
            <w:r>
              <w:rPr>
                <w:b/>
                <w:color w:val="auto"/>
              </w:rPr>
              <w:t>Cartesian LGR</w:t>
            </w:r>
          </w:p>
        </w:tc>
        <w:tc>
          <w:tcPr>
            <w:tcW w:w="997" w:type="dxa"/>
            <w:tcBorders>
              <w:bottom w:val="single" w:color="auto" w:sz="0" w:space="0"/>
            </w:tcBorders>
            <w:vAlign w:val="center"/>
          </w:tcPr>
          <w:p w14:paraId="428E2368">
            <w:pPr>
              <w:pStyle w:val="24"/>
              <w:snapToGrid w:val="0"/>
              <w:ind w:left="0" w:leftChars="0" w:right="0" w:rightChars="0" w:firstLine="0" w:firstLineChars="0"/>
              <w:jc w:val="center"/>
              <w:rPr>
                <w:b/>
                <w:color w:val="auto"/>
              </w:rPr>
            </w:pPr>
            <w:r>
              <w:rPr>
                <w:b/>
                <w:color w:val="auto"/>
              </w:rPr>
              <w:t>EDFM</w:t>
            </w:r>
          </w:p>
        </w:tc>
        <w:tc>
          <w:tcPr>
            <w:tcW w:w="1888" w:type="dxa"/>
            <w:tcBorders>
              <w:bottom w:val="single" w:color="auto" w:sz="0" w:space="0"/>
            </w:tcBorders>
            <w:vAlign w:val="center"/>
          </w:tcPr>
          <w:p w14:paraId="560C01A3">
            <w:pPr>
              <w:pStyle w:val="24"/>
              <w:snapToGrid w:val="0"/>
              <w:ind w:left="0" w:leftChars="0" w:right="0" w:rightChars="0" w:firstLine="0" w:firstLineChars="0"/>
              <w:jc w:val="center"/>
              <w:rPr>
                <w:b/>
                <w:color w:val="auto"/>
              </w:rPr>
            </w:pPr>
            <w:r>
              <w:rPr>
                <w:b/>
                <w:color w:val="auto"/>
              </w:rPr>
              <w:t>Proposed PEBI</w:t>
            </w:r>
          </w:p>
        </w:tc>
      </w:tr>
      <w:tr w14:paraId="2297859C">
        <w:tblPrEx>
          <w:tblCellMar>
            <w:top w:w="0" w:type="dxa"/>
            <w:left w:w="108" w:type="dxa"/>
            <w:bottom w:w="0" w:type="dxa"/>
            <w:right w:w="108" w:type="dxa"/>
          </w:tblCellMar>
        </w:tblPrEx>
        <w:trPr>
          <w:trHeight w:val="0" w:hRule="atLeast"/>
          <w:jc w:val="center"/>
        </w:trPr>
        <w:tc>
          <w:tcPr>
            <w:tcW w:w="0" w:type="auto"/>
            <w:vAlign w:val="center"/>
          </w:tcPr>
          <w:p w14:paraId="44A81F4E">
            <w:pPr>
              <w:pStyle w:val="24"/>
              <w:snapToGrid w:val="0"/>
              <w:ind w:left="0" w:leftChars="0" w:right="0" w:rightChars="0" w:firstLine="0" w:firstLineChars="0"/>
              <w:jc w:val="center"/>
              <w:rPr>
                <w:color w:val="auto"/>
              </w:rPr>
            </w:pPr>
            <m:oMath>
              <m:r>
                <m:rPr/>
                <w:rPr>
                  <w:color w:val="auto"/>
                </w:rPr>
                <m:t>r=1</m:t>
              </m:r>
            </m:oMath>
            <w:r>
              <w:rPr>
                <w:color w:val="auto"/>
              </w:rPr>
              <w:t xml:space="preserve"> m</w:t>
            </w:r>
          </w:p>
        </w:tc>
        <w:tc>
          <w:tcPr>
            <w:tcW w:w="0" w:type="auto"/>
            <w:vAlign w:val="center"/>
          </w:tcPr>
          <w:p w14:paraId="7FE0F459">
            <w:pPr>
              <w:pStyle w:val="24"/>
              <w:snapToGrid w:val="0"/>
              <w:ind w:left="0" w:leftChars="0" w:right="0" w:rightChars="0" w:firstLine="0" w:firstLineChars="0"/>
              <w:jc w:val="center"/>
              <w:rPr>
                <w:color w:val="auto"/>
              </w:rPr>
            </w:pPr>
            <w:r>
              <w:rPr>
                <w:color w:val="auto"/>
              </w:rPr>
              <w:t>1.87%</w:t>
            </w:r>
          </w:p>
        </w:tc>
        <w:tc>
          <w:tcPr>
            <w:tcW w:w="0" w:type="auto"/>
            <w:vAlign w:val="center"/>
          </w:tcPr>
          <w:p w14:paraId="5D7DFFE3">
            <w:pPr>
              <w:pStyle w:val="24"/>
              <w:snapToGrid w:val="0"/>
              <w:ind w:left="0" w:leftChars="0" w:right="0" w:rightChars="0" w:firstLine="0" w:firstLineChars="0"/>
              <w:jc w:val="right"/>
              <w:rPr>
                <w:color w:val="auto"/>
              </w:rPr>
            </w:pPr>
            <w:r>
              <w:rPr>
                <w:color w:val="auto"/>
              </w:rPr>
              <w:t>0.92%</w:t>
            </w:r>
          </w:p>
        </w:tc>
        <w:tc>
          <w:tcPr>
            <w:tcW w:w="997" w:type="dxa"/>
            <w:vAlign w:val="center"/>
          </w:tcPr>
          <w:p w14:paraId="768C3BB9">
            <w:pPr>
              <w:pStyle w:val="24"/>
              <w:snapToGrid w:val="0"/>
              <w:ind w:left="0" w:leftChars="0" w:right="0" w:rightChars="0" w:firstLine="0" w:firstLineChars="0"/>
              <w:jc w:val="right"/>
              <w:rPr>
                <w:color w:val="auto"/>
              </w:rPr>
            </w:pPr>
            <w:r>
              <w:rPr>
                <w:color w:val="auto"/>
              </w:rPr>
              <w:t>0.66%</w:t>
            </w:r>
          </w:p>
        </w:tc>
        <w:tc>
          <w:tcPr>
            <w:tcW w:w="1888" w:type="dxa"/>
            <w:vAlign w:val="center"/>
          </w:tcPr>
          <w:p w14:paraId="3C433A94">
            <w:pPr>
              <w:pStyle w:val="24"/>
              <w:snapToGrid w:val="0"/>
              <w:ind w:left="0" w:leftChars="0" w:right="0" w:rightChars="0" w:firstLine="0" w:firstLineChars="0"/>
              <w:jc w:val="right"/>
              <w:rPr>
                <w:color w:val="auto"/>
              </w:rPr>
            </w:pPr>
            <w:r>
              <w:rPr>
                <w:color w:val="auto"/>
              </w:rPr>
              <w:t>0.31%</w:t>
            </w:r>
          </w:p>
        </w:tc>
      </w:tr>
      <w:tr w14:paraId="5BA74246">
        <w:tblPrEx>
          <w:tblCellMar>
            <w:top w:w="0" w:type="dxa"/>
            <w:left w:w="108" w:type="dxa"/>
            <w:bottom w:w="0" w:type="dxa"/>
            <w:right w:w="108" w:type="dxa"/>
          </w:tblCellMar>
        </w:tblPrEx>
        <w:trPr>
          <w:trHeight w:val="0" w:hRule="atLeast"/>
          <w:jc w:val="center"/>
        </w:trPr>
        <w:tc>
          <w:tcPr>
            <w:tcW w:w="0" w:type="auto"/>
            <w:vAlign w:val="center"/>
          </w:tcPr>
          <w:p w14:paraId="5F9A4812">
            <w:pPr>
              <w:pStyle w:val="24"/>
              <w:snapToGrid w:val="0"/>
              <w:ind w:left="0" w:leftChars="0" w:right="0" w:rightChars="0" w:firstLine="0" w:firstLineChars="0"/>
              <w:jc w:val="center"/>
              <w:rPr>
                <w:color w:val="auto"/>
              </w:rPr>
            </w:pPr>
            <m:oMath>
              <m:r>
                <m:rPr/>
                <w:rPr>
                  <w:color w:val="auto"/>
                </w:rPr>
                <m:t>r=10</m:t>
              </m:r>
            </m:oMath>
            <w:r>
              <w:rPr>
                <w:color w:val="auto"/>
              </w:rPr>
              <w:t xml:space="preserve"> m</w:t>
            </w:r>
          </w:p>
        </w:tc>
        <w:tc>
          <w:tcPr>
            <w:tcW w:w="0" w:type="auto"/>
            <w:vAlign w:val="center"/>
          </w:tcPr>
          <w:p w14:paraId="7AE5BBEE">
            <w:pPr>
              <w:pStyle w:val="24"/>
              <w:snapToGrid w:val="0"/>
              <w:ind w:left="0" w:leftChars="0" w:right="0" w:rightChars="0" w:firstLine="0" w:firstLineChars="0"/>
              <w:jc w:val="center"/>
              <w:rPr>
                <w:color w:val="auto"/>
              </w:rPr>
            </w:pPr>
            <w:r>
              <w:rPr>
                <w:color w:val="auto"/>
              </w:rPr>
              <w:t>0.95%</w:t>
            </w:r>
          </w:p>
        </w:tc>
        <w:tc>
          <w:tcPr>
            <w:tcW w:w="0" w:type="auto"/>
            <w:vAlign w:val="center"/>
          </w:tcPr>
          <w:p w14:paraId="6EC63A06">
            <w:pPr>
              <w:pStyle w:val="24"/>
              <w:snapToGrid w:val="0"/>
              <w:ind w:left="0" w:leftChars="0" w:right="0" w:rightChars="0" w:firstLine="0" w:firstLineChars="0"/>
              <w:jc w:val="right"/>
              <w:rPr>
                <w:color w:val="auto"/>
              </w:rPr>
            </w:pPr>
            <w:r>
              <w:rPr>
                <w:color w:val="auto"/>
              </w:rPr>
              <w:t>0.48%</w:t>
            </w:r>
          </w:p>
        </w:tc>
        <w:tc>
          <w:tcPr>
            <w:tcW w:w="997" w:type="dxa"/>
            <w:vAlign w:val="center"/>
          </w:tcPr>
          <w:p w14:paraId="659A95F1">
            <w:pPr>
              <w:pStyle w:val="24"/>
              <w:snapToGrid w:val="0"/>
              <w:ind w:left="0" w:leftChars="0" w:right="0" w:rightChars="0" w:firstLine="0" w:firstLineChars="0"/>
              <w:jc w:val="right"/>
              <w:rPr>
                <w:color w:val="auto"/>
              </w:rPr>
            </w:pPr>
            <w:r>
              <w:rPr>
                <w:color w:val="auto"/>
              </w:rPr>
              <w:t>0.35%</w:t>
            </w:r>
          </w:p>
        </w:tc>
        <w:tc>
          <w:tcPr>
            <w:tcW w:w="1888" w:type="dxa"/>
            <w:vAlign w:val="center"/>
          </w:tcPr>
          <w:p w14:paraId="098200BC">
            <w:pPr>
              <w:pStyle w:val="24"/>
              <w:snapToGrid w:val="0"/>
              <w:ind w:left="0" w:leftChars="0" w:right="0" w:rightChars="0" w:firstLine="0" w:firstLineChars="0"/>
              <w:jc w:val="right"/>
              <w:rPr>
                <w:color w:val="auto"/>
              </w:rPr>
            </w:pPr>
            <w:r>
              <w:rPr>
                <w:color w:val="auto"/>
              </w:rPr>
              <w:t>0.18%</w:t>
            </w:r>
          </w:p>
        </w:tc>
      </w:tr>
      <w:tr w14:paraId="7949055B">
        <w:tblPrEx>
          <w:tblCellMar>
            <w:top w:w="0" w:type="dxa"/>
            <w:left w:w="108" w:type="dxa"/>
            <w:bottom w:w="0" w:type="dxa"/>
            <w:right w:w="108" w:type="dxa"/>
          </w:tblCellMar>
        </w:tblPrEx>
        <w:trPr>
          <w:trHeight w:val="0" w:hRule="atLeast"/>
          <w:jc w:val="center"/>
        </w:trPr>
        <w:tc>
          <w:tcPr>
            <w:tcW w:w="1948" w:type="dxa"/>
            <w:vAlign w:val="center"/>
          </w:tcPr>
          <w:p w14:paraId="497930D9">
            <w:pPr>
              <w:pStyle w:val="24"/>
              <w:snapToGrid w:val="0"/>
              <w:ind w:left="0" w:leftChars="0" w:right="0" w:rightChars="0" w:firstLine="0" w:firstLineChars="0"/>
              <w:jc w:val="center"/>
              <w:rPr>
                <w:color w:val="auto"/>
              </w:rPr>
            </w:pPr>
            <m:oMath>
              <m:r>
                <m:rPr/>
                <w:rPr>
                  <w:color w:val="auto"/>
                </w:rPr>
                <m:t>r=50</m:t>
              </m:r>
            </m:oMath>
            <w:r>
              <w:rPr>
                <w:color w:val="auto"/>
              </w:rPr>
              <w:t xml:space="preserve"> m</w:t>
            </w:r>
          </w:p>
        </w:tc>
        <w:tc>
          <w:tcPr>
            <w:tcW w:w="2267" w:type="dxa"/>
            <w:vAlign w:val="center"/>
          </w:tcPr>
          <w:p w14:paraId="52218D86">
            <w:pPr>
              <w:pStyle w:val="24"/>
              <w:snapToGrid w:val="0"/>
              <w:ind w:left="0" w:leftChars="0" w:right="0" w:rightChars="0" w:firstLine="0" w:firstLineChars="0"/>
              <w:jc w:val="center"/>
              <w:rPr>
                <w:color w:val="auto"/>
              </w:rPr>
            </w:pPr>
            <w:r>
              <w:rPr>
                <w:color w:val="auto"/>
              </w:rPr>
              <w:t>0.61%</w:t>
            </w:r>
          </w:p>
        </w:tc>
        <w:tc>
          <w:tcPr>
            <w:tcW w:w="1799" w:type="dxa"/>
            <w:vAlign w:val="center"/>
          </w:tcPr>
          <w:p w14:paraId="019B12B0">
            <w:pPr>
              <w:pStyle w:val="24"/>
              <w:snapToGrid w:val="0"/>
              <w:ind w:left="0" w:leftChars="0" w:right="0" w:rightChars="0" w:firstLine="0" w:firstLineChars="0"/>
              <w:jc w:val="right"/>
              <w:rPr>
                <w:color w:val="auto"/>
              </w:rPr>
            </w:pPr>
            <w:r>
              <w:rPr>
                <w:color w:val="auto"/>
              </w:rPr>
              <w:t>0.31%</w:t>
            </w:r>
          </w:p>
        </w:tc>
        <w:tc>
          <w:tcPr>
            <w:tcW w:w="997" w:type="dxa"/>
            <w:vAlign w:val="center"/>
          </w:tcPr>
          <w:p w14:paraId="509ACEEA">
            <w:pPr>
              <w:pStyle w:val="24"/>
              <w:snapToGrid w:val="0"/>
              <w:ind w:left="0" w:leftChars="0" w:right="0" w:rightChars="0" w:firstLine="0" w:firstLineChars="0"/>
              <w:jc w:val="right"/>
              <w:rPr>
                <w:color w:val="auto"/>
              </w:rPr>
            </w:pPr>
            <w:r>
              <w:rPr>
                <w:color w:val="auto"/>
              </w:rPr>
              <w:t>0.24%</w:t>
            </w:r>
          </w:p>
        </w:tc>
        <w:tc>
          <w:tcPr>
            <w:tcW w:w="1888" w:type="dxa"/>
            <w:vAlign w:val="center"/>
          </w:tcPr>
          <w:p w14:paraId="0DD7D1FA">
            <w:pPr>
              <w:pStyle w:val="24"/>
              <w:snapToGrid w:val="0"/>
              <w:ind w:left="0" w:leftChars="0" w:right="0" w:rightChars="0" w:firstLine="0" w:firstLineChars="0"/>
              <w:jc w:val="right"/>
              <w:rPr>
                <w:color w:val="auto"/>
              </w:rPr>
            </w:pPr>
            <w:r>
              <w:rPr>
                <w:color w:val="auto"/>
              </w:rPr>
              <w:t>0.12%</w:t>
            </w:r>
          </w:p>
        </w:tc>
      </w:tr>
    </w:tbl>
    <w:p w14:paraId="31AB52BD">
      <w:pPr>
        <w:pStyle w:val="3"/>
        <w:spacing w:before="0" w:after="120"/>
        <w:ind w:firstLine="480" w:firstLineChars="200"/>
        <w:jc w:val="both"/>
        <w:rPr>
          <w:color w:val="auto"/>
        </w:rPr>
      </w:pPr>
      <w:r>
        <w:rPr>
          <w:color w:val="auto"/>
        </w:rPr>
        <w:t>Figure 6 confirms that the accuracy advantage is concentrated near the source region, where the pressure gradient is steepest. Table 6 provides a quantitative breakdown of errors at selected observation radii. At a radial distance of 1 m, the conforming PEBI grid reduces the pressure error by 53.0% relative to EDFM (0.66% vs. 0.31%), by 66.3% relative to Cartesian LGR (0.92% vs. 0.31%), and by 83.4% relative to the uniform Cartesian mesh (1.87% vs. 0.31%). EDFM outperforms Cartesian LGR—unsurprisingly, given that it avoids staircase geometry—but underperforms PEBI because the NNC transfer operator does not fully capture the r⁻¹ pressure asymptote near fracture tips. This elimination of geometric flux distortion, as opposed to its mere reduction, provides the foundation for the algebraic and parallel performance gains reported in the sections that follow.</w:t>
      </w:r>
      <m:oMath>
        <m:r>
          <m:rPr/>
          <w:rPr>
            <w:color w:val="auto"/>
          </w:rPr>
          <m:t>1/</m:t>
        </m:r>
        <m:rad>
          <m:radPr>
            <m:degHide m:val="1"/>
            <m:ctrlPr>
              <w:rPr>
                <w:color w:val="auto"/>
              </w:rPr>
            </m:ctrlPr>
          </m:radPr>
          <m:deg>
            <m:ctrlPr>
              <w:rPr>
                <w:color w:val="auto"/>
              </w:rPr>
            </m:ctrlPr>
          </m:deg>
          <m:e>
            <m:r>
              <m:rPr/>
              <w:rPr>
                <w:color w:val="auto"/>
              </w:rPr>
              <m:t>r</m:t>
            </m:r>
            <m:ctrlPr>
              <w:rPr>
                <w:color w:val="auto"/>
              </w:rPr>
            </m:ctrlPr>
          </m:e>
        </m:rad>
      </m:oMath>
    </w:p>
    <w:p w14:paraId="63BE536E">
      <w:pPr>
        <w:pStyle w:val="3"/>
        <w:spacing w:before="0" w:after="120"/>
        <w:ind w:firstLine="480" w:firstLineChars="200"/>
        <w:jc w:val="both"/>
        <w:rPr>
          <w:color w:val="auto"/>
        </w:rPr>
      </w:pPr>
      <w:r>
        <w:rPr>
          <w:color w:val="auto"/>
        </w:rPr>
        <w:t xml:space="preserve">We looked at temporal convergence by stepping through maximum timesteps from 0.1 to 30 days. The Newton–Raphson procedure landed within three to five iterations per step across every configuration, with the average nonlinear residual falling below </w:t>
      </w:r>
      <m:oMath>
        <m:r>
          <m:rPr/>
          <w:rPr>
            <w:color w:val="auto"/>
          </w:rPr>
          <m:t>∥R</m:t>
        </m:r>
        <m:sSub>
          <m:sSubPr>
            <m:ctrlPr>
              <w:rPr>
                <w:color w:val="auto"/>
              </w:rPr>
            </m:ctrlPr>
          </m:sSubPr>
          <m:e>
            <m:r>
              <m:rPr/>
              <w:rPr>
                <w:color w:val="auto"/>
              </w:rPr>
              <m:t>∥</m:t>
            </m:r>
            <m:ctrlPr>
              <w:rPr>
                <w:color w:val="auto"/>
              </w:rPr>
            </m:ctrlPr>
          </m:e>
          <m:sub>
            <m:r>
              <m:rPr/>
              <w:rPr>
                <w:color w:val="auto"/>
              </w:rPr>
              <m:t>2</m:t>
            </m:r>
            <m:ctrlPr>
              <w:rPr>
                <w:color w:val="auto"/>
              </w:rPr>
            </m:ctrlPr>
          </m:sub>
        </m:sSub>
        <m:r>
          <m:rPr/>
          <w:rPr>
            <w:color w:val="auto"/>
          </w:rPr>
          <m:t>≤8×</m:t>
        </m:r>
        <m:sSup>
          <m:sSupPr>
            <m:ctrlPr>
              <w:rPr>
                <w:color w:val="auto"/>
              </w:rPr>
            </m:ctrlPr>
          </m:sSupPr>
          <m:e>
            <m:r>
              <m:rPr/>
              <w:rPr>
                <w:color w:val="auto"/>
              </w:rPr>
              <m:t>10</m:t>
            </m:r>
            <m:ctrlPr>
              <w:rPr>
                <w:color w:val="auto"/>
              </w:rPr>
            </m:ctrlPr>
          </m:e>
          <m:sup>
            <m:r>
              <m:rPr/>
              <w:rPr>
                <w:color w:val="auto"/>
              </w:rPr>
              <m:t>−5</m:t>
            </m:r>
            <m:ctrlPr>
              <w:rPr>
                <w:color w:val="auto"/>
              </w:rPr>
            </m:ctrlPr>
          </m:sup>
        </m:sSup>
      </m:oMath>
      <w:r>
        <w:rPr>
          <w:color w:val="auto"/>
        </w:rPr>
        <w:t>. Below a maximum step of 5 days the solutions were timestep-independent, so all production forecasts in this paper use a conservative cap of 1 day.</w:t>
      </w:r>
    </w:p>
    <w:p w14:paraId="18DFC9D2">
      <w:pPr>
        <w:pStyle w:val="5"/>
        <w:spacing w:before="360" w:after="120"/>
        <w:ind w:firstLine="0"/>
        <w:rPr>
          <w:color w:val="auto"/>
        </w:rPr>
      </w:pPr>
      <w:bookmarkStart w:id="15" w:name="Xebdddf27695d5e7daebd9a35cc9f4aeca445515"/>
      <w:r>
        <w:rPr>
          <w:color w:val="auto"/>
        </w:rPr>
        <w:t>3.2 Multiphase Validation: Buckley–Leverett Displacement</w:t>
      </w:r>
      <w:bookmarkEnd w:id="15"/>
    </w:p>
    <w:p w14:paraId="38132C73">
      <w:pPr>
        <w:pStyle w:val="23"/>
        <w:spacing w:before="0" w:after="120"/>
        <w:ind w:firstLine="480" w:firstLineChars="200"/>
        <w:jc w:val="both"/>
        <w:rPr>
          <w:color w:val="auto"/>
        </w:rPr>
      </w:pPr>
      <w:r>
        <w:rPr>
          <w:color w:val="auto"/>
        </w:rPr>
        <w:t>To validate the multiphase behavior of the simulator, a one-dimensional Buckley–Leverett waterflood displacement was simulated on the PEBI grid and compared with the semi-analytical solution. A horizontal domain of length 300 m was initialized at irreducible water saturation (</w:t>
      </w:r>
      <m:oMath>
        <m:sSub>
          <m:sSubPr>
            <m:ctrlPr>
              <w:rPr>
                <w:color w:val="auto"/>
              </w:rPr>
            </m:ctrlPr>
          </m:sSubPr>
          <m:e>
            <m:r>
              <m:rPr/>
              <w:rPr>
                <w:color w:val="auto"/>
              </w:rPr>
              <m:t>S</m:t>
            </m:r>
            <m:ctrlPr>
              <w:rPr>
                <w:color w:val="auto"/>
              </w:rPr>
            </m:ctrlPr>
          </m:e>
          <m:sub>
            <m:r>
              <m:rPr/>
              <w:rPr>
                <w:color w:val="auto"/>
              </w:rPr>
              <m:t>wc</m:t>
            </m:r>
            <m:ctrlPr>
              <w:rPr>
                <w:color w:val="auto"/>
              </w:rPr>
            </m:ctrlPr>
          </m:sub>
        </m:sSub>
        <m:r>
          <m:rPr/>
          <w:rPr>
            <w:color w:val="auto"/>
          </w:rPr>
          <m:t>=0.20</m:t>
        </m:r>
      </m:oMath>
      <w:r>
        <w:rPr>
          <w:color w:val="auto"/>
        </w:rPr>
        <w:t xml:space="preserve">) with constant-rate water injection at the left boundary. Corey-type relative permeability functions were used: </w:t>
      </w:r>
      <m:oMath>
        <m:sSub>
          <m:sSubPr>
            <m:ctrlPr>
              <w:rPr>
                <w:color w:val="auto"/>
              </w:rPr>
            </m:ctrlPr>
          </m:sSubPr>
          <m:e>
            <m:r>
              <m:rPr/>
              <w:rPr>
                <w:color w:val="auto"/>
              </w:rPr>
              <m:t>k</m:t>
            </m:r>
            <m:ctrlPr>
              <w:rPr>
                <w:color w:val="auto"/>
              </w:rPr>
            </m:ctrlPr>
          </m:e>
          <m:sub>
            <m:r>
              <m:rPr/>
              <w:rPr>
                <w:color w:val="auto"/>
              </w:rPr>
              <m:t>rw</m:t>
            </m:r>
            <m:ctrlPr>
              <w:rPr>
                <w:color w:val="auto"/>
              </w:rPr>
            </m:ctrlPr>
          </m:sub>
        </m:sSub>
        <m:r>
          <m:rPr/>
          <w:rPr>
            <w:color w:val="auto"/>
          </w:rPr>
          <m:t>=</m:t>
        </m:r>
        <m:sSubSup>
          <m:sSubSupPr>
            <m:ctrlPr>
              <w:rPr>
                <w:color w:val="auto"/>
              </w:rPr>
            </m:ctrlPr>
          </m:sSubSupPr>
          <m:e>
            <m:r>
              <m:rPr/>
              <w:rPr>
                <w:color w:val="auto"/>
              </w:rPr>
              <m:t>k</m:t>
            </m:r>
            <m:ctrlPr>
              <w:rPr>
                <w:color w:val="auto"/>
              </w:rPr>
            </m:ctrlPr>
          </m:e>
          <m:sub>
            <m:r>
              <m:rPr/>
              <w:rPr>
                <w:color w:val="auto"/>
              </w:rPr>
              <m:t>rw</m:t>
            </m:r>
            <m:ctrlPr>
              <w:rPr>
                <w:color w:val="auto"/>
              </w:rPr>
            </m:ctrlPr>
          </m:sub>
          <m:sup>
            <m:r>
              <m:rPr/>
              <w:rPr>
                <w:color w:val="auto"/>
              </w:rPr>
              <m:t>0</m:t>
            </m:r>
            <m:ctrlPr>
              <w:rPr>
                <w:color w:val="auto"/>
              </w:rPr>
            </m:ctrlPr>
          </m:sup>
        </m:sSubSup>
        <m:r>
          <m:rPr/>
          <w:rPr>
            <w:color w:val="auto"/>
          </w:rPr>
          <m:t>((</m:t>
        </m:r>
        <m:sSub>
          <m:sSubPr>
            <m:ctrlPr>
              <w:rPr>
                <w:color w:val="auto"/>
              </w:rPr>
            </m:ctrlPr>
          </m:sSubPr>
          <m:e>
            <m:r>
              <m:rPr/>
              <w:rPr>
                <w:color w:val="auto"/>
              </w:rPr>
              <m:t>S</m:t>
            </m:r>
            <m:ctrlPr>
              <w:rPr>
                <w:color w:val="auto"/>
              </w:rPr>
            </m:ctrlPr>
          </m:e>
          <m:sub>
            <m:r>
              <m:rPr/>
              <w:rPr>
                <w:color w:val="auto"/>
              </w:rPr>
              <m:t>w</m:t>
            </m:r>
            <m:ctrlPr>
              <w:rPr>
                <w:color w:val="auto"/>
              </w:rPr>
            </m:ctrlPr>
          </m:sub>
        </m:sSub>
        <m:r>
          <m:rPr/>
          <w:rPr>
            <w:color w:val="auto"/>
          </w:rPr>
          <m:t>−</m:t>
        </m:r>
        <m:sSub>
          <m:sSubPr>
            <m:ctrlPr>
              <w:rPr>
                <w:color w:val="auto"/>
              </w:rPr>
            </m:ctrlPr>
          </m:sSubPr>
          <m:e>
            <m:r>
              <m:rPr/>
              <w:rPr>
                <w:color w:val="auto"/>
              </w:rPr>
              <m:t>S</m:t>
            </m:r>
            <m:ctrlPr>
              <w:rPr>
                <w:color w:val="auto"/>
              </w:rPr>
            </m:ctrlPr>
          </m:e>
          <m:sub>
            <m:r>
              <m:rPr/>
              <w:rPr>
                <w:color w:val="auto"/>
              </w:rPr>
              <m:t>wc</m:t>
            </m:r>
            <m:ctrlPr>
              <w:rPr>
                <w:color w:val="auto"/>
              </w:rPr>
            </m:ctrlPr>
          </m:sub>
        </m:sSub>
        <m:r>
          <m:rPr/>
          <w:rPr>
            <w:color w:val="auto"/>
          </w:rPr>
          <m:t>)/(1−</m:t>
        </m:r>
        <m:sSub>
          <m:sSubPr>
            <m:ctrlPr>
              <w:rPr>
                <w:color w:val="auto"/>
              </w:rPr>
            </m:ctrlPr>
          </m:sSubPr>
          <m:e>
            <m:r>
              <m:rPr/>
              <w:rPr>
                <w:color w:val="auto"/>
              </w:rPr>
              <m:t>S</m:t>
            </m:r>
            <m:ctrlPr>
              <w:rPr>
                <w:color w:val="auto"/>
              </w:rPr>
            </m:ctrlPr>
          </m:e>
          <m:sub>
            <m:r>
              <m:rPr/>
              <w:rPr>
                <w:color w:val="auto"/>
              </w:rPr>
              <m:t>wc</m:t>
            </m:r>
            <m:ctrlPr>
              <w:rPr>
                <w:color w:val="auto"/>
              </w:rPr>
            </m:ctrlPr>
          </m:sub>
        </m:sSub>
        <m:r>
          <m:rPr/>
          <w:rPr>
            <w:color w:val="auto"/>
          </w:rPr>
          <m:t>−</m:t>
        </m:r>
        <m:sSub>
          <m:sSubPr>
            <m:ctrlPr>
              <w:rPr>
                <w:color w:val="auto"/>
              </w:rPr>
            </m:ctrlPr>
          </m:sSubPr>
          <m:e>
            <m:r>
              <m:rPr/>
              <w:rPr>
                <w:color w:val="auto"/>
              </w:rPr>
              <m:t>S</m:t>
            </m:r>
            <m:ctrlPr>
              <w:rPr>
                <w:color w:val="auto"/>
              </w:rPr>
            </m:ctrlPr>
          </m:e>
          <m:sub>
            <m:r>
              <m:rPr/>
              <w:rPr>
                <w:color w:val="auto"/>
              </w:rPr>
              <m:t>or</m:t>
            </m:r>
            <m:ctrlPr>
              <w:rPr>
                <w:color w:val="auto"/>
              </w:rPr>
            </m:ctrlPr>
          </m:sub>
        </m:sSub>
        <m:r>
          <m:rPr/>
          <w:rPr>
            <w:color w:val="auto"/>
          </w:rPr>
          <m:t>)</m:t>
        </m:r>
        <m:sSup>
          <m:sSupPr>
            <m:ctrlPr>
              <w:rPr>
                <w:color w:val="auto"/>
              </w:rPr>
            </m:ctrlPr>
          </m:sSupPr>
          <m:e>
            <m:r>
              <m:rPr/>
              <w:rPr>
                <w:color w:val="auto"/>
              </w:rPr>
              <m:t>)</m:t>
            </m:r>
            <m:ctrlPr>
              <w:rPr>
                <w:color w:val="auto"/>
              </w:rPr>
            </m:ctrlPr>
          </m:e>
          <m:sup>
            <m:sSub>
              <m:sSubPr>
                <m:ctrlPr>
                  <w:rPr>
                    <w:color w:val="auto"/>
                  </w:rPr>
                </m:ctrlPr>
              </m:sSubPr>
              <m:e>
                <m:r>
                  <m:rPr/>
                  <w:rPr>
                    <w:color w:val="auto"/>
                  </w:rPr>
                  <m:t>n</m:t>
                </m:r>
                <m:ctrlPr>
                  <w:rPr>
                    <w:color w:val="auto"/>
                  </w:rPr>
                </m:ctrlPr>
              </m:e>
              <m:sub>
                <m:r>
                  <m:rPr/>
                  <w:rPr>
                    <w:color w:val="auto"/>
                  </w:rPr>
                  <m:t>w</m:t>
                </m:r>
                <m:ctrlPr>
                  <w:rPr>
                    <w:color w:val="auto"/>
                  </w:rPr>
                </m:ctrlPr>
              </m:sub>
            </m:sSub>
            <m:ctrlPr>
              <w:rPr>
                <w:color w:val="auto"/>
              </w:rPr>
            </m:ctrlPr>
          </m:sup>
        </m:sSup>
      </m:oMath>
      <w:r>
        <w:rPr>
          <w:color w:val="auto"/>
        </w:rPr>
        <w:t xml:space="preserve"> and </w:t>
      </w:r>
      <m:oMath>
        <m:sSub>
          <m:sSubPr>
            <m:ctrlPr>
              <w:rPr>
                <w:color w:val="auto"/>
              </w:rPr>
            </m:ctrlPr>
          </m:sSubPr>
          <m:e>
            <m:r>
              <m:rPr/>
              <w:rPr>
                <w:color w:val="auto"/>
              </w:rPr>
              <m:t>k</m:t>
            </m:r>
            <m:ctrlPr>
              <w:rPr>
                <w:color w:val="auto"/>
              </w:rPr>
            </m:ctrlPr>
          </m:e>
          <m:sub>
            <m:r>
              <m:rPr/>
              <w:rPr>
                <w:color w:val="auto"/>
              </w:rPr>
              <m:t>ro</m:t>
            </m:r>
            <m:ctrlPr>
              <w:rPr>
                <w:color w:val="auto"/>
              </w:rPr>
            </m:ctrlPr>
          </m:sub>
        </m:sSub>
        <m:r>
          <m:rPr/>
          <w:rPr>
            <w:color w:val="auto"/>
          </w:rPr>
          <m:t>=</m:t>
        </m:r>
        <m:sSubSup>
          <m:sSubSupPr>
            <m:ctrlPr>
              <w:rPr>
                <w:color w:val="auto"/>
              </w:rPr>
            </m:ctrlPr>
          </m:sSubSupPr>
          <m:e>
            <m:r>
              <m:rPr/>
              <w:rPr>
                <w:color w:val="auto"/>
              </w:rPr>
              <m:t>k</m:t>
            </m:r>
            <m:ctrlPr>
              <w:rPr>
                <w:color w:val="auto"/>
              </w:rPr>
            </m:ctrlPr>
          </m:e>
          <m:sub>
            <m:r>
              <m:rPr/>
              <w:rPr>
                <w:color w:val="auto"/>
              </w:rPr>
              <m:t>ro</m:t>
            </m:r>
            <m:ctrlPr>
              <w:rPr>
                <w:color w:val="auto"/>
              </w:rPr>
            </m:ctrlPr>
          </m:sub>
          <m:sup>
            <m:r>
              <m:rPr/>
              <w:rPr>
                <w:color w:val="auto"/>
              </w:rPr>
              <m:t>0</m:t>
            </m:r>
            <m:ctrlPr>
              <w:rPr>
                <w:color w:val="auto"/>
              </w:rPr>
            </m:ctrlPr>
          </m:sup>
        </m:sSubSup>
        <m:r>
          <m:rPr/>
          <w:rPr>
            <w:color w:val="auto"/>
          </w:rPr>
          <m:t>((1−</m:t>
        </m:r>
        <m:sSub>
          <m:sSubPr>
            <m:ctrlPr>
              <w:rPr>
                <w:color w:val="auto"/>
              </w:rPr>
            </m:ctrlPr>
          </m:sSubPr>
          <m:e>
            <m:r>
              <m:rPr/>
              <w:rPr>
                <w:color w:val="auto"/>
              </w:rPr>
              <m:t>S</m:t>
            </m:r>
            <m:ctrlPr>
              <w:rPr>
                <w:color w:val="auto"/>
              </w:rPr>
            </m:ctrlPr>
          </m:e>
          <m:sub>
            <m:r>
              <m:rPr/>
              <w:rPr>
                <w:color w:val="auto"/>
              </w:rPr>
              <m:t>w</m:t>
            </m:r>
            <m:ctrlPr>
              <w:rPr>
                <w:color w:val="auto"/>
              </w:rPr>
            </m:ctrlPr>
          </m:sub>
        </m:sSub>
        <m:r>
          <m:rPr/>
          <w:rPr>
            <w:color w:val="auto"/>
          </w:rPr>
          <m:t>−</m:t>
        </m:r>
        <m:sSub>
          <m:sSubPr>
            <m:ctrlPr>
              <w:rPr>
                <w:color w:val="auto"/>
              </w:rPr>
            </m:ctrlPr>
          </m:sSubPr>
          <m:e>
            <m:r>
              <m:rPr/>
              <w:rPr>
                <w:color w:val="auto"/>
              </w:rPr>
              <m:t>S</m:t>
            </m:r>
            <m:ctrlPr>
              <w:rPr>
                <w:color w:val="auto"/>
              </w:rPr>
            </m:ctrlPr>
          </m:e>
          <m:sub>
            <m:r>
              <m:rPr/>
              <w:rPr>
                <w:color w:val="auto"/>
              </w:rPr>
              <m:t>or</m:t>
            </m:r>
            <m:ctrlPr>
              <w:rPr>
                <w:color w:val="auto"/>
              </w:rPr>
            </m:ctrlPr>
          </m:sub>
        </m:sSub>
        <m:r>
          <m:rPr/>
          <w:rPr>
            <w:color w:val="auto"/>
          </w:rPr>
          <m:t>)/(1−</m:t>
        </m:r>
        <m:sSub>
          <m:sSubPr>
            <m:ctrlPr>
              <w:rPr>
                <w:color w:val="auto"/>
              </w:rPr>
            </m:ctrlPr>
          </m:sSubPr>
          <m:e>
            <m:r>
              <m:rPr/>
              <w:rPr>
                <w:color w:val="auto"/>
              </w:rPr>
              <m:t>S</m:t>
            </m:r>
            <m:ctrlPr>
              <w:rPr>
                <w:color w:val="auto"/>
              </w:rPr>
            </m:ctrlPr>
          </m:e>
          <m:sub>
            <m:r>
              <m:rPr/>
              <w:rPr>
                <w:color w:val="auto"/>
              </w:rPr>
              <m:t>wc</m:t>
            </m:r>
            <m:ctrlPr>
              <w:rPr>
                <w:color w:val="auto"/>
              </w:rPr>
            </m:ctrlPr>
          </m:sub>
        </m:sSub>
        <m:r>
          <m:rPr/>
          <w:rPr>
            <w:color w:val="auto"/>
          </w:rPr>
          <m:t>−</m:t>
        </m:r>
        <m:sSub>
          <m:sSubPr>
            <m:ctrlPr>
              <w:rPr>
                <w:color w:val="auto"/>
              </w:rPr>
            </m:ctrlPr>
          </m:sSubPr>
          <m:e>
            <m:r>
              <m:rPr/>
              <w:rPr>
                <w:color w:val="auto"/>
              </w:rPr>
              <m:t>S</m:t>
            </m:r>
            <m:ctrlPr>
              <w:rPr>
                <w:color w:val="auto"/>
              </w:rPr>
            </m:ctrlPr>
          </m:e>
          <m:sub>
            <m:r>
              <m:rPr/>
              <w:rPr>
                <w:color w:val="auto"/>
              </w:rPr>
              <m:t>or</m:t>
            </m:r>
            <m:ctrlPr>
              <w:rPr>
                <w:color w:val="auto"/>
              </w:rPr>
            </m:ctrlPr>
          </m:sub>
        </m:sSub>
        <m:r>
          <m:rPr/>
          <w:rPr>
            <w:color w:val="auto"/>
          </w:rPr>
          <m:t>)</m:t>
        </m:r>
        <m:sSup>
          <m:sSupPr>
            <m:ctrlPr>
              <w:rPr>
                <w:color w:val="auto"/>
              </w:rPr>
            </m:ctrlPr>
          </m:sSupPr>
          <m:e>
            <m:r>
              <m:rPr/>
              <w:rPr>
                <w:color w:val="auto"/>
              </w:rPr>
              <m:t>)</m:t>
            </m:r>
            <m:ctrlPr>
              <w:rPr>
                <w:color w:val="auto"/>
              </w:rPr>
            </m:ctrlPr>
          </m:e>
          <m:sup>
            <m:sSub>
              <m:sSubPr>
                <m:ctrlPr>
                  <w:rPr>
                    <w:color w:val="auto"/>
                  </w:rPr>
                </m:ctrlPr>
              </m:sSubPr>
              <m:e>
                <m:r>
                  <m:rPr/>
                  <w:rPr>
                    <w:color w:val="auto"/>
                  </w:rPr>
                  <m:t>n</m:t>
                </m:r>
                <m:ctrlPr>
                  <w:rPr>
                    <w:color w:val="auto"/>
                  </w:rPr>
                </m:ctrlPr>
              </m:e>
              <m:sub>
                <m:r>
                  <m:rPr/>
                  <w:rPr>
                    <w:color w:val="auto"/>
                  </w:rPr>
                  <m:t>o</m:t>
                </m:r>
                <m:ctrlPr>
                  <w:rPr>
                    <w:color w:val="auto"/>
                  </w:rPr>
                </m:ctrlPr>
              </m:sub>
            </m:sSub>
            <m:ctrlPr>
              <w:rPr>
                <w:color w:val="auto"/>
              </w:rPr>
            </m:ctrlPr>
          </m:sup>
        </m:sSup>
      </m:oMath>
      <w:r>
        <w:rPr>
          <w:color w:val="auto"/>
        </w:rPr>
        <w:t xml:space="preserve"> with </w:t>
      </w:r>
      <m:oMath>
        <m:sSub>
          <m:sSubPr>
            <m:ctrlPr>
              <w:rPr>
                <w:color w:val="auto"/>
              </w:rPr>
            </m:ctrlPr>
          </m:sSubPr>
          <m:e>
            <m:r>
              <m:rPr/>
              <w:rPr>
                <w:color w:val="auto"/>
              </w:rPr>
              <m:t>n</m:t>
            </m:r>
            <m:ctrlPr>
              <w:rPr>
                <w:color w:val="auto"/>
              </w:rPr>
            </m:ctrlPr>
          </m:e>
          <m:sub>
            <m:r>
              <m:rPr/>
              <w:rPr>
                <w:color w:val="auto"/>
              </w:rPr>
              <m:t>w</m:t>
            </m:r>
            <m:ctrlPr>
              <w:rPr>
                <w:color w:val="auto"/>
              </w:rPr>
            </m:ctrlPr>
          </m:sub>
        </m:sSub>
        <m:r>
          <m:rPr/>
          <w:rPr>
            <w:color w:val="auto"/>
          </w:rPr>
          <m:t>=2.0</m:t>
        </m:r>
      </m:oMath>
      <w:r>
        <w:rPr>
          <w:color w:val="auto"/>
        </w:rPr>
        <w:t xml:space="preserve">, </w:t>
      </w:r>
      <m:oMath>
        <m:sSub>
          <m:sSubPr>
            <m:ctrlPr>
              <w:rPr>
                <w:color w:val="auto"/>
              </w:rPr>
            </m:ctrlPr>
          </m:sSubPr>
          <m:e>
            <m:r>
              <m:rPr/>
              <w:rPr>
                <w:color w:val="auto"/>
              </w:rPr>
              <m:t>n</m:t>
            </m:r>
            <m:ctrlPr>
              <w:rPr>
                <w:color w:val="auto"/>
              </w:rPr>
            </m:ctrlPr>
          </m:e>
          <m:sub>
            <m:r>
              <m:rPr/>
              <w:rPr>
                <w:color w:val="auto"/>
              </w:rPr>
              <m:t>o</m:t>
            </m:r>
            <m:ctrlPr>
              <w:rPr>
                <w:color w:val="auto"/>
              </w:rPr>
            </m:ctrlPr>
          </m:sub>
        </m:sSub>
        <m:r>
          <m:rPr/>
          <w:rPr>
            <w:color w:val="auto"/>
          </w:rPr>
          <m:t>=2.0</m:t>
        </m:r>
      </m:oMath>
      <w:r>
        <w:rPr>
          <w:color w:val="auto"/>
        </w:rPr>
        <w:t xml:space="preserve">, </w:t>
      </w:r>
      <m:oMath>
        <m:sSubSup>
          <m:sSubSupPr>
            <m:ctrlPr>
              <w:rPr>
                <w:color w:val="auto"/>
              </w:rPr>
            </m:ctrlPr>
          </m:sSubSupPr>
          <m:e>
            <m:r>
              <m:rPr/>
              <w:rPr>
                <w:color w:val="auto"/>
              </w:rPr>
              <m:t>k</m:t>
            </m:r>
            <m:ctrlPr>
              <w:rPr>
                <w:color w:val="auto"/>
              </w:rPr>
            </m:ctrlPr>
          </m:e>
          <m:sub>
            <m:r>
              <m:rPr/>
              <w:rPr>
                <w:color w:val="auto"/>
              </w:rPr>
              <m:t>rw</m:t>
            </m:r>
            <m:ctrlPr>
              <w:rPr>
                <w:color w:val="auto"/>
              </w:rPr>
            </m:ctrlPr>
          </m:sub>
          <m:sup>
            <m:r>
              <m:rPr/>
              <w:rPr>
                <w:color w:val="auto"/>
              </w:rPr>
              <m:t>0</m:t>
            </m:r>
            <m:ctrlPr>
              <w:rPr>
                <w:color w:val="auto"/>
              </w:rPr>
            </m:ctrlPr>
          </m:sup>
        </m:sSubSup>
        <m:r>
          <m:rPr/>
          <w:rPr>
            <w:color w:val="auto"/>
          </w:rPr>
          <m:t>=0.3</m:t>
        </m:r>
      </m:oMath>
      <w:r>
        <w:rPr>
          <w:color w:val="auto"/>
        </w:rPr>
        <w:t xml:space="preserve">, </w:t>
      </w:r>
      <m:oMath>
        <m:sSubSup>
          <m:sSubSupPr>
            <m:ctrlPr>
              <w:rPr>
                <w:color w:val="auto"/>
              </w:rPr>
            </m:ctrlPr>
          </m:sSubSupPr>
          <m:e>
            <m:r>
              <m:rPr/>
              <w:rPr>
                <w:color w:val="auto"/>
              </w:rPr>
              <m:t>k</m:t>
            </m:r>
            <m:ctrlPr>
              <w:rPr>
                <w:color w:val="auto"/>
              </w:rPr>
            </m:ctrlPr>
          </m:e>
          <m:sub>
            <m:r>
              <m:rPr/>
              <w:rPr>
                <w:color w:val="auto"/>
              </w:rPr>
              <m:t>ro</m:t>
            </m:r>
            <m:ctrlPr>
              <w:rPr>
                <w:color w:val="auto"/>
              </w:rPr>
            </m:ctrlPr>
          </m:sub>
          <m:sup>
            <m:r>
              <m:rPr/>
              <w:rPr>
                <w:color w:val="auto"/>
              </w:rPr>
              <m:t>0</m:t>
            </m:r>
            <m:ctrlPr>
              <w:rPr>
                <w:color w:val="auto"/>
              </w:rPr>
            </m:ctrlPr>
          </m:sup>
        </m:sSubSup>
        <m:r>
          <m:rPr/>
          <w:rPr>
            <w:color w:val="auto"/>
          </w:rPr>
          <m:t>=0.8</m:t>
        </m:r>
      </m:oMath>
      <w:r>
        <w:rPr>
          <w:color w:val="auto"/>
        </w:rPr>
        <w:t xml:space="preserve">, and </w:t>
      </w:r>
      <m:oMath>
        <m:sSub>
          <m:sSubPr>
            <m:ctrlPr>
              <w:rPr>
                <w:color w:val="auto"/>
              </w:rPr>
            </m:ctrlPr>
          </m:sSubPr>
          <m:e>
            <m:r>
              <m:rPr/>
              <w:rPr>
                <w:color w:val="auto"/>
              </w:rPr>
              <m:t>S</m:t>
            </m:r>
            <m:ctrlPr>
              <w:rPr>
                <w:color w:val="auto"/>
              </w:rPr>
            </m:ctrlPr>
          </m:e>
          <m:sub>
            <m:r>
              <m:rPr/>
              <w:rPr>
                <w:color w:val="auto"/>
              </w:rPr>
              <m:t>or</m:t>
            </m:r>
            <m:ctrlPr>
              <w:rPr>
                <w:color w:val="auto"/>
              </w:rPr>
            </m:ctrlPr>
          </m:sub>
        </m:sSub>
        <m:r>
          <m:rPr/>
          <w:rPr>
            <w:color w:val="auto"/>
          </w:rPr>
          <m:t>=0.25</m:t>
        </m:r>
      </m:oMath>
      <w:r>
        <w:rPr>
          <w:color w:val="auto"/>
        </w:rPr>
        <w:t>.</w:t>
      </w:r>
    </w:p>
    <w:p w14:paraId="4FECEB23">
      <w:pPr>
        <w:pStyle w:val="3"/>
        <w:spacing w:before="0" w:after="120"/>
        <w:ind w:firstLine="480" w:firstLineChars="200"/>
        <w:jc w:val="both"/>
        <w:rPr>
          <w:color w:val="auto"/>
        </w:rPr>
      </w:pPr>
      <w:r>
        <w:rPr>
          <w:color w:val="auto"/>
        </w:rPr>
        <w:t xml:space="preserve">At </w:t>
      </w:r>
      <m:oMath>
        <m:r>
          <m:rPr/>
          <w:rPr>
            <w:color w:val="auto"/>
          </w:rPr>
          <m:t>t=500</m:t>
        </m:r>
      </m:oMath>
      <w:r>
        <w:rPr>
          <w:color w:val="auto"/>
        </w:rPr>
        <w:t xml:space="preserve"> days (approximately 0.4 pore volumes injected), the simulated water saturation profile matches the semi-analytical Buckley–Leverett solution with a root-mean-square error of 0.0074 saturation units. The shock-front position is captured to within 2.1 m (0.7% of domain length), and no grid-orientation effects are observed, consistent with the K-orthogonal property of the PEBI mesh.</w:t>
      </w:r>
    </w:p>
    <w:p w14:paraId="45FF57C8">
      <w:pPr>
        <w:pStyle w:val="3"/>
        <w:spacing w:before="0" w:after="120"/>
        <w:ind w:firstLine="480" w:firstLineChars="200"/>
        <w:jc w:val="both"/>
        <w:rPr>
          <w:color w:val="auto"/>
        </w:rPr>
      </w:pPr>
      <w:r>
        <w:rPr>
          <w:color w:val="auto"/>
        </w:rPr>
        <w:t xml:space="preserve">To validate the simulator on a more geologically complex, industry-standard benchmark, we applied the proposed PEBI framework to the Society of Petroleum Engineers Tenth Comparative Solution Project (SPE 10) (Christie and Blunt, 2001). SPE 10 comprises a </w:t>
      </w:r>
      <m:oMath>
        <m:r>
          <m:rPr/>
          <w:rPr>
            <w:color w:val="auto"/>
          </w:rPr>
          <m:t>60×220×85</m:t>
        </m:r>
      </m:oMath>
      <w:r>
        <w:rPr>
          <w:color w:val="auto"/>
        </w:rPr>
        <w:t xml:space="preserve"> geostatistically generated grid (</w:t>
      </w:r>
      <m:oMath>
        <m:r>
          <m:rPr/>
          <w:rPr>
            <w:color w:val="auto"/>
          </w:rPr>
          <m:t>1,122,000</m:t>
        </m:r>
      </m:oMath>
      <w:r>
        <w:rPr>
          <w:color w:val="auto"/>
        </w:rPr>
        <w:t xml:space="preserve"> cells) representing a prograding near-shore depositional environment, with permeability spanning over 8 orders of magnitude and a highly heterogeneous spatial correlation structure (dimensionless correlation lengths: 0.5 in the major direction, 0.1 in the minor direction). We note that the original publication reports multiple solutions from different participating institutions using a variety of formulations (IMPES, sequential implicit, and fully implicit); the original publication does not define a single canonical reference solution but instead documents the inter-participant spread as a measure of solution uncertainty. For the present study, we re-computed a fully implicit solution on the standard 1,122,000-cell Cartesian grid using our own black-oil simulator with the same PVT tables, relative permeability curves, and well controls employed for the PEBI simulation. This approach—re-computing the reference rather than extracting a participant solution from that study—ensures that differences between the reference and PEBI results are attributable to the grid and discretization rather than to differences in fluid properties, numerical tolerances, or linear solver configuration. Our re-computed Cartesian solution (cumulative oil </w:t>
      </w:r>
      <m:oMath>
        <m:r>
          <m:rPr/>
          <w:rPr>
            <w:color w:val="auto"/>
          </w:rPr>
          <m:t>18.24×</m:t>
        </m:r>
        <m:sSup>
          <m:sSupPr>
            <m:ctrlPr>
              <w:rPr>
                <w:color w:val="auto"/>
              </w:rPr>
            </m:ctrlPr>
          </m:sSupPr>
          <m:e>
            <m:r>
              <m:rPr/>
              <w:rPr>
                <w:color w:val="auto"/>
              </w:rPr>
              <m:t>10</m:t>
            </m:r>
            <m:ctrlPr>
              <w:rPr>
                <w:color w:val="auto"/>
              </w:rPr>
            </m:ctrlPr>
          </m:e>
          <m:sup>
            <m:r>
              <m:rPr/>
              <w:rPr>
                <w:color w:val="auto"/>
              </w:rPr>
              <m:t>6</m:t>
            </m:r>
            <m:ctrlPr>
              <w:rPr>
                <w:color w:val="auto"/>
              </w:rPr>
            </m:ctrlPr>
          </m:sup>
        </m:sSup>
      </m:oMath>
      <w:r>
        <w:rPr>
          <w:color w:val="auto"/>
        </w:rPr>
        <w:t xml:space="preserve"> sm³, water breakthrough at 287 days) falls within the inter-participant spread reported therein for the fully implicit solutions. The standard SPE 10 specification is a two-phase oil–water problem without a gas component. In our black-oil simulator, the gas phase was initialized at zero saturation (</w:t>
      </w:r>
      <m:oMath>
        <m:sSub>
          <m:sSubPr>
            <m:ctrlPr>
              <w:rPr>
                <w:color w:val="auto"/>
              </w:rPr>
            </m:ctrlPr>
          </m:sSubPr>
          <m:e>
            <m:r>
              <m:rPr/>
              <w:rPr>
                <w:color w:val="auto"/>
              </w:rPr>
              <m:t>S</m:t>
            </m:r>
            <m:ctrlPr>
              <w:rPr>
                <w:color w:val="auto"/>
              </w:rPr>
            </m:ctrlPr>
          </m:e>
          <m:sub>
            <m:r>
              <m:rPr/>
              <w:rPr>
                <w:color w:val="auto"/>
              </w:rPr>
              <m:t>g</m:t>
            </m:r>
            <m:ctrlPr>
              <w:rPr>
                <w:color w:val="auto"/>
              </w:rPr>
            </m:ctrlPr>
          </m:sub>
        </m:sSub>
        <m:r>
          <m:rPr/>
          <w:rPr>
            <w:color w:val="auto"/>
          </w:rPr>
          <m:t>=0</m:t>
        </m:r>
      </m:oMath>
      <w:r>
        <w:rPr>
          <w:color w:val="auto"/>
        </w:rPr>
        <w:t>) with the solution gas–oil ratio held at the bubble-point value (</w:t>
      </w:r>
      <m:oMath>
        <m:sSub>
          <m:sSubPr>
            <m:ctrlPr>
              <w:rPr>
                <w:color w:val="auto"/>
              </w:rPr>
            </m:ctrlPr>
          </m:sSubPr>
          <m:e>
            <m:r>
              <m:rPr/>
              <w:rPr>
                <w:color w:val="auto"/>
              </w:rPr>
              <m:t>R</m:t>
            </m:r>
            <m:ctrlPr>
              <w:rPr>
                <w:color w:val="auto"/>
              </w:rPr>
            </m:ctrlPr>
          </m:e>
          <m:sub>
            <m:r>
              <m:rPr/>
              <w:rPr>
                <w:color w:val="auto"/>
              </w:rPr>
              <m:t>s</m:t>
            </m:r>
            <m:ctrlPr>
              <w:rPr>
                <w:color w:val="auto"/>
              </w:rPr>
            </m:ctrlPr>
          </m:sub>
        </m:sSub>
        <m:r>
          <m:rPr/>
          <w:rPr>
            <w:color w:val="auto"/>
          </w:rPr>
          <m:t>=120</m:t>
        </m:r>
      </m:oMath>
      <w:r>
        <w:rPr>
          <w:color w:val="auto"/>
        </w:rPr>
        <w:t xml:space="preserve"> sm³/sm³) throughout the domain. Because the reservoir pressure remained above the bubble point (</w:t>
      </w:r>
      <m:oMath>
        <m:sSub>
          <m:sSubPr>
            <m:ctrlPr>
              <w:rPr>
                <w:color w:val="auto"/>
              </w:rPr>
            </m:ctrlPr>
          </m:sSubPr>
          <m:e>
            <m:r>
              <m:rPr/>
              <w:rPr>
                <w:color w:val="auto"/>
              </w:rPr>
              <m:t>p</m:t>
            </m:r>
            <m:ctrlPr>
              <w:rPr>
                <w:color w:val="auto"/>
              </w:rPr>
            </m:ctrlPr>
          </m:e>
          <m:sub>
            <m:r>
              <m:rPr/>
              <w:rPr>
                <w:color w:val="auto"/>
              </w:rPr>
              <m:t>b</m:t>
            </m:r>
            <m:ctrlPr>
              <w:rPr>
                <w:color w:val="auto"/>
              </w:rPr>
            </m:ctrlPr>
          </m:sub>
        </m:sSub>
        <m:r>
          <m:rPr/>
          <w:rPr>
            <w:color w:val="auto"/>
          </w:rPr>
          <m:t>=1,800</m:t>
        </m:r>
      </m:oMath>
      <w:r>
        <w:rPr>
          <w:color w:val="auto"/>
        </w:rPr>
        <w:t xml:space="preserve"> psi) everywhere—the minimum pressure at any producer was </w:t>
      </w:r>
      <m:oMath>
        <m:r>
          <m:rPr/>
          <w:rPr>
            <w:color w:val="auto"/>
          </w:rPr>
          <m:t>2,140</m:t>
        </m:r>
      </m:oMath>
      <w:r>
        <w:rPr>
          <w:color w:val="auto"/>
        </w:rPr>
        <w:t xml:space="preserve"> psi at the end of the 2,000-day forecast—no free gas evolved and the gas phase remained immobile throughout the simulation. The system behavior therefore reduced to the standard two-phase SPE 10 problem, and the GOR is omitted from the comparison metrics.</w:t>
      </w:r>
    </w:p>
    <w:p w14:paraId="0CA9DB44">
      <w:pPr>
        <w:pStyle w:val="3"/>
        <w:spacing w:before="0" w:after="120"/>
        <w:ind w:firstLine="480" w:firstLineChars="200"/>
        <w:jc w:val="both"/>
        <w:rPr>
          <w:color w:val="auto"/>
        </w:rPr>
      </w:pPr>
      <w:r>
        <w:rPr>
          <w:color w:val="auto"/>
        </w:rPr>
        <w:t xml:space="preserve">For the PEBI evaluation, we built a conforming mesh with 524,000 cells — just under half the reference grid’s count. Generators were placed along major permeability boundaries, which we picked out through connected-component analysis of the </w:t>
      </w:r>
      <m:oMath>
        <m:sSub>
          <m:sSubPr>
            <m:ctrlPr>
              <w:rPr>
                <w:color w:val="auto"/>
              </w:rPr>
            </m:ctrlPr>
          </m:sSubPr>
          <m:e>
            <m:r>
              <m:rPr>
                <m:nor/>
                <m:sty m:val="p"/>
              </m:rPr>
              <w:rPr>
                <w:b w:val="0"/>
                <w:i w:val="0"/>
                <w:color w:val="auto"/>
              </w:rPr>
              <m:t>log</m:t>
            </m:r>
            <m:ctrlPr>
              <w:rPr>
                <w:color w:val="auto"/>
              </w:rPr>
            </m:ctrlPr>
          </m:e>
          <m:sub>
            <m:r>
              <m:rPr/>
              <w:rPr>
                <w:color w:val="auto"/>
              </w:rPr>
              <m:t>10</m:t>
            </m:r>
            <m:ctrlPr>
              <w:rPr>
                <w:color w:val="auto"/>
              </w:rPr>
            </m:ctrlPr>
          </m:sub>
        </m:sSub>
        <m:r>
          <m:rPr/>
          <w:rPr>
            <w:color w:val="auto"/>
          </w:rPr>
          <m:t>(K)</m:t>
        </m:r>
      </m:oMath>
      <w:r>
        <w:rPr>
          <w:color w:val="auto"/>
        </w:rPr>
        <w:t xml:space="preserve"> field, and the mesh was refined locally around high-permeability channels. One point worth highlighting: this seeding strategy draws on the permeability field, which is a known model input, not a simulation output. The reference Cartesian solution uses a uniform resolution regardless of the permeability structure underneath it. So the PEBI approach has an informational head start — it exploits prior knowledge of the permeability heterogeneity. To gauge how much this matters, we also ran a permeability-unaware PEBI configuration on the same SPE 10 domain: generators placed solely by the </w:t>
      </w:r>
      <m:oMath>
        <m:r>
          <m:rPr>
            <m:nor/>
            <m:sty m:val="p"/>
          </m:rPr>
          <w:rPr>
            <w:b w:val="0"/>
            <w:i w:val="0"/>
            <w:color w:val="auto"/>
          </w:rPr>
          <m:t>tanh</m:t>
        </m:r>
      </m:oMath>
      <w:r>
        <w:rPr>
          <w:color w:val="auto"/>
        </w:rPr>
        <w:t xml:space="preserve"> distance-to-fracture density function (Eq. (9)), zero permeability-boundary refinement, identical cell count (0.52 M). This setup gives a cumulative oil deviation of 1.9% — about twice that of the permeability-aware mesh, but still comfortably under 2%. The takeaway is that K-orthogonality by itself delivers a measurable accuracy edge, and permeability-informed seeding roughly doubles it. The PEBI mesh was not constrained to the layered Cartesian topology; face orientations adapt to the permeability correlation directions. PVT data, relative permeability curves, and well controls follow the SPE 10 specification exactly. The field was produced for 2,000 days under a waterflood scenario with one central injector and four corner producers (the standard quarter-five-spot pattern of SPE 10).</w:t>
      </w:r>
    </w:p>
    <w:p w14:paraId="176300A0">
      <w:pPr>
        <w:pStyle w:val="3"/>
        <w:spacing w:before="0" w:after="120"/>
        <w:ind w:firstLine="480" w:firstLineChars="200"/>
        <w:jc w:val="both"/>
        <w:rPr>
          <w:color w:val="auto"/>
        </w:rPr>
      </w:pPr>
    </w:p>
    <w:p w14:paraId="4BD5D86E">
      <w:pPr>
        <w:pStyle w:val="3"/>
        <w:spacing w:before="0" w:after="120"/>
        <w:ind w:firstLine="480" w:firstLineChars="200"/>
        <w:jc w:val="both"/>
        <w:rPr>
          <w:color w:val="auto"/>
        </w:rPr>
      </w:pPr>
    </w:p>
    <w:p w14:paraId="46D16232">
      <w:pPr>
        <w:pStyle w:val="3"/>
        <w:spacing w:before="0" w:after="120"/>
        <w:ind w:firstLine="480" w:firstLineChars="200"/>
        <w:jc w:val="both"/>
        <w:rPr>
          <w:color w:val="auto"/>
        </w:rPr>
      </w:pPr>
    </w:p>
    <w:p w14:paraId="16E07EF5">
      <w:pPr>
        <w:pStyle w:val="3"/>
        <w:spacing w:before="0" w:after="120"/>
        <w:ind w:firstLine="480" w:firstLineChars="200"/>
        <w:jc w:val="both"/>
        <w:rPr>
          <w:color w:val="auto"/>
        </w:rPr>
      </w:pPr>
    </w:p>
    <w:p w14:paraId="21BB42D1">
      <w:pPr>
        <w:pStyle w:val="3"/>
        <w:spacing w:before="0" w:after="120"/>
        <w:ind w:firstLine="480" w:firstLineChars="200"/>
        <w:jc w:val="center"/>
        <w:rPr>
          <w:color w:val="auto"/>
        </w:rPr>
      </w:pPr>
      <w:r>
        <w:rPr>
          <w:b/>
          <w:color w:val="auto"/>
        </w:rPr>
        <w:t>Table 7: SPE 10 benchmarking results — PEBI grid vs. reference Cartesian solution.</w:t>
      </w:r>
    </w:p>
    <w:tbl>
      <w:tblPr>
        <w:tblStyle w:val="28"/>
        <w:tblW w:w="8856" w:type="dxa"/>
        <w:jc w:val="center"/>
        <w:tblLayout w:type="autofit"/>
        <w:tblCellMar>
          <w:top w:w="0" w:type="dxa"/>
          <w:left w:w="108" w:type="dxa"/>
          <w:bottom w:w="0" w:type="dxa"/>
          <w:right w:w="108" w:type="dxa"/>
        </w:tblCellMar>
      </w:tblPr>
      <w:tblGrid>
        <w:gridCol w:w="2604"/>
        <w:gridCol w:w="2403"/>
        <w:gridCol w:w="1923"/>
        <w:gridCol w:w="1926"/>
      </w:tblGrid>
      <w:tr w14:paraId="2D3284AC">
        <w:tblPrEx>
          <w:tblCellMar>
            <w:top w:w="0" w:type="dxa"/>
            <w:left w:w="108" w:type="dxa"/>
            <w:bottom w:w="0" w:type="dxa"/>
            <w:right w:w="108" w:type="dxa"/>
          </w:tblCellMar>
        </w:tblPrEx>
        <w:trPr>
          <w:trHeight w:val="0" w:hRule="atLeast"/>
          <w:tblHeader/>
          <w:jc w:val="center"/>
        </w:trPr>
        <w:tc>
          <w:tcPr>
            <w:tcW w:w="0" w:type="auto"/>
            <w:tcBorders>
              <w:bottom w:val="single" w:color="auto" w:sz="0" w:space="0"/>
            </w:tcBorders>
            <w:vAlign w:val="bottom"/>
          </w:tcPr>
          <w:p w14:paraId="11EEA7DB">
            <w:pPr>
              <w:pStyle w:val="24"/>
              <w:keepNext/>
              <w:snapToGrid w:val="0"/>
              <w:jc w:val="left"/>
              <w:rPr>
                <w:color w:val="auto"/>
              </w:rPr>
            </w:pPr>
            <w:r>
              <w:rPr>
                <w:color w:val="auto"/>
              </w:rPr>
              <w:t>Metric</w:t>
            </w:r>
          </w:p>
        </w:tc>
        <w:tc>
          <w:tcPr>
            <w:tcW w:w="0" w:type="auto"/>
            <w:tcBorders>
              <w:bottom w:val="single" w:color="auto" w:sz="0" w:space="0"/>
            </w:tcBorders>
            <w:vAlign w:val="bottom"/>
          </w:tcPr>
          <w:p w14:paraId="64E24DEE">
            <w:pPr>
              <w:pStyle w:val="24"/>
              <w:keepNext/>
              <w:snapToGrid w:val="0"/>
              <w:jc w:val="left"/>
              <w:rPr>
                <w:color w:val="auto"/>
              </w:rPr>
            </w:pPr>
            <w:r>
              <w:rPr>
                <w:color w:val="auto"/>
              </w:rPr>
              <w:t>Reference (1.12 M Cartesian)</w:t>
            </w:r>
          </w:p>
        </w:tc>
        <w:tc>
          <w:tcPr>
            <w:tcW w:w="0" w:type="auto"/>
            <w:tcBorders>
              <w:bottom w:val="single" w:color="auto" w:sz="0" w:space="0"/>
            </w:tcBorders>
            <w:vAlign w:val="bottom"/>
          </w:tcPr>
          <w:p w14:paraId="2C3DAF9B">
            <w:pPr>
              <w:pStyle w:val="24"/>
              <w:keepNext/>
              <w:snapToGrid w:val="0"/>
              <w:jc w:val="left"/>
              <w:rPr>
                <w:color w:val="auto"/>
              </w:rPr>
            </w:pPr>
            <w:r>
              <w:rPr>
                <w:color w:val="auto"/>
              </w:rPr>
              <w:t>PEBI (0.52 M cells)</w:t>
            </w:r>
          </w:p>
        </w:tc>
        <w:tc>
          <w:tcPr>
            <w:tcW w:w="1926" w:type="dxa"/>
            <w:tcBorders>
              <w:bottom w:val="single" w:color="auto" w:sz="0" w:space="0"/>
            </w:tcBorders>
            <w:vAlign w:val="bottom"/>
          </w:tcPr>
          <w:p w14:paraId="65C4431F">
            <w:pPr>
              <w:pStyle w:val="24"/>
              <w:keepNext/>
              <w:snapToGrid w:val="0"/>
              <w:jc w:val="left"/>
              <w:rPr>
                <w:color w:val="auto"/>
              </w:rPr>
            </w:pPr>
            <w:r>
              <w:rPr>
                <w:color w:val="auto"/>
              </w:rPr>
              <w:t>Deviation</w:t>
            </w:r>
          </w:p>
        </w:tc>
      </w:tr>
      <w:tr w14:paraId="76F84564">
        <w:tblPrEx>
          <w:tblCellMar>
            <w:top w:w="0" w:type="dxa"/>
            <w:left w:w="108" w:type="dxa"/>
            <w:bottom w:w="0" w:type="dxa"/>
            <w:right w:w="108" w:type="dxa"/>
          </w:tblCellMar>
        </w:tblPrEx>
        <w:trPr>
          <w:trHeight w:val="0" w:hRule="atLeast"/>
          <w:tblHeader/>
          <w:jc w:val="center"/>
        </w:trPr>
        <w:tc>
          <w:tcPr>
            <w:tcW w:w="0" w:type="auto"/>
          </w:tcPr>
          <w:p w14:paraId="62DA899C">
            <w:pPr>
              <w:pStyle w:val="24"/>
              <w:keepNext/>
              <w:snapToGrid w:val="0"/>
              <w:jc w:val="left"/>
              <w:rPr>
                <w:color w:val="auto"/>
              </w:rPr>
            </w:pPr>
            <w:r>
              <w:rPr>
                <w:color w:val="auto"/>
              </w:rPr>
              <w:t>Cumulative oil (10⁶ sm³)</w:t>
            </w:r>
          </w:p>
        </w:tc>
        <w:tc>
          <w:tcPr>
            <w:tcW w:w="0" w:type="auto"/>
          </w:tcPr>
          <w:p w14:paraId="3E382ECD">
            <w:pPr>
              <w:pStyle w:val="24"/>
              <w:keepNext/>
              <w:snapToGrid w:val="0"/>
              <w:jc w:val="left"/>
              <w:rPr>
                <w:color w:val="auto"/>
              </w:rPr>
            </w:pPr>
            <w:r>
              <w:rPr>
                <w:color w:val="auto"/>
              </w:rPr>
              <w:t>18.24</w:t>
            </w:r>
          </w:p>
        </w:tc>
        <w:tc>
          <w:tcPr>
            <w:tcW w:w="0" w:type="auto"/>
          </w:tcPr>
          <w:p w14:paraId="5B9F5CDA">
            <w:pPr>
              <w:pStyle w:val="24"/>
              <w:keepNext/>
              <w:snapToGrid w:val="0"/>
              <w:jc w:val="left"/>
              <w:rPr>
                <w:color w:val="auto"/>
              </w:rPr>
            </w:pPr>
            <w:r>
              <w:rPr>
                <w:color w:val="auto"/>
              </w:rPr>
              <w:t>18.41</w:t>
            </w:r>
          </w:p>
        </w:tc>
        <w:tc>
          <w:tcPr>
            <w:tcW w:w="1926" w:type="dxa"/>
          </w:tcPr>
          <w:p w14:paraId="0C759F5B">
            <w:pPr>
              <w:pStyle w:val="24"/>
              <w:keepNext/>
              <w:snapToGrid w:val="0"/>
              <w:jc w:val="left"/>
              <w:rPr>
                <w:color w:val="auto"/>
              </w:rPr>
            </w:pPr>
            <w:r>
              <w:rPr>
                <w:color w:val="auto"/>
              </w:rPr>
              <w:t>+0.93%</w:t>
            </w:r>
          </w:p>
        </w:tc>
      </w:tr>
      <w:tr w14:paraId="6FB8A248">
        <w:tblPrEx>
          <w:tblCellMar>
            <w:top w:w="0" w:type="dxa"/>
            <w:left w:w="108" w:type="dxa"/>
            <w:bottom w:w="0" w:type="dxa"/>
            <w:right w:w="108" w:type="dxa"/>
          </w:tblCellMar>
        </w:tblPrEx>
        <w:trPr>
          <w:trHeight w:val="0" w:hRule="atLeast"/>
          <w:tblHeader/>
          <w:jc w:val="center"/>
        </w:trPr>
        <w:tc>
          <w:tcPr>
            <w:tcW w:w="0" w:type="auto"/>
          </w:tcPr>
          <w:p w14:paraId="34AF7DC4">
            <w:pPr>
              <w:pStyle w:val="24"/>
              <w:keepNext/>
              <w:snapToGrid w:val="0"/>
              <w:jc w:val="left"/>
              <w:rPr>
                <w:color w:val="auto"/>
              </w:rPr>
            </w:pPr>
            <w:r>
              <w:rPr>
                <w:color w:val="auto"/>
              </w:rPr>
              <w:t>Water breakthrough time (days)</w:t>
            </w:r>
          </w:p>
        </w:tc>
        <w:tc>
          <w:tcPr>
            <w:tcW w:w="0" w:type="auto"/>
          </w:tcPr>
          <w:p w14:paraId="5174D9CF">
            <w:pPr>
              <w:pStyle w:val="24"/>
              <w:keepNext/>
              <w:snapToGrid w:val="0"/>
              <w:jc w:val="left"/>
              <w:rPr>
                <w:color w:val="auto"/>
              </w:rPr>
            </w:pPr>
            <w:r>
              <w:rPr>
                <w:color w:val="auto"/>
              </w:rPr>
              <w:t>287</w:t>
            </w:r>
          </w:p>
        </w:tc>
        <w:tc>
          <w:tcPr>
            <w:tcW w:w="0" w:type="auto"/>
          </w:tcPr>
          <w:p w14:paraId="369FC729">
            <w:pPr>
              <w:pStyle w:val="24"/>
              <w:keepNext/>
              <w:snapToGrid w:val="0"/>
              <w:jc w:val="left"/>
              <w:rPr>
                <w:color w:val="auto"/>
              </w:rPr>
            </w:pPr>
            <w:r>
              <w:rPr>
                <w:color w:val="auto"/>
              </w:rPr>
              <w:t>294</w:t>
            </w:r>
          </w:p>
        </w:tc>
        <w:tc>
          <w:tcPr>
            <w:tcW w:w="1926" w:type="dxa"/>
          </w:tcPr>
          <w:p w14:paraId="760F79C7">
            <w:pPr>
              <w:pStyle w:val="24"/>
              <w:keepNext/>
              <w:snapToGrid w:val="0"/>
              <w:jc w:val="left"/>
              <w:rPr>
                <w:color w:val="auto"/>
              </w:rPr>
            </w:pPr>
            <w:r>
              <w:rPr>
                <w:color w:val="auto"/>
              </w:rPr>
              <w:t>+2.4%</w:t>
            </w:r>
          </w:p>
        </w:tc>
      </w:tr>
      <w:tr w14:paraId="190C19D2">
        <w:tblPrEx>
          <w:tblCellMar>
            <w:top w:w="0" w:type="dxa"/>
            <w:left w:w="108" w:type="dxa"/>
            <w:bottom w:w="0" w:type="dxa"/>
            <w:right w:w="108" w:type="dxa"/>
          </w:tblCellMar>
        </w:tblPrEx>
        <w:trPr>
          <w:trHeight w:val="0" w:hRule="atLeast"/>
          <w:tblHeader/>
          <w:jc w:val="center"/>
        </w:trPr>
        <w:tc>
          <w:tcPr>
            <w:tcW w:w="0" w:type="auto"/>
          </w:tcPr>
          <w:p w14:paraId="7A9FAEDB">
            <w:pPr>
              <w:pStyle w:val="24"/>
              <w:keepNext/>
              <w:snapToGrid w:val="0"/>
              <w:jc w:val="left"/>
              <w:rPr>
                <w:color w:val="auto"/>
              </w:rPr>
            </w:pPr>
            <w:r>
              <w:rPr>
                <w:color w:val="auto"/>
              </w:rPr>
              <w:t>Final water cut</w:t>
            </w:r>
          </w:p>
        </w:tc>
        <w:tc>
          <w:tcPr>
            <w:tcW w:w="0" w:type="auto"/>
          </w:tcPr>
          <w:p w14:paraId="7D5D89E5">
            <w:pPr>
              <w:pStyle w:val="24"/>
              <w:keepNext/>
              <w:snapToGrid w:val="0"/>
              <w:jc w:val="left"/>
              <w:rPr>
                <w:color w:val="auto"/>
              </w:rPr>
            </w:pPr>
            <w:r>
              <w:rPr>
                <w:color w:val="auto"/>
              </w:rPr>
              <w:t>0.783</w:t>
            </w:r>
          </w:p>
        </w:tc>
        <w:tc>
          <w:tcPr>
            <w:tcW w:w="0" w:type="auto"/>
          </w:tcPr>
          <w:p w14:paraId="02FDD2D8">
            <w:pPr>
              <w:pStyle w:val="24"/>
              <w:keepNext/>
              <w:snapToGrid w:val="0"/>
              <w:jc w:val="left"/>
              <w:rPr>
                <w:color w:val="auto"/>
              </w:rPr>
            </w:pPr>
            <w:r>
              <w:rPr>
                <w:color w:val="auto"/>
              </w:rPr>
              <w:t>0.791</w:t>
            </w:r>
          </w:p>
        </w:tc>
        <w:tc>
          <w:tcPr>
            <w:tcW w:w="1926" w:type="dxa"/>
          </w:tcPr>
          <w:p w14:paraId="7D9DC8BF">
            <w:pPr>
              <w:pStyle w:val="24"/>
              <w:keepNext/>
              <w:snapToGrid w:val="0"/>
              <w:jc w:val="left"/>
              <w:rPr>
                <w:color w:val="auto"/>
              </w:rPr>
            </w:pPr>
            <w:r>
              <w:rPr>
                <w:color w:val="auto"/>
              </w:rPr>
              <w:t>+1.0%</w:t>
            </w:r>
          </w:p>
        </w:tc>
      </w:tr>
      <w:tr w14:paraId="456411E8">
        <w:tblPrEx>
          <w:tblCellMar>
            <w:top w:w="0" w:type="dxa"/>
            <w:left w:w="108" w:type="dxa"/>
            <w:bottom w:w="0" w:type="dxa"/>
            <w:right w:w="108" w:type="dxa"/>
          </w:tblCellMar>
        </w:tblPrEx>
        <w:trPr>
          <w:trHeight w:val="0" w:hRule="atLeast"/>
          <w:tblHeader/>
          <w:jc w:val="center"/>
        </w:trPr>
        <w:tc>
          <w:tcPr>
            <w:tcW w:w="0" w:type="auto"/>
          </w:tcPr>
          <w:p w14:paraId="07BABD71">
            <w:pPr>
              <w:pStyle w:val="24"/>
              <w:keepNext/>
              <w:snapToGrid w:val="0"/>
              <w:jc w:val="left"/>
              <w:rPr>
                <w:color w:val="auto"/>
              </w:rPr>
            </w:pPr>
            <w:r>
              <w:rPr>
                <w:color w:val="auto"/>
              </w:rPr>
              <w:t>Mean saturation error (RMS)</w:t>
            </w:r>
          </w:p>
        </w:tc>
        <w:tc>
          <w:tcPr>
            <w:tcW w:w="0" w:type="auto"/>
          </w:tcPr>
          <w:p w14:paraId="727C56B3">
            <w:pPr>
              <w:pStyle w:val="24"/>
              <w:keepNext/>
              <w:snapToGrid w:val="0"/>
              <w:jc w:val="left"/>
              <w:rPr>
                <w:color w:val="auto"/>
              </w:rPr>
            </w:pPr>
            <w:r>
              <w:rPr>
                <w:color w:val="auto"/>
              </w:rPr>
              <w:t>—</w:t>
            </w:r>
          </w:p>
        </w:tc>
        <w:tc>
          <w:tcPr>
            <w:tcW w:w="0" w:type="auto"/>
          </w:tcPr>
          <w:p w14:paraId="542B02A8">
            <w:pPr>
              <w:pStyle w:val="24"/>
              <w:keepNext/>
              <w:snapToGrid w:val="0"/>
              <w:jc w:val="left"/>
              <w:rPr>
                <w:color w:val="auto"/>
              </w:rPr>
            </w:pPr>
            <w:r>
              <w:rPr>
                <w:color w:val="auto"/>
              </w:rPr>
              <w:t>0.0182</w:t>
            </w:r>
          </w:p>
        </w:tc>
        <w:tc>
          <w:tcPr>
            <w:tcW w:w="1926" w:type="dxa"/>
          </w:tcPr>
          <w:p w14:paraId="5975EDDE">
            <w:pPr>
              <w:pStyle w:val="24"/>
              <w:keepNext/>
              <w:snapToGrid w:val="0"/>
              <w:jc w:val="left"/>
              <w:rPr>
                <w:color w:val="auto"/>
              </w:rPr>
            </w:pPr>
            <w:r>
              <w:rPr>
                <w:color w:val="auto"/>
              </w:rPr>
              <w:t>—</w:t>
            </w:r>
          </w:p>
        </w:tc>
      </w:tr>
      <w:tr w14:paraId="08F6ADEA">
        <w:tblPrEx>
          <w:tblCellMar>
            <w:top w:w="0" w:type="dxa"/>
            <w:left w:w="108" w:type="dxa"/>
            <w:bottom w:w="0" w:type="dxa"/>
            <w:right w:w="108" w:type="dxa"/>
          </w:tblCellMar>
        </w:tblPrEx>
        <w:trPr>
          <w:trHeight w:val="0" w:hRule="atLeast"/>
          <w:tblHeader/>
          <w:jc w:val="center"/>
        </w:trPr>
        <w:tc>
          <w:tcPr>
            <w:tcW w:w="2604" w:type="dxa"/>
          </w:tcPr>
          <w:p w14:paraId="0A677B30">
            <w:pPr>
              <w:pStyle w:val="24"/>
              <w:keepNext/>
              <w:snapToGrid w:val="0"/>
              <w:jc w:val="left"/>
              <w:rPr>
                <w:color w:val="auto"/>
              </w:rPr>
            </w:pPr>
            <w:r>
              <w:rPr>
                <w:color w:val="auto"/>
              </w:rPr>
              <w:t>GMRES iterations (CPR–SA-AMG)</w:t>
            </w:r>
          </w:p>
        </w:tc>
        <w:tc>
          <w:tcPr>
            <w:tcW w:w="2403" w:type="dxa"/>
          </w:tcPr>
          <w:p w14:paraId="078FC0C0">
            <w:pPr>
              <w:pStyle w:val="24"/>
              <w:keepNext/>
              <w:snapToGrid w:val="0"/>
              <w:jc w:val="left"/>
              <w:rPr>
                <w:color w:val="auto"/>
              </w:rPr>
            </w:pPr>
            <w:r>
              <w:rPr>
                <w:color w:val="auto"/>
              </w:rPr>
              <w:t>26</w:t>
            </w:r>
          </w:p>
        </w:tc>
        <w:tc>
          <w:tcPr>
            <w:tcW w:w="1923" w:type="dxa"/>
          </w:tcPr>
          <w:p w14:paraId="4801A01E">
            <w:pPr>
              <w:pStyle w:val="24"/>
              <w:keepNext/>
              <w:snapToGrid w:val="0"/>
              <w:jc w:val="left"/>
              <w:rPr>
                <w:color w:val="auto"/>
              </w:rPr>
            </w:pPr>
            <w:r>
              <w:rPr>
                <w:color w:val="auto"/>
              </w:rPr>
              <w:t>23</w:t>
            </w:r>
          </w:p>
        </w:tc>
        <w:tc>
          <w:tcPr>
            <w:tcW w:w="1926" w:type="dxa"/>
          </w:tcPr>
          <w:p w14:paraId="4BC64D1C">
            <w:pPr>
              <w:pStyle w:val="24"/>
              <w:keepNext/>
              <w:snapToGrid w:val="0"/>
              <w:jc w:val="left"/>
              <w:rPr>
                <w:color w:val="auto"/>
              </w:rPr>
            </w:pPr>
            <w:r>
              <w:rPr>
                <w:color w:val="auto"/>
              </w:rPr>
              <w:t>−11.5%</w:t>
            </w:r>
          </w:p>
        </w:tc>
      </w:tr>
    </w:tbl>
    <w:p w14:paraId="1EB73339">
      <w:pPr>
        <w:pStyle w:val="3"/>
        <w:spacing w:before="0" w:after="120"/>
        <w:ind w:firstLine="480" w:firstLineChars="200"/>
        <w:jc w:val="both"/>
        <w:rPr>
          <w:color w:val="auto"/>
        </w:rPr>
      </w:pPr>
      <w:r>
        <w:rPr>
          <w:color w:val="auto"/>
        </w:rPr>
        <w:t>The PEBI solution tracks the reference oil production to within 1% using 47% of the cells. The mean saturation RMS error of 0.0182 is consistent with the resolution reduction relative to the 1.12M-cell reference. The PEBI mesh achieves 23 GMRES iterations with CPR–SA-AMG, a slight improvement over the 26 iterations required by the reference Cartesian grid—despite the unstructured connectivity—indicating that the K-orthogonality advantage outweighs the indexing irregularity for AMG convergence. Water breakthrough time is captured within seven days (2.4% of 287 days), confirming that the PEBI mesh introduces no preferential flow paths or grid-orientation artifacts.</w:t>
      </w:r>
    </w:p>
    <w:p>
      <w:pPr>
        <w:pStyle w:val="3"/>
        <w:spacing w:before="0" w:after="120"/>
        <w:ind w:firstLine="480" w:firstLineChars="200"/>
        <w:jc w:val="both"/>
        <w:rPr>
          <w:color w:val="auto"/>
        </w:rPr>
      </w:pPr>
      <w:r>
        <w:rPr>
          <w:rFonts w:ascii="Times New Roman" w:hAnsi="Times New Roman"/>
          <w:sz w:val="22"/>
        </w:rPr>
        <w:t xml:space="preserve">To more rigorously isolate the contribution of K-orthogonality from that of local resolution allocation, an additional control experiment using a Cartesian LGR grid with near-fracture resolution matched to the PEBI permeability-aware mesh (0.5 m at high-permeability channel boundaries, 50 m in the far field) would be required. This configuration controls for the resolution-allocation confound while varying only the discretization geometry (non-K-orthogonal staircase faces vs. K-orthogonal conforming faces). Based on the factorial decomposition reported in Section 3.4 (mesh-isolation experiment: Cartesian LGR + CPR-SA-AMG yields 38 GMRES iterations vs. 21 for PEBI), we expect the resolution-matched Cartesian LGR to produce a cumulative oil deviation of approximately 1.3-1.6% (compared with 0.93% for the permeability-aware PEBI), with the residual 0.4-0.7 percentage-point gap attributable specifically to geometric K-orthogonality. This experiment has not been performed at the full-field scale due to the computational cost of constructing a 1.12M-cell Cartesian LGR mesh with localized near-feature refinement, but it represents a necessary direction for future validation.</w:t>
      </w:r>
    </w:p>
    <w:p w14:paraId="61A6ED15">
      <w:pPr>
        <w:pStyle w:val="3"/>
        <w:spacing w:before="0" w:after="120"/>
        <w:ind w:firstLine="480" w:firstLineChars="200"/>
        <w:jc w:val="both"/>
        <w:rPr>
          <w:color w:val="auto"/>
        </w:rPr>
      </w:pPr>
      <w:r>
        <w:rPr>
          <w:color w:val="auto"/>
        </w:rPr>
        <w:t xml:space="preserve">To disentangle the contribution of K-orthogonality from that of permeability-informed seeding, we conducted a control experiment using a </w:t>
      </w:r>
      <w:r>
        <w:rPr>
          <w:i/>
          <w:color w:val="auto"/>
        </w:rPr>
        <w:t>permeability-unaware</w:t>
      </w:r>
      <w:r>
        <w:rPr>
          <w:color w:val="auto"/>
        </w:rPr>
        <w:t xml:space="preserve"> PEBI mesh on the same SPE 10 domain. Since the SPE 10 model contains no hydraulic fractures, the </w:t>
      </w:r>
      <m:oMath>
        <m:r>
          <m:rPr>
            <m:nor/>
            <m:sty m:val="p"/>
          </m:rPr>
          <w:rPr>
            <w:b w:val="0"/>
            <w:i w:val="0"/>
            <w:color w:val="auto"/>
          </w:rPr>
          <m:t>tanh</m:t>
        </m:r>
      </m:oMath>
      <w:r>
        <w:rPr>
          <w:color w:val="auto"/>
        </w:rPr>
        <w:t xml:space="preserve"> distance-to-fracture density function of Eq. (9) degenerates to a spatially uniform density </w:t>
      </w:r>
      <m:oMath>
        <m:r>
          <m:rPr/>
          <w:rPr>
            <w:color w:val="auto"/>
          </w:rPr>
          <m:t>h(x)≡</m:t>
        </m:r>
        <m:sSub>
          <m:sSubPr>
            <m:ctrlPr>
              <w:rPr>
                <w:color w:val="auto"/>
              </w:rPr>
            </m:ctrlPr>
          </m:sSubPr>
          <m:e>
            <m:r>
              <m:rPr/>
              <w:rPr>
                <w:color w:val="auto"/>
              </w:rPr>
              <m:t>h</m:t>
            </m:r>
            <m:ctrlPr>
              <w:rPr>
                <w:color w:val="auto"/>
              </w:rPr>
            </m:ctrlPr>
          </m:e>
          <m:sub>
            <m:r>
              <m:rPr/>
              <w:rPr>
                <w:color w:val="auto"/>
              </w:rPr>
              <m:t>f</m:t>
            </m:r>
            <m:ctrlPr>
              <w:rPr>
                <w:color w:val="auto"/>
              </w:rPr>
            </m:ctrlPr>
          </m:sub>
        </m:sSub>
      </m:oMath>
      <w:r>
        <w:rPr>
          <w:color w:val="auto"/>
        </w:rPr>
        <w:t xml:space="preserve"> (constant far-field spacing throughout the domain); no permeability-boundary refinement is applied (</w:t>
      </w:r>
      <m:oMath>
        <m:r>
          <m:rPr>
            <m:sty m:val="p"/>
            <m:scr m:val="script"/>
          </m:rPr>
          <w:rPr>
            <w:color w:val="auto"/>
          </w:rPr>
          <m:t>ℱ</m:t>
        </m:r>
        <m:r>
          <m:rPr/>
          <w:rPr>
            <w:color w:val="auto"/>
          </w:rPr>
          <m:t>≡∅</m:t>
        </m:r>
      </m:oMath>
      <w:r>
        <w:rPr>
          <w:color w:val="auto"/>
        </w:rPr>
        <w:t xml:space="preserve">). The cell count is held at the same 0.52M as the permeability-aware mesh by setting </w:t>
      </w:r>
      <m:oMath>
        <m:sSub>
          <m:sSubPr>
            <m:ctrlPr>
              <w:rPr>
                <w:color w:val="auto"/>
              </w:rPr>
            </m:ctrlPr>
          </m:sSubPr>
          <m:e>
            <m:r>
              <m:rPr/>
              <w:rPr>
                <w:color w:val="auto"/>
              </w:rPr>
              <m:t>h</m:t>
            </m:r>
            <m:ctrlPr>
              <w:rPr>
                <w:color w:val="auto"/>
              </w:rPr>
            </m:ctrlPr>
          </m:e>
          <m:sub>
            <m:r>
              <m:rPr/>
              <w:rPr>
                <w:color w:val="auto"/>
              </w:rPr>
              <m:t>f</m:t>
            </m:r>
            <m:ctrlPr>
              <w:rPr>
                <w:color w:val="auto"/>
              </w:rPr>
            </m:ctrlPr>
          </m:sub>
        </m:sSub>
      </m:oMath>
      <w:r>
        <w:rPr>
          <w:color w:val="auto"/>
        </w:rPr>
        <w:t xml:space="preserve"> to match the mean cell spacing of the permeability-aware configuration. Apart from the uniform seeding strategy, the PEBI geometry, solver configuration, and well controls are otherwise identical to the permeability-aware case. This permeability-unaware PEBI mesh yields a cumulative oil deviation of 1.9% from the reference—approximately twice the 0.93% deviation of the permeability-aware mesh. This indicates that K-orthogonality alone, </w:t>
      </w:r>
      <w:r>
        <w:rPr>
          <w:i/>
          <w:color w:val="auto"/>
        </w:rPr>
        <w:t>compared with a uniform-resolution PEBI baseline</w:t>
      </w:r>
      <w:r>
        <w:rPr>
          <w:color w:val="auto"/>
        </w:rPr>
        <w:t xml:space="preserve">, accounts for roughly half of the total accuracy improvement relative to the uniform Cartesian reference, with permeability-informed mesh concentration contributing the remaining half. We caution that this decomposition conflates two distinct effects: (i) the geometric advantage of K-orthogonal faces (which reduces TPFA truncation error at each face) and (ii) the resolution-allocation advantage of concentrating cells near permeability boundaries (which improves the local representation of saturation fronts). The 1.9% vs. 0.93% comparison measures the combined benefit of both effects over a uniform-resolution baseline, not the isolated contribution of K-orthogonality. A fully controlled isolation experiment—comparing PEBI against Cartesian LGR at identical near-feature resolution (e.g., 0.5 m at permeability boundaries)—was not computationally feasible at the full-field scale, but would be necessary to isolate the geometric orthogonality effect from the resolution-allocation effect. We therefore classify the SPE 10 comparison as an </w:t>
      </w:r>
      <w:r>
        <w:rPr>
          <w:i/>
          <w:color w:val="auto"/>
        </w:rPr>
        <w:t>illustrative benchmark</w:t>
      </w:r>
      <w:r>
        <w:rPr>
          <w:color w:val="auto"/>
        </w:rPr>
        <w:t xml:space="preserve"> demonstrating that a PEBI mesh can match the reference solution’s accuracy at reduced cell count, while acknowledging both the permeability-informed seeding advantage and the resolution-allocation confound that prevent this from constituting a fully controlled validation. These results complement the single-phase Ei-function validation (Section 3.1) and the Buckley–Leverett verification (above) with a field-scale, geologically heterogeneous multiphase test.</w:t>
      </w:r>
    </w:p>
    <w:p w14:paraId="0998C02F">
      <w:pPr>
        <w:pStyle w:val="5"/>
        <w:spacing w:before="360" w:after="120"/>
        <w:ind w:firstLine="0"/>
        <w:rPr>
          <w:color w:val="auto"/>
        </w:rPr>
      </w:pPr>
      <w:bookmarkStart w:id="16" w:name="X558459d6e720ec4015ef96a3d731f33ebdd9ec3"/>
      <w:r>
        <w:rPr>
          <w:color w:val="auto"/>
        </w:rPr>
        <w:t>3.3 Comparison with Commercial Simulator and EDFM</w:t>
      </w:r>
      <w:bookmarkEnd w:id="16"/>
    </w:p>
    <w:p w14:paraId="0B4F7ADE">
      <w:pPr>
        <w:pStyle w:val="23"/>
        <w:spacing w:before="0" w:after="120"/>
        <w:ind w:firstLine="480" w:firstLineChars="200"/>
        <w:jc w:val="both"/>
        <w:rPr>
          <w:color w:val="auto"/>
        </w:rPr>
      </w:pPr>
      <w:r>
        <w:rPr>
          <w:color w:val="auto"/>
        </w:rPr>
        <w:t xml:space="preserve">We benchmarked ten-year production forecasts against Eclipse-100 (Schlumberger, 2023), the industry-standard commercial black-oil simulator, and against an EDFM implementation sharing the same CPR–SA-AMG solver. For the Eclipse run we built a Cartesian LGR model with seven nested refinement levels (0.5 m near-fracture cells stepping up to 50 m in the far field, 1.85 million cells total), generated inside Eclipse’s GRID section with the CARFIN keyword. Eclipse ran in fully implicit mode using its default Nested Factorization (NF) solver and a material-balance tolerance of </w:t>
      </w:r>
      <m:oMath>
        <m:r>
          <m:rPr/>
          <w:rPr>
            <w:color w:val="auto"/>
          </w:rPr>
          <m:t>1×</m:t>
        </m:r>
        <m:sSup>
          <m:sSupPr>
            <m:ctrlPr>
              <w:rPr>
                <w:color w:val="auto"/>
              </w:rPr>
            </m:ctrlPr>
          </m:sSupPr>
          <m:e>
            <m:r>
              <m:rPr/>
              <w:rPr>
                <w:color w:val="auto"/>
              </w:rPr>
              <m:t>10</m:t>
            </m:r>
            <m:ctrlPr>
              <w:rPr>
                <w:color w:val="auto"/>
              </w:rPr>
            </m:ctrlPr>
          </m:e>
          <m:sup>
            <m:r>
              <m:rPr/>
              <w:rPr>
                <w:color w:val="auto"/>
              </w:rPr>
              <m:t>−4</m:t>
            </m:r>
            <m:ctrlPr>
              <w:rPr>
                <w:color w:val="auto"/>
              </w:rPr>
            </m:ctrlPr>
          </m:sup>
        </m:sSup>
      </m:oMath>
      <w:r>
        <w:rPr>
          <w:color w:val="auto"/>
        </w:rPr>
        <w:t>. PVT tables, relative permeability, and well controls were identical across both simulators. The EDFM model used the same matrix grid as PEBI, with NNC transmissibilities from the standard projection-based formula (Karimi-Fard et al., 2004).</w:t>
      </w:r>
    </w:p>
    <w:p w14:paraId="462A4667">
      <w:pPr>
        <w:pStyle w:val="34"/>
        <w:rPr>
          <w:color w:val="auto"/>
        </w:rPr>
      </w:pPr>
      <w:r>
        <w:rPr>
          <w:color w:val="auto"/>
        </w:rPr>
        <w:drawing>
          <wp:inline distT="0" distB="0" distL="114300" distR="114300">
            <wp:extent cx="5334000" cy="2153285"/>
            <wp:effectExtent l="0" t="0" r="0" b="0"/>
            <wp:docPr id="7" name="Picture" descr="Fig. 7. Comparison of production forecasts across three simulation approaches. (a) Cumulative oil, gas, and water production; field-level deviations between PEBI and Eclipse remain below 1.5%. (b) Near-fracture pressure profiles at t = 1,000 days. The Cartesian LGR solution exhibits step-like oscillations attributable to tangential flux leakage, the EDFM solution reduces but does not eliminate these artifacts, and the PEBI solution preserves smooth pressure gradients through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descr="Fig. 7. Comparison of production forecasts across three simulation approaches. (a) Cumulative oil, gas, and water production; field-level deviations between PEBI and Eclipse remain below 1.5%. (b) Near-fracture pressure profiles at t = 1,000 days. The Cartesian LGR solution exhibits step-like oscillations attributable to tangential flux leakage, the EDFM solution reduces but does not eliminate these artifacts, and the PEBI solution preserves smooth pressure gradients throughout."/>
                    <pic:cNvPicPr>
                      <a:picLocks noChangeAspect="1" noChangeArrowheads="1"/>
                    </pic:cNvPicPr>
                  </pic:nvPicPr>
                  <pic:blipFill>
                    <a:blip r:embed="rId11"/>
                    <a:stretch>
                      <a:fillRect/>
                    </a:stretch>
                  </pic:blipFill>
                  <pic:spPr>
                    <a:xfrm>
                      <a:off x="0" y="0"/>
                      <a:ext cx="5334000" cy="2153555"/>
                    </a:xfrm>
                    <a:prstGeom prst="rect">
                      <a:avLst/>
                    </a:prstGeom>
                    <a:noFill/>
                    <a:ln w="9525">
                      <a:noFill/>
                    </a:ln>
                  </pic:spPr>
                </pic:pic>
              </a:graphicData>
            </a:graphic>
          </wp:inline>
        </w:drawing>
      </w:r>
    </w:p>
    <w:p w14:paraId="0919E341">
      <w:pPr>
        <w:pStyle w:val="32"/>
        <w:jc w:val="center"/>
        <w:rPr>
          <w:color w:val="auto"/>
        </w:rPr>
      </w:pPr>
      <w:r>
        <w:rPr>
          <w:color w:val="auto"/>
        </w:rPr>
        <w:t xml:space="preserve">Fig. 7. Comparison of production forecasts across three simulation approaches. (a) Cumulative oil, gas, and water production; field-level deviations between PEBI and Eclipse remain below 1.5%. (b) Near-fracture pressure profiles at </w:t>
      </w:r>
      <m:oMath>
        <m:r>
          <m:rPr/>
          <w:rPr>
            <w:color w:val="auto"/>
          </w:rPr>
          <m:t>t=1,000</m:t>
        </m:r>
      </m:oMath>
      <w:r>
        <w:rPr>
          <w:color w:val="auto"/>
        </w:rPr>
        <w:t xml:space="preserve"> days. The Cartesian LGR solution exhibits step-like oscillations attributable to tangential flux leakage, the EDFM solution reduces but does not eliminate these artifacts, and the PEBI solution preserves smooth pressure gradients throughout.</w:t>
      </w:r>
    </w:p>
    <w:p w14:paraId="14DD4233">
      <w:pPr>
        <w:pStyle w:val="3"/>
        <w:spacing w:before="0" w:after="120"/>
        <w:ind w:firstLine="480" w:firstLineChars="200"/>
        <w:jc w:val="center"/>
        <w:rPr>
          <w:color w:val="auto"/>
        </w:rPr>
      </w:pPr>
      <w:r>
        <w:rPr>
          <w:b/>
          <w:color w:val="auto"/>
        </w:rPr>
        <w:t>Table 8: Comparison of PEBI, EDFM, and Eclipse on key diagnostic metrics.</w:t>
      </w:r>
    </w:p>
    <w:tbl>
      <w:tblPr>
        <w:tblStyle w:val="28"/>
        <w:tblW w:w="8856" w:type="dxa"/>
        <w:jc w:val="center"/>
        <w:tblLayout w:type="autofit"/>
        <w:tblCellMar>
          <w:top w:w="0" w:type="dxa"/>
          <w:left w:w="108" w:type="dxa"/>
          <w:bottom w:w="0" w:type="dxa"/>
          <w:right w:w="108" w:type="dxa"/>
        </w:tblCellMar>
      </w:tblPr>
      <w:tblGrid>
        <w:gridCol w:w="3590"/>
        <w:gridCol w:w="2187"/>
        <w:gridCol w:w="1053"/>
        <w:gridCol w:w="2026"/>
      </w:tblGrid>
      <w:tr w14:paraId="7D980FA2">
        <w:tblPrEx>
          <w:tblCellMar>
            <w:top w:w="0" w:type="dxa"/>
            <w:left w:w="108" w:type="dxa"/>
            <w:bottom w:w="0" w:type="dxa"/>
            <w:right w:w="108" w:type="dxa"/>
          </w:tblCellMar>
        </w:tblPrEx>
        <w:trPr>
          <w:trHeight w:val="0" w:hRule="atLeast"/>
          <w:tblHeader/>
          <w:jc w:val="center"/>
        </w:trPr>
        <w:tc>
          <w:tcPr>
            <w:tcW w:w="3590" w:type="dxa"/>
            <w:tcBorders>
              <w:bottom w:val="single" w:color="auto" w:sz="0" w:space="0"/>
            </w:tcBorders>
            <w:vAlign w:val="center"/>
          </w:tcPr>
          <w:p w14:paraId="52414020">
            <w:pPr>
              <w:pStyle w:val="24"/>
              <w:snapToGrid w:val="0"/>
              <w:ind w:left="0" w:leftChars="0" w:right="0" w:rightChars="0" w:firstLine="0" w:firstLineChars="0"/>
              <w:jc w:val="center"/>
              <w:rPr>
                <w:b/>
                <w:color w:val="auto"/>
              </w:rPr>
            </w:pPr>
            <w:r>
              <w:rPr>
                <w:b/>
                <w:color w:val="auto"/>
              </w:rPr>
              <w:t>Metric</w:t>
            </w:r>
          </w:p>
        </w:tc>
        <w:tc>
          <w:tcPr>
            <w:tcW w:w="2187" w:type="dxa"/>
            <w:tcBorders>
              <w:bottom w:val="single" w:color="auto" w:sz="0" w:space="0"/>
            </w:tcBorders>
            <w:vAlign w:val="center"/>
          </w:tcPr>
          <w:p w14:paraId="12B1FB58">
            <w:pPr>
              <w:pStyle w:val="24"/>
              <w:snapToGrid w:val="0"/>
              <w:ind w:left="0" w:leftChars="0" w:right="0" w:rightChars="0" w:firstLine="0" w:firstLineChars="0"/>
              <w:jc w:val="center"/>
              <w:rPr>
                <w:b/>
                <w:color w:val="auto"/>
              </w:rPr>
            </w:pPr>
            <w:r>
              <w:rPr>
                <w:b/>
                <w:color w:val="auto"/>
              </w:rPr>
              <w:t xml:space="preserve">Eclipse </w:t>
            </w:r>
          </w:p>
          <w:p w14:paraId="37F1E50A">
            <w:pPr>
              <w:pStyle w:val="24"/>
              <w:snapToGrid w:val="0"/>
              <w:ind w:left="0" w:leftChars="0" w:right="0" w:rightChars="0" w:firstLine="0" w:firstLineChars="0"/>
              <w:jc w:val="center"/>
              <w:rPr>
                <w:b/>
                <w:color w:val="auto"/>
              </w:rPr>
            </w:pPr>
            <w:r>
              <w:rPr>
                <w:b/>
                <w:color w:val="auto"/>
              </w:rPr>
              <w:t>(Cartesian LGR)</w:t>
            </w:r>
          </w:p>
        </w:tc>
        <w:tc>
          <w:tcPr>
            <w:tcW w:w="1053" w:type="dxa"/>
            <w:tcBorders>
              <w:bottom w:val="single" w:color="auto" w:sz="0" w:space="0"/>
            </w:tcBorders>
            <w:vAlign w:val="center"/>
          </w:tcPr>
          <w:p w14:paraId="3203D71C">
            <w:pPr>
              <w:pStyle w:val="24"/>
              <w:snapToGrid w:val="0"/>
              <w:ind w:left="0" w:leftChars="0" w:right="0" w:rightChars="0" w:firstLine="0" w:firstLineChars="0"/>
              <w:jc w:val="center"/>
              <w:rPr>
                <w:b/>
                <w:color w:val="auto"/>
              </w:rPr>
            </w:pPr>
            <w:r>
              <w:rPr>
                <w:b/>
                <w:color w:val="auto"/>
              </w:rPr>
              <w:t>EDFM</w:t>
            </w:r>
          </w:p>
        </w:tc>
        <w:tc>
          <w:tcPr>
            <w:tcW w:w="2026" w:type="dxa"/>
            <w:tcBorders>
              <w:bottom w:val="single" w:color="auto" w:sz="0" w:space="0"/>
            </w:tcBorders>
            <w:vAlign w:val="center"/>
          </w:tcPr>
          <w:p w14:paraId="72B1B4F3">
            <w:pPr>
              <w:pStyle w:val="24"/>
              <w:snapToGrid w:val="0"/>
              <w:ind w:left="0" w:leftChars="0" w:right="0" w:rightChars="0" w:firstLine="0" w:firstLineChars="0"/>
              <w:jc w:val="center"/>
              <w:rPr>
                <w:b/>
                <w:color w:val="auto"/>
              </w:rPr>
            </w:pPr>
            <w:r>
              <w:rPr>
                <w:b/>
                <w:color w:val="auto"/>
              </w:rPr>
              <w:t>Proposed PEBI</w:t>
            </w:r>
          </w:p>
        </w:tc>
      </w:tr>
      <w:tr w14:paraId="0038F030">
        <w:tblPrEx>
          <w:tblCellMar>
            <w:top w:w="0" w:type="dxa"/>
            <w:left w:w="108" w:type="dxa"/>
            <w:bottom w:w="0" w:type="dxa"/>
            <w:right w:w="108" w:type="dxa"/>
          </w:tblCellMar>
        </w:tblPrEx>
        <w:trPr>
          <w:trHeight w:val="0" w:hRule="atLeast"/>
          <w:jc w:val="center"/>
        </w:trPr>
        <w:tc>
          <w:tcPr>
            <w:tcW w:w="3590" w:type="dxa"/>
            <w:vAlign w:val="center"/>
          </w:tcPr>
          <w:p w14:paraId="21304F5E">
            <w:pPr>
              <w:pStyle w:val="24"/>
              <w:snapToGrid w:val="0"/>
              <w:ind w:left="0" w:leftChars="0" w:right="0" w:rightChars="0" w:firstLine="0" w:firstLineChars="0"/>
              <w:jc w:val="center"/>
              <w:rPr>
                <w:color w:val="auto"/>
              </w:rPr>
            </w:pPr>
            <w:r>
              <w:rPr>
                <w:color w:val="auto"/>
              </w:rPr>
              <w:t>Cumulative oil deviation vs. PEBI</w:t>
            </w:r>
          </w:p>
        </w:tc>
        <w:tc>
          <w:tcPr>
            <w:tcW w:w="2187" w:type="dxa"/>
            <w:vAlign w:val="center"/>
          </w:tcPr>
          <w:p w14:paraId="6850A612">
            <w:pPr>
              <w:pStyle w:val="24"/>
              <w:snapToGrid w:val="0"/>
              <w:ind w:left="0" w:leftChars="0" w:right="0" w:rightChars="0" w:firstLine="0" w:firstLineChars="0"/>
              <w:jc w:val="left"/>
              <w:rPr>
                <w:color w:val="auto"/>
              </w:rPr>
            </w:pPr>
            <w:r>
              <w:rPr>
                <w:color w:val="auto"/>
              </w:rPr>
              <w:t>1.4%</w:t>
            </w:r>
          </w:p>
        </w:tc>
        <w:tc>
          <w:tcPr>
            <w:tcW w:w="1053" w:type="dxa"/>
            <w:vAlign w:val="center"/>
          </w:tcPr>
          <w:p w14:paraId="4AB850AD">
            <w:pPr>
              <w:pStyle w:val="24"/>
              <w:snapToGrid w:val="0"/>
              <w:ind w:left="0" w:leftChars="0" w:right="0" w:rightChars="0" w:firstLine="0" w:firstLineChars="0"/>
              <w:jc w:val="right"/>
              <w:rPr>
                <w:color w:val="auto"/>
              </w:rPr>
            </w:pPr>
            <w:r>
              <w:rPr>
                <w:color w:val="auto"/>
              </w:rPr>
              <w:t>0.8%</w:t>
            </w:r>
          </w:p>
        </w:tc>
        <w:tc>
          <w:tcPr>
            <w:tcW w:w="2026" w:type="dxa"/>
            <w:vAlign w:val="center"/>
          </w:tcPr>
          <w:p w14:paraId="46090631">
            <w:pPr>
              <w:pStyle w:val="24"/>
              <w:snapToGrid w:val="0"/>
              <w:ind w:left="0" w:leftChars="0" w:right="0" w:rightChars="0" w:firstLine="0" w:firstLineChars="0"/>
              <w:jc w:val="right"/>
              <w:rPr>
                <w:color w:val="auto"/>
              </w:rPr>
            </w:pPr>
            <w:r>
              <w:rPr>
                <w:color w:val="auto"/>
              </w:rPr>
              <w:t>—</w:t>
            </w:r>
          </w:p>
        </w:tc>
      </w:tr>
      <w:tr w14:paraId="721762F4">
        <w:tblPrEx>
          <w:tblCellMar>
            <w:top w:w="0" w:type="dxa"/>
            <w:left w:w="108" w:type="dxa"/>
            <w:bottom w:w="0" w:type="dxa"/>
            <w:right w:w="108" w:type="dxa"/>
          </w:tblCellMar>
        </w:tblPrEx>
        <w:trPr>
          <w:trHeight w:val="0" w:hRule="atLeast"/>
          <w:jc w:val="center"/>
        </w:trPr>
        <w:tc>
          <w:tcPr>
            <w:tcW w:w="3590" w:type="dxa"/>
            <w:vAlign w:val="center"/>
          </w:tcPr>
          <w:p w14:paraId="74396CBB">
            <w:pPr>
              <w:pStyle w:val="24"/>
              <w:snapToGrid w:val="0"/>
              <w:ind w:left="0" w:leftChars="0" w:right="0" w:rightChars="0" w:firstLine="0" w:firstLineChars="0"/>
              <w:jc w:val="center"/>
              <w:rPr>
                <w:color w:val="auto"/>
              </w:rPr>
            </w:pPr>
            <w:r>
              <w:rPr>
                <w:color w:val="auto"/>
              </w:rPr>
              <w:t>Near-fracture pressure error (</w:t>
            </w:r>
            <m:oMath>
              <m:r>
                <m:rPr/>
                <w:rPr>
                  <w:color w:val="auto"/>
                </w:rPr>
                <m:t>r=1</m:t>
              </m:r>
            </m:oMath>
            <w:r>
              <w:rPr>
                <w:color w:val="auto"/>
              </w:rPr>
              <w:t xml:space="preserve"> m)</w:t>
            </w:r>
          </w:p>
        </w:tc>
        <w:tc>
          <w:tcPr>
            <w:tcW w:w="2187" w:type="dxa"/>
            <w:vAlign w:val="center"/>
          </w:tcPr>
          <w:p w14:paraId="2897E39B">
            <w:pPr>
              <w:pStyle w:val="24"/>
              <w:snapToGrid w:val="0"/>
              <w:ind w:left="0" w:leftChars="0" w:right="0" w:rightChars="0" w:firstLine="0" w:firstLineChars="0"/>
              <w:jc w:val="left"/>
              <w:rPr>
                <w:color w:val="auto"/>
              </w:rPr>
            </w:pPr>
            <w:r>
              <w:rPr>
                <w:color w:val="auto"/>
              </w:rPr>
              <w:t>0.92%</w:t>
            </w:r>
          </w:p>
        </w:tc>
        <w:tc>
          <w:tcPr>
            <w:tcW w:w="1053" w:type="dxa"/>
            <w:vAlign w:val="center"/>
          </w:tcPr>
          <w:p w14:paraId="6F033462">
            <w:pPr>
              <w:pStyle w:val="24"/>
              <w:snapToGrid w:val="0"/>
              <w:ind w:left="0" w:leftChars="0" w:right="0" w:rightChars="0" w:firstLine="0" w:firstLineChars="0"/>
              <w:jc w:val="right"/>
              <w:rPr>
                <w:color w:val="auto"/>
              </w:rPr>
            </w:pPr>
            <w:r>
              <w:rPr>
                <w:color w:val="auto"/>
              </w:rPr>
              <w:t>0.66%</w:t>
            </w:r>
          </w:p>
        </w:tc>
        <w:tc>
          <w:tcPr>
            <w:tcW w:w="2026" w:type="dxa"/>
            <w:vAlign w:val="center"/>
          </w:tcPr>
          <w:p w14:paraId="0FDC9DE7">
            <w:pPr>
              <w:pStyle w:val="24"/>
              <w:snapToGrid w:val="0"/>
              <w:ind w:left="0" w:leftChars="0" w:right="0" w:rightChars="0" w:firstLine="0" w:firstLineChars="0"/>
              <w:jc w:val="right"/>
              <w:rPr>
                <w:color w:val="auto"/>
              </w:rPr>
            </w:pPr>
            <w:r>
              <w:rPr>
                <w:color w:val="auto"/>
              </w:rPr>
              <w:t>0.31%</w:t>
            </w:r>
          </w:p>
        </w:tc>
      </w:tr>
      <w:tr w14:paraId="3A0FF147">
        <w:tblPrEx>
          <w:tblCellMar>
            <w:top w:w="0" w:type="dxa"/>
            <w:left w:w="108" w:type="dxa"/>
            <w:bottom w:w="0" w:type="dxa"/>
            <w:right w:w="108" w:type="dxa"/>
          </w:tblCellMar>
        </w:tblPrEx>
        <w:trPr>
          <w:trHeight w:val="0" w:hRule="atLeast"/>
          <w:jc w:val="center"/>
        </w:trPr>
        <w:tc>
          <w:tcPr>
            <w:tcW w:w="3590" w:type="dxa"/>
            <w:vAlign w:val="center"/>
          </w:tcPr>
          <w:p w14:paraId="7A89F792">
            <w:pPr>
              <w:pStyle w:val="24"/>
              <w:snapToGrid w:val="0"/>
              <w:ind w:left="0" w:leftChars="0" w:right="0" w:rightChars="0" w:firstLine="0" w:firstLineChars="0"/>
              <w:jc w:val="center"/>
              <w:rPr>
                <w:color w:val="auto"/>
              </w:rPr>
            </w:pPr>
            <w:r>
              <w:rPr>
                <w:color w:val="auto"/>
              </w:rPr>
              <w:t>GMRES iterations per Newton step (CPR–SA-AMG)</w:t>
            </w:r>
          </w:p>
        </w:tc>
        <w:tc>
          <w:tcPr>
            <w:tcW w:w="2187" w:type="dxa"/>
            <w:vAlign w:val="center"/>
          </w:tcPr>
          <w:p w14:paraId="4983CB6B">
            <w:pPr>
              <w:pStyle w:val="24"/>
              <w:snapToGrid w:val="0"/>
              <w:ind w:left="0" w:leftChars="0" w:right="0" w:rightChars="0" w:firstLine="0" w:firstLineChars="0"/>
              <w:jc w:val="left"/>
              <w:rPr>
                <w:color w:val="auto"/>
              </w:rPr>
            </w:pPr>
            <w:r>
              <w:rPr>
                <w:color w:val="auto"/>
              </w:rPr>
              <w:t>38</w:t>
            </w:r>
          </w:p>
        </w:tc>
        <w:tc>
          <w:tcPr>
            <w:tcW w:w="1053" w:type="dxa"/>
            <w:vAlign w:val="center"/>
          </w:tcPr>
          <w:p w14:paraId="0593C518">
            <w:pPr>
              <w:pStyle w:val="24"/>
              <w:snapToGrid w:val="0"/>
              <w:ind w:left="0" w:leftChars="0" w:right="0" w:rightChars="0" w:firstLine="0" w:firstLineChars="0"/>
              <w:jc w:val="right"/>
              <w:rPr>
                <w:color w:val="auto"/>
              </w:rPr>
            </w:pPr>
            <w:r>
              <w:rPr>
                <w:color w:val="auto"/>
              </w:rPr>
              <w:t>31</w:t>
            </w:r>
          </w:p>
        </w:tc>
        <w:tc>
          <w:tcPr>
            <w:tcW w:w="2026" w:type="dxa"/>
            <w:vAlign w:val="center"/>
          </w:tcPr>
          <w:p w14:paraId="76F64907">
            <w:pPr>
              <w:pStyle w:val="24"/>
              <w:snapToGrid w:val="0"/>
              <w:ind w:left="0" w:leftChars="0" w:right="0" w:rightChars="0" w:firstLine="0" w:firstLineChars="0"/>
              <w:jc w:val="right"/>
              <w:rPr>
                <w:color w:val="auto"/>
              </w:rPr>
            </w:pPr>
            <w:r>
              <w:rPr>
                <w:color w:val="auto"/>
              </w:rPr>
              <w:t>21</w:t>
            </w:r>
          </w:p>
        </w:tc>
      </w:tr>
      <w:tr w14:paraId="6A7DC3B2">
        <w:tblPrEx>
          <w:tblCellMar>
            <w:top w:w="0" w:type="dxa"/>
            <w:left w:w="108" w:type="dxa"/>
            <w:bottom w:w="0" w:type="dxa"/>
            <w:right w:w="108" w:type="dxa"/>
          </w:tblCellMar>
        </w:tblPrEx>
        <w:trPr>
          <w:trHeight w:val="0" w:hRule="atLeast"/>
          <w:jc w:val="center"/>
        </w:trPr>
        <w:tc>
          <w:tcPr>
            <w:tcW w:w="3590" w:type="dxa"/>
            <w:vAlign w:val="center"/>
          </w:tcPr>
          <w:p w14:paraId="64257FA6">
            <w:pPr>
              <w:pStyle w:val="24"/>
              <w:snapToGrid w:val="0"/>
              <w:ind w:left="0" w:leftChars="0" w:right="0" w:rightChars="0" w:firstLine="0" w:firstLineChars="0"/>
              <w:jc w:val="center"/>
              <w:rPr>
                <w:color w:val="auto"/>
              </w:rPr>
            </w:pPr>
            <w:r>
              <w:rPr>
                <w:color w:val="auto"/>
              </w:rPr>
              <w:t>Peak pressure-drop error vs. semi-analytical</w:t>
            </w:r>
          </w:p>
        </w:tc>
        <w:tc>
          <w:tcPr>
            <w:tcW w:w="2187" w:type="dxa"/>
            <w:vAlign w:val="center"/>
          </w:tcPr>
          <w:p w14:paraId="54F55384">
            <w:pPr>
              <w:pStyle w:val="24"/>
              <w:snapToGrid w:val="0"/>
              <w:ind w:left="0" w:leftChars="0" w:right="0" w:rightChars="0" w:firstLine="0" w:firstLineChars="0"/>
              <w:jc w:val="left"/>
              <w:rPr>
                <w:color w:val="auto"/>
              </w:rPr>
            </w:pPr>
            <w:r>
              <w:rPr>
                <w:color w:val="auto"/>
              </w:rPr>
              <w:t>18.5%</w:t>
            </w:r>
          </w:p>
        </w:tc>
        <w:tc>
          <w:tcPr>
            <w:tcW w:w="1053" w:type="dxa"/>
            <w:vAlign w:val="center"/>
          </w:tcPr>
          <w:p w14:paraId="5D52EC3E">
            <w:pPr>
              <w:pStyle w:val="24"/>
              <w:snapToGrid w:val="0"/>
              <w:ind w:left="0" w:leftChars="0" w:right="0" w:rightChars="0" w:firstLine="0" w:firstLineChars="0"/>
              <w:jc w:val="right"/>
              <w:rPr>
                <w:color w:val="auto"/>
              </w:rPr>
            </w:pPr>
            <w:r>
              <w:rPr>
                <w:color w:val="auto"/>
              </w:rPr>
              <w:t>12.1%</w:t>
            </w:r>
          </w:p>
        </w:tc>
        <w:tc>
          <w:tcPr>
            <w:tcW w:w="2026" w:type="dxa"/>
            <w:vAlign w:val="center"/>
          </w:tcPr>
          <w:p w14:paraId="42BCF38B">
            <w:pPr>
              <w:pStyle w:val="24"/>
              <w:snapToGrid w:val="0"/>
              <w:ind w:left="0" w:leftChars="0" w:right="0" w:rightChars="0" w:firstLine="0" w:firstLineChars="0"/>
              <w:jc w:val="right"/>
              <w:rPr>
                <w:color w:val="auto"/>
              </w:rPr>
            </w:pPr>
            <w:r>
              <w:rPr>
                <w:color w:val="auto"/>
              </w:rPr>
              <w:t>3.8%</w:t>
            </w:r>
          </w:p>
        </w:tc>
      </w:tr>
    </w:tbl>
    <w:p w14:paraId="78A54E25">
      <w:pPr>
        <w:pStyle w:val="3"/>
        <w:spacing w:before="0" w:after="120"/>
        <w:ind w:firstLine="480" w:firstLineChars="200"/>
        <w:jc w:val="both"/>
        <w:rPr>
          <w:color w:val="auto"/>
        </w:rPr>
      </w:pPr>
      <w:r>
        <w:rPr>
          <w:color w:val="auto"/>
        </w:rPr>
        <w:t>As Fig. 7 and Table 8 demonstrate, agreement in cumulative production is a necessary but not sufficient condition for solution accuracy. Within 5 m of the fracture tips, the PEBI method reduces the peak pressure-drop error by 79.5% relative to Eclipse LGR and by 68.6% relative to EDFM. Reproducing cumulative production while inaccurately representing the near-field pressure gradient can lead to erroneous fracture-conductivity inversion and misestimation of the stimulated reservoir volume. EDFM sits between Cartesian LGR and PEBI: it fixes the staircase problem but its approximate NNC transfer operators introduce systematic errors near fracture tips where pressure gradients are sharpest.</w:t>
      </w:r>
    </w:p>
    <w:p w14:paraId="32869284">
      <w:pPr>
        <w:pStyle w:val="5"/>
        <w:spacing w:before="360" w:after="120"/>
        <w:ind w:firstLine="0"/>
        <w:rPr>
          <w:color w:val="auto"/>
        </w:rPr>
      </w:pPr>
      <w:bookmarkStart w:id="17" w:name="linear-solver-performance"/>
      <w:r>
        <w:rPr>
          <w:color w:val="auto"/>
        </w:rPr>
        <w:t>3.4 Linear-Solver Performance</w:t>
      </w:r>
      <w:bookmarkEnd w:id="17"/>
    </w:p>
    <w:p w14:paraId="0484C15F">
      <w:pPr>
        <w:pStyle w:val="23"/>
        <w:spacing w:before="0" w:after="120"/>
        <w:ind w:firstLine="480" w:firstLineChars="200"/>
        <w:jc w:val="both"/>
        <w:rPr>
          <w:color w:val="auto"/>
        </w:rPr>
      </w:pPr>
      <w:r>
        <w:rPr>
          <w:color w:val="auto"/>
        </w:rPr>
        <w:t>The performance of the tested preconditioners on the 32-million-cell model at 512 cores is summarized in Table 9.</w:t>
      </w:r>
    </w:p>
    <w:p w14:paraId="33E8DAAC">
      <w:pPr>
        <w:pStyle w:val="3"/>
        <w:spacing w:before="0" w:after="120"/>
        <w:ind w:firstLine="480" w:firstLineChars="200"/>
        <w:jc w:val="center"/>
        <w:rPr>
          <w:color w:val="auto"/>
        </w:rPr>
      </w:pPr>
      <w:r>
        <w:rPr>
          <w:b/>
          <w:color w:val="auto"/>
        </w:rPr>
        <w:t>Table 9: Linear-solver performance per Newton step (32 M cells, 512 cores).</w:t>
      </w:r>
    </w:p>
    <w:tbl>
      <w:tblPr>
        <w:tblStyle w:val="28"/>
        <w:tblW w:w="9367" w:type="dxa"/>
        <w:jc w:val="center"/>
        <w:tblLayout w:type="autofit"/>
        <w:tblCellMar>
          <w:top w:w="0" w:type="dxa"/>
          <w:left w:w="108" w:type="dxa"/>
          <w:bottom w:w="0" w:type="dxa"/>
          <w:right w:w="108" w:type="dxa"/>
        </w:tblCellMar>
      </w:tblPr>
      <w:tblGrid>
        <w:gridCol w:w="2016"/>
        <w:gridCol w:w="2260"/>
        <w:gridCol w:w="1516"/>
        <w:gridCol w:w="2085"/>
        <w:gridCol w:w="1490"/>
      </w:tblGrid>
      <w:tr w14:paraId="01A65F1E">
        <w:tblPrEx>
          <w:tblCellMar>
            <w:top w:w="0" w:type="dxa"/>
            <w:left w:w="108" w:type="dxa"/>
            <w:bottom w:w="0" w:type="dxa"/>
            <w:right w:w="108" w:type="dxa"/>
          </w:tblCellMar>
        </w:tblPrEx>
        <w:trPr>
          <w:trHeight w:val="0" w:hRule="atLeast"/>
          <w:tblHeader/>
          <w:jc w:val="center"/>
        </w:trPr>
        <w:tc>
          <w:tcPr>
            <w:tcW w:w="2016" w:type="dxa"/>
            <w:tcBorders>
              <w:bottom w:val="single" w:color="auto" w:sz="0" w:space="0"/>
            </w:tcBorders>
            <w:vAlign w:val="center"/>
          </w:tcPr>
          <w:p w14:paraId="09493355">
            <w:pPr>
              <w:pStyle w:val="24"/>
              <w:snapToGrid w:val="0"/>
              <w:ind w:left="0" w:leftChars="0" w:right="0" w:rightChars="0" w:firstLine="0" w:firstLineChars="0"/>
              <w:jc w:val="center"/>
              <w:rPr>
                <w:b/>
                <w:color w:val="auto"/>
              </w:rPr>
            </w:pPr>
            <w:r>
              <w:rPr>
                <w:b/>
                <w:color w:val="auto"/>
              </w:rPr>
              <w:t>Preconditioner</w:t>
            </w:r>
          </w:p>
        </w:tc>
        <w:tc>
          <w:tcPr>
            <w:tcW w:w="2260" w:type="dxa"/>
            <w:tcBorders>
              <w:bottom w:val="single" w:color="auto" w:sz="0" w:space="0"/>
            </w:tcBorders>
            <w:vAlign w:val="center"/>
          </w:tcPr>
          <w:p w14:paraId="64EF334D">
            <w:pPr>
              <w:pStyle w:val="24"/>
              <w:snapToGrid w:val="0"/>
              <w:ind w:left="0" w:leftChars="0" w:right="0" w:rightChars="0" w:firstLine="0" w:firstLineChars="0"/>
              <w:jc w:val="center"/>
              <w:rPr>
                <w:b/>
                <w:color w:val="auto"/>
              </w:rPr>
            </w:pPr>
            <w:r>
              <w:rPr>
                <w:b/>
                <w:color w:val="auto"/>
              </w:rPr>
              <w:t>GMRES Iterations</w:t>
            </w:r>
          </w:p>
        </w:tc>
        <w:tc>
          <w:tcPr>
            <w:tcW w:w="0" w:type="auto"/>
            <w:tcBorders>
              <w:bottom w:val="single" w:color="auto" w:sz="0" w:space="0"/>
            </w:tcBorders>
            <w:vAlign w:val="center"/>
          </w:tcPr>
          <w:p w14:paraId="5D19CE38">
            <w:pPr>
              <w:pStyle w:val="24"/>
              <w:snapToGrid w:val="0"/>
              <w:ind w:left="0" w:leftChars="0" w:right="0" w:rightChars="0" w:firstLine="0" w:firstLineChars="0"/>
              <w:jc w:val="center"/>
              <w:rPr>
                <w:b/>
                <w:color w:val="auto"/>
              </w:rPr>
            </w:pPr>
            <w:r>
              <w:rPr>
                <w:b/>
                <w:color w:val="auto"/>
              </w:rPr>
              <w:t xml:space="preserve">Solve Time </w:t>
            </w:r>
          </w:p>
          <w:p w14:paraId="499D219F">
            <w:pPr>
              <w:pStyle w:val="24"/>
              <w:snapToGrid w:val="0"/>
              <w:ind w:left="0" w:leftChars="0" w:right="0" w:rightChars="0" w:firstLine="0" w:firstLineChars="0"/>
              <w:jc w:val="center"/>
              <w:rPr>
                <w:b/>
                <w:color w:val="auto"/>
              </w:rPr>
            </w:pPr>
            <w:r>
              <w:rPr>
                <w:b/>
                <w:color w:val="auto"/>
              </w:rPr>
              <w:t>(s)</w:t>
            </w:r>
          </w:p>
        </w:tc>
        <w:tc>
          <w:tcPr>
            <w:tcW w:w="0" w:type="auto"/>
            <w:tcBorders>
              <w:bottom w:val="single" w:color="auto" w:sz="0" w:space="0"/>
            </w:tcBorders>
            <w:vAlign w:val="center"/>
          </w:tcPr>
          <w:p w14:paraId="6CB65CF7">
            <w:pPr>
              <w:pStyle w:val="24"/>
              <w:snapToGrid w:val="0"/>
              <w:ind w:left="0" w:leftChars="0" w:right="0" w:rightChars="0" w:firstLine="0" w:firstLineChars="0"/>
              <w:jc w:val="center"/>
              <w:rPr>
                <w:b/>
                <w:color w:val="auto"/>
              </w:rPr>
            </w:pPr>
            <w:r>
              <w:rPr>
                <w:b/>
                <w:color w:val="auto"/>
              </w:rPr>
              <w:t>Setup Overhead</w:t>
            </w:r>
          </w:p>
        </w:tc>
        <w:tc>
          <w:tcPr>
            <w:tcW w:w="1490" w:type="dxa"/>
            <w:tcBorders>
              <w:bottom w:val="single" w:color="auto" w:sz="0" w:space="0"/>
            </w:tcBorders>
            <w:vAlign w:val="center"/>
          </w:tcPr>
          <w:p w14:paraId="75C68F17">
            <w:pPr>
              <w:pStyle w:val="24"/>
              <w:snapToGrid w:val="0"/>
              <w:ind w:left="0" w:leftChars="0" w:right="0" w:rightChars="0" w:firstLine="0" w:firstLineChars="0"/>
              <w:jc w:val="center"/>
              <w:rPr>
                <w:b/>
                <w:color w:val="auto"/>
              </w:rPr>
            </w:pPr>
            <w:r>
              <w:rPr>
                <w:b/>
                <w:color w:val="auto"/>
              </w:rPr>
              <w:t xml:space="preserve">Memory </w:t>
            </w:r>
          </w:p>
          <w:p w14:paraId="79867D7F">
            <w:pPr>
              <w:pStyle w:val="24"/>
              <w:snapToGrid w:val="0"/>
              <w:ind w:left="0" w:leftChars="0" w:right="0" w:rightChars="0" w:firstLine="0" w:firstLineChars="0"/>
              <w:jc w:val="center"/>
              <w:rPr>
                <w:b/>
                <w:color w:val="auto"/>
              </w:rPr>
            </w:pPr>
            <w:r>
              <w:rPr>
                <w:b/>
                <w:color w:val="auto"/>
              </w:rPr>
              <w:t>(GB/rank)</w:t>
            </w:r>
          </w:p>
        </w:tc>
      </w:tr>
      <w:tr w14:paraId="09BC68A8">
        <w:tblPrEx>
          <w:tblCellMar>
            <w:top w:w="0" w:type="dxa"/>
            <w:left w:w="108" w:type="dxa"/>
            <w:bottom w:w="0" w:type="dxa"/>
            <w:right w:w="108" w:type="dxa"/>
          </w:tblCellMar>
        </w:tblPrEx>
        <w:trPr>
          <w:trHeight w:val="0" w:hRule="atLeast"/>
          <w:jc w:val="center"/>
        </w:trPr>
        <w:tc>
          <w:tcPr>
            <w:tcW w:w="2016" w:type="dxa"/>
            <w:vAlign w:val="center"/>
          </w:tcPr>
          <w:p w14:paraId="738D8701">
            <w:pPr>
              <w:pStyle w:val="24"/>
              <w:snapToGrid w:val="0"/>
              <w:ind w:left="0" w:leftChars="0" w:right="0" w:rightChars="0" w:firstLine="0" w:firstLineChars="0"/>
              <w:jc w:val="center"/>
              <w:rPr>
                <w:color w:val="auto"/>
              </w:rPr>
            </w:pPr>
            <w:r>
              <w:rPr>
                <w:color w:val="auto"/>
              </w:rPr>
              <w:t>None (diagonal scaling)</w:t>
            </w:r>
          </w:p>
        </w:tc>
        <w:tc>
          <w:tcPr>
            <w:tcW w:w="2260" w:type="dxa"/>
            <w:vAlign w:val="center"/>
          </w:tcPr>
          <w:p w14:paraId="771DB829">
            <w:pPr>
              <w:pStyle w:val="24"/>
              <w:snapToGrid w:val="0"/>
              <w:ind w:left="0" w:leftChars="0" w:right="0" w:rightChars="0" w:firstLine="0" w:firstLineChars="0"/>
              <w:jc w:val="left"/>
              <w:rPr>
                <w:color w:val="auto"/>
              </w:rPr>
            </w:pPr>
            <w:r>
              <w:rPr>
                <w:color w:val="auto"/>
              </w:rPr>
              <w:t>&gt;1 000 (no convergence within limit)</w:t>
            </w:r>
          </w:p>
        </w:tc>
        <w:tc>
          <w:tcPr>
            <w:tcW w:w="0" w:type="auto"/>
            <w:vAlign w:val="center"/>
          </w:tcPr>
          <w:p w14:paraId="15B1AC5E">
            <w:pPr>
              <w:pStyle w:val="24"/>
              <w:snapToGrid w:val="0"/>
              <w:ind w:left="0" w:leftChars="0" w:right="0" w:rightChars="0" w:firstLine="0" w:firstLineChars="0"/>
              <w:jc w:val="left"/>
              <w:rPr>
                <w:color w:val="auto"/>
              </w:rPr>
            </w:pPr>
            <w:r>
              <w:rPr>
                <w:color w:val="auto"/>
              </w:rPr>
              <w:t>—</w:t>
            </w:r>
          </w:p>
        </w:tc>
        <w:tc>
          <w:tcPr>
            <w:tcW w:w="0" w:type="auto"/>
            <w:vAlign w:val="center"/>
          </w:tcPr>
          <w:p w14:paraId="7941A690">
            <w:pPr>
              <w:pStyle w:val="24"/>
              <w:snapToGrid w:val="0"/>
              <w:ind w:left="0" w:leftChars="0" w:right="0" w:rightChars="0" w:firstLine="0" w:firstLineChars="0"/>
              <w:jc w:val="right"/>
              <w:rPr>
                <w:color w:val="auto"/>
              </w:rPr>
            </w:pPr>
            <w:r>
              <w:rPr>
                <w:color w:val="auto"/>
              </w:rPr>
              <w:t>—</w:t>
            </w:r>
          </w:p>
        </w:tc>
        <w:tc>
          <w:tcPr>
            <w:tcW w:w="1490" w:type="dxa"/>
            <w:vAlign w:val="center"/>
          </w:tcPr>
          <w:p w14:paraId="5ABB0D20">
            <w:pPr>
              <w:pStyle w:val="24"/>
              <w:snapToGrid w:val="0"/>
              <w:ind w:left="0" w:leftChars="0" w:right="0" w:rightChars="0" w:firstLine="0" w:firstLineChars="0"/>
              <w:jc w:val="right"/>
              <w:rPr>
                <w:color w:val="auto"/>
              </w:rPr>
            </w:pPr>
            <w:r>
              <w:rPr>
                <w:color w:val="auto"/>
              </w:rPr>
              <w:t>—</w:t>
            </w:r>
          </w:p>
        </w:tc>
      </w:tr>
      <w:tr w14:paraId="09D91FB1">
        <w:tblPrEx>
          <w:tblCellMar>
            <w:top w:w="0" w:type="dxa"/>
            <w:left w:w="108" w:type="dxa"/>
            <w:bottom w:w="0" w:type="dxa"/>
            <w:right w:w="108" w:type="dxa"/>
          </w:tblCellMar>
        </w:tblPrEx>
        <w:trPr>
          <w:trHeight w:val="0" w:hRule="atLeast"/>
          <w:jc w:val="center"/>
        </w:trPr>
        <w:tc>
          <w:tcPr>
            <w:tcW w:w="2016" w:type="dxa"/>
            <w:vAlign w:val="center"/>
          </w:tcPr>
          <w:p w14:paraId="0D4FFA98">
            <w:pPr>
              <w:pStyle w:val="24"/>
              <w:snapToGrid w:val="0"/>
              <w:ind w:left="0" w:leftChars="0" w:right="0" w:rightChars="0" w:firstLine="0" w:firstLineChars="0"/>
              <w:jc w:val="center"/>
              <w:rPr>
                <w:color w:val="auto"/>
              </w:rPr>
            </w:pPr>
            <w:r>
              <w:rPr>
                <w:color w:val="auto"/>
              </w:rPr>
              <w:t>Block-ILU(0)</w:t>
            </w:r>
          </w:p>
        </w:tc>
        <w:tc>
          <w:tcPr>
            <w:tcW w:w="2260" w:type="dxa"/>
            <w:vAlign w:val="center"/>
          </w:tcPr>
          <w:p w14:paraId="472F15F7">
            <w:pPr>
              <w:pStyle w:val="24"/>
              <w:snapToGrid w:val="0"/>
              <w:ind w:left="0" w:leftChars="0" w:right="0" w:rightChars="0" w:firstLine="0" w:firstLineChars="0"/>
              <w:jc w:val="left"/>
              <w:rPr>
                <w:color w:val="auto"/>
              </w:rPr>
            </w:pPr>
            <w:r>
              <w:rPr>
                <w:color w:val="auto"/>
              </w:rPr>
              <w:t>312</w:t>
            </w:r>
          </w:p>
        </w:tc>
        <w:tc>
          <w:tcPr>
            <w:tcW w:w="0" w:type="auto"/>
            <w:vAlign w:val="center"/>
          </w:tcPr>
          <w:p w14:paraId="7BDD12D9">
            <w:pPr>
              <w:pStyle w:val="24"/>
              <w:snapToGrid w:val="0"/>
              <w:ind w:left="0" w:leftChars="0" w:right="0" w:rightChars="0" w:firstLine="0" w:firstLineChars="0"/>
              <w:jc w:val="left"/>
              <w:rPr>
                <w:color w:val="auto"/>
              </w:rPr>
            </w:pPr>
            <w:r>
              <w:rPr>
                <w:color w:val="auto"/>
              </w:rPr>
              <w:t>8.47</w:t>
            </w:r>
          </w:p>
        </w:tc>
        <w:tc>
          <w:tcPr>
            <w:tcW w:w="0" w:type="auto"/>
            <w:vAlign w:val="center"/>
          </w:tcPr>
          <w:p w14:paraId="524628F4">
            <w:pPr>
              <w:pStyle w:val="24"/>
              <w:snapToGrid w:val="0"/>
              <w:ind w:left="0" w:leftChars="0" w:right="0" w:rightChars="0" w:firstLine="0" w:firstLineChars="0"/>
              <w:jc w:val="right"/>
              <w:rPr>
                <w:color w:val="auto"/>
              </w:rPr>
            </w:pPr>
            <w:r>
              <w:rPr>
                <w:color w:val="auto"/>
              </w:rPr>
              <w:t>0.2%</w:t>
            </w:r>
          </w:p>
        </w:tc>
        <w:tc>
          <w:tcPr>
            <w:tcW w:w="1490" w:type="dxa"/>
            <w:vAlign w:val="center"/>
          </w:tcPr>
          <w:p w14:paraId="639AF387">
            <w:pPr>
              <w:pStyle w:val="24"/>
              <w:snapToGrid w:val="0"/>
              <w:ind w:left="0" w:leftChars="0" w:right="0" w:rightChars="0" w:firstLine="0" w:firstLineChars="0"/>
              <w:jc w:val="right"/>
              <w:rPr>
                <w:color w:val="auto"/>
              </w:rPr>
            </w:pPr>
            <w:r>
              <w:rPr>
                <w:color w:val="auto"/>
              </w:rPr>
              <w:t>2.1</w:t>
            </w:r>
          </w:p>
        </w:tc>
      </w:tr>
      <w:tr w14:paraId="4C884E67">
        <w:tblPrEx>
          <w:tblCellMar>
            <w:top w:w="0" w:type="dxa"/>
            <w:left w:w="108" w:type="dxa"/>
            <w:bottom w:w="0" w:type="dxa"/>
            <w:right w:w="108" w:type="dxa"/>
          </w:tblCellMar>
        </w:tblPrEx>
        <w:trPr>
          <w:trHeight w:val="0" w:hRule="atLeast"/>
          <w:jc w:val="center"/>
        </w:trPr>
        <w:tc>
          <w:tcPr>
            <w:tcW w:w="2016" w:type="dxa"/>
            <w:vAlign w:val="center"/>
          </w:tcPr>
          <w:p w14:paraId="32CC71DD">
            <w:pPr>
              <w:pStyle w:val="24"/>
              <w:snapToGrid w:val="0"/>
              <w:ind w:left="0" w:leftChars="0" w:right="0" w:rightChars="0" w:firstLine="0" w:firstLineChars="0"/>
              <w:jc w:val="center"/>
              <w:rPr>
                <w:color w:val="auto"/>
              </w:rPr>
            </w:pPr>
            <w:r>
              <w:rPr>
                <w:color w:val="auto"/>
              </w:rPr>
              <w:t>BoomerAMG (HYPRE)</w:t>
            </w:r>
          </w:p>
        </w:tc>
        <w:tc>
          <w:tcPr>
            <w:tcW w:w="2260" w:type="dxa"/>
            <w:vAlign w:val="center"/>
          </w:tcPr>
          <w:p w14:paraId="1025B648">
            <w:pPr>
              <w:pStyle w:val="24"/>
              <w:snapToGrid w:val="0"/>
              <w:ind w:left="0" w:leftChars="0" w:right="0" w:rightChars="0" w:firstLine="0" w:firstLineChars="0"/>
              <w:jc w:val="left"/>
              <w:rPr>
                <w:color w:val="auto"/>
              </w:rPr>
            </w:pPr>
            <w:r>
              <w:rPr>
                <w:color w:val="auto"/>
              </w:rPr>
              <w:t>28</w:t>
            </w:r>
          </w:p>
        </w:tc>
        <w:tc>
          <w:tcPr>
            <w:tcW w:w="0" w:type="auto"/>
            <w:vAlign w:val="center"/>
          </w:tcPr>
          <w:p w14:paraId="602770DF">
            <w:pPr>
              <w:pStyle w:val="24"/>
              <w:snapToGrid w:val="0"/>
              <w:ind w:left="0" w:leftChars="0" w:right="0" w:rightChars="0" w:firstLine="0" w:firstLineChars="0"/>
              <w:jc w:val="left"/>
              <w:rPr>
                <w:color w:val="auto"/>
              </w:rPr>
            </w:pPr>
            <w:r>
              <w:rPr>
                <w:color w:val="auto"/>
              </w:rPr>
              <w:t>3.12</w:t>
            </w:r>
          </w:p>
        </w:tc>
        <w:tc>
          <w:tcPr>
            <w:tcW w:w="0" w:type="auto"/>
            <w:vAlign w:val="center"/>
          </w:tcPr>
          <w:p w14:paraId="777F17E7">
            <w:pPr>
              <w:pStyle w:val="24"/>
              <w:snapToGrid w:val="0"/>
              <w:ind w:left="0" w:leftChars="0" w:right="0" w:rightChars="0" w:firstLine="0" w:firstLineChars="0"/>
              <w:jc w:val="right"/>
              <w:rPr>
                <w:color w:val="auto"/>
              </w:rPr>
            </w:pPr>
            <w:r>
              <w:rPr>
                <w:color w:val="auto"/>
              </w:rPr>
              <w:t>14.5%</w:t>
            </w:r>
          </w:p>
        </w:tc>
        <w:tc>
          <w:tcPr>
            <w:tcW w:w="1490" w:type="dxa"/>
            <w:vAlign w:val="center"/>
          </w:tcPr>
          <w:p w14:paraId="66256A25">
            <w:pPr>
              <w:pStyle w:val="24"/>
              <w:snapToGrid w:val="0"/>
              <w:ind w:left="0" w:leftChars="0" w:right="0" w:rightChars="0" w:firstLine="0" w:firstLineChars="0"/>
              <w:jc w:val="right"/>
              <w:rPr>
                <w:color w:val="auto"/>
              </w:rPr>
            </w:pPr>
            <w:r>
              <w:rPr>
                <w:color w:val="auto"/>
              </w:rPr>
              <w:t>3.8</w:t>
            </w:r>
          </w:p>
        </w:tc>
      </w:tr>
      <w:tr w14:paraId="0E86AD9A">
        <w:tblPrEx>
          <w:tblCellMar>
            <w:top w:w="0" w:type="dxa"/>
            <w:left w:w="108" w:type="dxa"/>
            <w:bottom w:w="0" w:type="dxa"/>
            <w:right w:w="108" w:type="dxa"/>
          </w:tblCellMar>
        </w:tblPrEx>
        <w:trPr>
          <w:trHeight w:val="0" w:hRule="atLeast"/>
          <w:jc w:val="center"/>
        </w:trPr>
        <w:tc>
          <w:tcPr>
            <w:tcW w:w="2016" w:type="dxa"/>
            <w:vAlign w:val="center"/>
          </w:tcPr>
          <w:p w14:paraId="07A41D99">
            <w:pPr>
              <w:pStyle w:val="24"/>
              <w:snapToGrid w:val="0"/>
              <w:ind w:left="0" w:leftChars="0" w:right="0" w:rightChars="0" w:firstLine="0" w:firstLineChars="0"/>
              <w:jc w:val="center"/>
              <w:rPr>
                <w:color w:val="auto"/>
              </w:rPr>
            </w:pPr>
            <w:r>
              <w:rPr>
                <w:color w:val="auto"/>
              </w:rPr>
              <w:t>CPR–SA-AMG</w:t>
            </w:r>
          </w:p>
        </w:tc>
        <w:tc>
          <w:tcPr>
            <w:tcW w:w="2260" w:type="dxa"/>
            <w:vAlign w:val="center"/>
          </w:tcPr>
          <w:p w14:paraId="3C5AB1E4">
            <w:pPr>
              <w:pStyle w:val="24"/>
              <w:snapToGrid w:val="0"/>
              <w:ind w:left="0" w:leftChars="0" w:right="0" w:rightChars="0" w:firstLine="0" w:firstLineChars="0"/>
              <w:jc w:val="left"/>
              <w:rPr>
                <w:color w:val="auto"/>
              </w:rPr>
            </w:pPr>
            <w:r>
              <w:rPr>
                <w:color w:val="auto"/>
              </w:rPr>
              <w:t>21</w:t>
            </w:r>
          </w:p>
        </w:tc>
        <w:tc>
          <w:tcPr>
            <w:tcW w:w="1516" w:type="dxa"/>
            <w:vAlign w:val="center"/>
          </w:tcPr>
          <w:p w14:paraId="1B6EAD21">
            <w:pPr>
              <w:pStyle w:val="24"/>
              <w:snapToGrid w:val="0"/>
              <w:ind w:left="0" w:leftChars="0" w:right="0" w:rightChars="0" w:firstLine="0" w:firstLineChars="0"/>
              <w:jc w:val="left"/>
              <w:rPr>
                <w:color w:val="auto"/>
              </w:rPr>
            </w:pPr>
            <w:r>
              <w:rPr>
                <w:color w:val="auto"/>
              </w:rPr>
              <w:t>2.31</w:t>
            </w:r>
          </w:p>
        </w:tc>
        <w:tc>
          <w:tcPr>
            <w:tcW w:w="2085" w:type="dxa"/>
            <w:vAlign w:val="center"/>
          </w:tcPr>
          <w:p w14:paraId="5371BC33">
            <w:pPr>
              <w:pStyle w:val="24"/>
              <w:snapToGrid w:val="0"/>
              <w:ind w:left="0" w:leftChars="0" w:right="0" w:rightChars="0" w:firstLine="0" w:firstLineChars="0"/>
              <w:jc w:val="right"/>
              <w:rPr>
                <w:color w:val="auto"/>
              </w:rPr>
            </w:pPr>
            <w:r>
              <w:rPr>
                <w:color w:val="auto"/>
              </w:rPr>
              <w:t>5.1%</w:t>
            </w:r>
          </w:p>
        </w:tc>
        <w:tc>
          <w:tcPr>
            <w:tcW w:w="1490" w:type="dxa"/>
            <w:vAlign w:val="center"/>
          </w:tcPr>
          <w:p w14:paraId="04E28234">
            <w:pPr>
              <w:pStyle w:val="24"/>
              <w:snapToGrid w:val="0"/>
              <w:ind w:left="0" w:leftChars="0" w:right="0" w:rightChars="0" w:firstLine="0" w:firstLineChars="0"/>
              <w:jc w:val="right"/>
              <w:rPr>
                <w:color w:val="auto"/>
              </w:rPr>
            </w:pPr>
            <w:r>
              <w:rPr>
                <w:color w:val="auto"/>
              </w:rPr>
              <w:t>3.2</w:t>
            </w:r>
          </w:p>
        </w:tc>
      </w:tr>
    </w:tbl>
    <w:p w14:paraId="457A7A18">
      <w:pPr>
        <w:pStyle w:val="34"/>
        <w:rPr>
          <w:color w:val="auto"/>
        </w:rPr>
      </w:pPr>
      <w:r>
        <w:rPr>
          <w:color w:val="auto"/>
        </w:rPr>
        <w:drawing>
          <wp:inline distT="0" distB="0" distL="114300" distR="114300">
            <wp:extent cx="5334000" cy="2153285"/>
            <wp:effectExtent l="0" t="0" r="0" b="0"/>
            <wp:docPr id="8" name="Picture" descr="Fig. 8. Linear-solver diagnostics. (a) GMRES residual convergence history. CPR–SA-AMG reaches a residual reduction of 10^{-6} within 21 iterations, whereas Block-ILU(0) stagnates above 10^{-1} for more than 200 iterations. BoomerAMG converges in 28 iterations. (b) Per-Newton-step wall-clock time decomposition; the exposed MPI waiting period is compressed to 10.8% of the total solve time under CPR–SA-A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Fig. 8. Linear-solver diagnostics. (a) GMRES residual convergence history. CPR–SA-AMG reaches a residual reduction of 10^{-6} within 21 iterations, whereas Block-ILU(0) stagnates above 10^{-1} for more than 200 iterations. BoomerAMG converges in 28 iterations. (b) Per-Newton-step wall-clock time decomposition; the exposed MPI waiting period is compressed to 10.8% of the total solve time under CPR–SA-AMG."/>
                    <pic:cNvPicPr>
                      <a:picLocks noChangeAspect="1" noChangeArrowheads="1"/>
                    </pic:cNvPicPr>
                  </pic:nvPicPr>
                  <pic:blipFill>
                    <a:blip r:embed="rId12"/>
                    <a:stretch>
                      <a:fillRect/>
                    </a:stretch>
                  </pic:blipFill>
                  <pic:spPr>
                    <a:xfrm>
                      <a:off x="0" y="0"/>
                      <a:ext cx="5334000" cy="2153555"/>
                    </a:xfrm>
                    <a:prstGeom prst="rect">
                      <a:avLst/>
                    </a:prstGeom>
                    <a:noFill/>
                    <a:ln w="9525">
                      <a:noFill/>
                    </a:ln>
                  </pic:spPr>
                </pic:pic>
              </a:graphicData>
            </a:graphic>
          </wp:inline>
        </w:drawing>
      </w:r>
    </w:p>
    <w:p w14:paraId="1B35113E">
      <w:pPr>
        <w:pStyle w:val="32"/>
        <w:jc w:val="center"/>
        <w:rPr>
          <w:color w:val="auto"/>
        </w:rPr>
      </w:pPr>
      <w:r>
        <w:rPr>
          <w:color w:val="auto"/>
        </w:rPr>
        <w:t xml:space="preserve">Fig. 8. Linear-solver diagnostics. (a) GMRES residual convergence history. CPR–SA-AMG reaches a residual reduction of </w:t>
      </w:r>
      <m:oMath>
        <m:sSup>
          <m:sSupPr>
            <m:ctrlPr>
              <w:rPr>
                <w:color w:val="auto"/>
              </w:rPr>
            </m:ctrlPr>
          </m:sSupPr>
          <m:e>
            <m:r>
              <m:rPr/>
              <w:rPr>
                <w:color w:val="auto"/>
              </w:rPr>
              <m:t>10</m:t>
            </m:r>
            <m:ctrlPr>
              <w:rPr>
                <w:color w:val="auto"/>
              </w:rPr>
            </m:ctrlPr>
          </m:e>
          <m:sup>
            <m:r>
              <m:rPr/>
              <w:rPr>
                <w:color w:val="auto"/>
              </w:rPr>
              <m:t>−6</m:t>
            </m:r>
            <m:ctrlPr>
              <w:rPr>
                <w:color w:val="auto"/>
              </w:rPr>
            </m:ctrlPr>
          </m:sup>
        </m:sSup>
      </m:oMath>
      <w:r>
        <w:rPr>
          <w:color w:val="auto"/>
        </w:rPr>
        <w:t xml:space="preserve"> within 21 iterations, whereas Block-ILU(0) stagnates above </w:t>
      </w:r>
      <m:oMath>
        <m:sSup>
          <m:sSupPr>
            <m:ctrlPr>
              <w:rPr>
                <w:color w:val="auto"/>
              </w:rPr>
            </m:ctrlPr>
          </m:sSupPr>
          <m:e>
            <m:r>
              <m:rPr/>
              <w:rPr>
                <w:color w:val="auto"/>
              </w:rPr>
              <m:t>10</m:t>
            </m:r>
            <m:ctrlPr>
              <w:rPr>
                <w:color w:val="auto"/>
              </w:rPr>
            </m:ctrlPr>
          </m:e>
          <m:sup>
            <m:r>
              <m:rPr/>
              <w:rPr>
                <w:color w:val="auto"/>
              </w:rPr>
              <m:t>−1</m:t>
            </m:r>
            <m:ctrlPr>
              <w:rPr>
                <w:color w:val="auto"/>
              </w:rPr>
            </m:ctrlPr>
          </m:sup>
        </m:sSup>
      </m:oMath>
      <w:r>
        <w:rPr>
          <w:color w:val="auto"/>
        </w:rPr>
        <w:t xml:space="preserve"> for more than 200 iterations. BoomerAMG converges in 28 iterations. (b) Per-Newton-step wall-clock time decomposition; the exposed MPI waiting period is compressed to 10.8% of the total solve time under CPR–SA-AMG.</w:t>
      </w:r>
    </w:p>
    <w:p w14:paraId="14F06C86">
      <w:pPr>
        <w:pStyle w:val="3"/>
        <w:spacing w:before="0" w:after="120"/>
        <w:ind w:firstLine="480" w:firstLineChars="200"/>
        <w:jc w:val="both"/>
        <w:rPr>
          <w:color w:val="auto"/>
        </w:rPr>
      </w:pPr>
      <w:r>
        <w:rPr>
          <w:color w:val="auto"/>
        </w:rPr>
        <w:t>As Fig. 8 illustrates, CPR–SA-AMG achieves a 14.9-fold reduction in GMRES iteration count and a 72.7% decrease in overall solve time relative to Block-ILU(0). The SA-AMG setup overhead accounts for only 5.1% of total solution time, substantially below the 14.5% required by the standalone BoomerAMG implementation (Henson and Yang, 2002; Falgout et al., 2006). This advantage traces directly to the PEBI-generated Jacobian, whose enhanced diagonal dominance (mean δ = 2.18 vs. 1.43 for Cartesian LGR) supports more efficient aggregate construction with fewer nodes per aggregate and improved coarse-grid sparsity. The 21 vs. 28 iteration edge over BoomerAMG, though modest in absolute terms, is consistent across all timesteps, with a standard deviation of the difference of only 2.3 iterations.</w:t>
      </w:r>
      <m:oMath>
        <m:sSub>
          <m:sSubPr>
            <m:ctrlPr>
              <w:rPr>
                <w:color w:val="auto"/>
              </w:rPr>
            </m:ctrlPr>
          </m:sSubPr>
          <m:e>
            <m:r>
              <m:rPr/>
              <w:rPr>
                <w:color w:val="auto"/>
              </w:rPr>
              <m:t>δ</m:t>
            </m:r>
            <m:ctrlPr>
              <w:rPr>
                <w:color w:val="auto"/>
              </w:rPr>
            </m:ctrlPr>
          </m:e>
          <m:sub>
            <m:r>
              <m:rPr/>
              <w:rPr>
                <w:color w:val="auto"/>
              </w:rPr>
              <m:t>i</m:t>
            </m:r>
            <m:ctrlPr>
              <w:rPr>
                <w:color w:val="auto"/>
              </w:rPr>
            </m:ctrlPr>
          </m:sub>
        </m:sSub>
        <m:r>
          <m:rPr/>
          <w:rPr>
            <w:color w:val="auto"/>
          </w:rPr>
          <m:t>=2.18</m:t>
        </m:r>
      </m:oMath>
    </w:p>
    <w:p w14:paraId="738AEC7D">
      <w:pPr>
        <w:pStyle w:val="3"/>
        <w:spacing w:before="0" w:after="120"/>
        <w:ind w:firstLine="480" w:firstLineChars="200"/>
        <w:jc w:val="both"/>
        <w:rPr>
          <w:color w:val="auto"/>
        </w:rPr>
      </w:pPr>
      <w:r>
        <w:rPr>
          <w:color w:val="auto"/>
        </w:rPr>
        <w:t>To isolate the effect of the PEBI mesh on solver performance, two single-factor decomposition experiments were conducted:</w:t>
      </w:r>
    </w:p>
    <w:p w14:paraId="4B178951">
      <w:pPr>
        <w:numPr>
          <w:ilvl w:val="0"/>
          <w:numId w:val="4"/>
        </w:numPr>
        <w:tabs>
          <w:tab w:val="left" w:pos="0"/>
        </w:tabs>
        <w:spacing w:before="0" w:after="120"/>
        <w:ind w:firstLine="480" w:firstLineChars="200"/>
        <w:jc w:val="both"/>
        <w:rPr>
          <w:color w:val="auto"/>
        </w:rPr>
      </w:pPr>
      <w:r>
        <w:rPr>
          <w:b/>
          <w:color w:val="auto"/>
        </w:rPr>
        <w:t>Mesh-isolation experiment (CPR–SA-AMG on Cartesian LGR)</w:t>
      </w:r>
      <w:r>
        <w:rPr>
          <w:color w:val="auto"/>
        </w:rPr>
        <w:t xml:space="preserve">: Running the identical CPR–SA-AMG solver on a Cartesian LGR grid covering the same spatial domain (five-well pad, 4 km × 3 km areal extent) and matched to the same total cell count (32 million cells) yields 38 GMRES iterations per Newton step and a solve time of 3.87 s—67.5% slower than the PEBI configuration with the same preconditioner. Cell-count parity is achieved through uniform 7-level nested refinement (finest cell 0.5 m near fractures, coarsest 50 m in the far field), which distributes resolution uniformly across the domain rather than adaptively concentrating cells near fractures as the PEBI </w:t>
      </w:r>
      <m:oMath>
        <m:r>
          <m:rPr>
            <m:nor/>
            <m:sty m:val="p"/>
          </m:rPr>
          <w:rPr>
            <w:b w:val="0"/>
            <w:i w:val="0"/>
            <w:color w:val="auto"/>
          </w:rPr>
          <m:t>tanh</m:t>
        </m:r>
      </m:oMath>
      <w:r>
        <w:rPr>
          <w:color w:val="auto"/>
        </w:rPr>
        <w:t xml:space="preserve"> density function does. Consequently, the Cartesian LGR mesh has coarser resolution in the fracture-proximal region (where the PEBI mesh concentrates cells) and finer resolution in the far field (where the PEBI mesh uses large cells). This resolution-allocation difference favors the PEBI mesh for near-fracture accuracy, but both meshes have the same global cell count and the same CPR–SA-AMG solver configuration. The increase from 21 to 38 iterations is attributable to the degraded diagonal dominance of the Cartesian LGR Jacobian (</w:t>
      </w:r>
      <m:oMath>
        <m:sSub>
          <m:sSubPr>
            <m:ctrlPr>
              <w:rPr>
                <w:color w:val="auto"/>
              </w:rPr>
            </m:ctrlPr>
          </m:sSubPr>
          <m:e>
            <m:acc>
              <m:accPr>
                <m:chr m:val="‾"/>
                <m:ctrlPr>
                  <w:rPr>
                    <w:color w:val="auto"/>
                  </w:rPr>
                </m:ctrlPr>
              </m:accPr>
              <m:e>
                <m:r>
                  <m:rPr/>
                  <w:rPr>
                    <w:color w:val="auto"/>
                  </w:rPr>
                  <m:t>δ</m:t>
                </m:r>
                <m:ctrlPr>
                  <w:rPr>
                    <w:color w:val="auto"/>
                  </w:rPr>
                </m:ctrlPr>
              </m:e>
            </m:acc>
            <m:ctrlPr>
              <w:rPr>
                <w:color w:val="auto"/>
              </w:rPr>
            </m:ctrlPr>
          </m:e>
          <m:sub>
            <m:r>
              <m:rPr/>
              <w:rPr>
                <w:color w:val="auto"/>
              </w:rPr>
              <m:t>i</m:t>
            </m:r>
            <m:ctrlPr>
              <w:rPr>
                <w:color w:val="auto"/>
              </w:rPr>
            </m:ctrlPr>
          </m:sub>
        </m:sSub>
        <m:r>
          <m:rPr/>
          <w:rPr>
            <w:color w:val="auto"/>
          </w:rPr>
          <m:t>=1.43</m:t>
        </m:r>
      </m:oMath>
      <w:r>
        <w:rPr>
          <w:color w:val="auto"/>
        </w:rPr>
        <w:t xml:space="preserve"> vs. 2.18 for PEBI).</w:t>
      </w:r>
    </w:p>
    <w:p w14:paraId="096048E4">
      <w:pPr>
        <w:numPr>
          <w:ilvl w:val="0"/>
          <w:numId w:val="4"/>
        </w:numPr>
        <w:tabs>
          <w:tab w:val="left" w:pos="0"/>
        </w:tabs>
        <w:spacing w:before="0" w:after="120"/>
        <w:ind w:firstLine="480" w:firstLineChars="200"/>
        <w:jc w:val="both"/>
        <w:rPr>
          <w:color w:val="auto"/>
        </w:rPr>
      </w:pPr>
      <w:r>
        <w:rPr>
          <w:b/>
          <w:color w:val="auto"/>
        </w:rPr>
        <w:t>Solver-isolation experiment (Block-ILU(0) on PEBI)</w:t>
      </w:r>
      <w:r>
        <w:rPr>
          <w:color w:val="auto"/>
        </w:rPr>
        <w:t>: Retaining the PEBI mesh but degrading the preconditioner to Block-ILU(0) yields 312 GMRES iterations and a solve time of 8.47 s—a 3.67× increase over CPR–SA-AMG on the same PEBI grid. This isolates the preconditioner effect while holding the mesh constant.</w:t>
      </w:r>
    </w:p>
    <w:p w14:paraId="070BCADB">
      <w:pPr>
        <w:pStyle w:val="23"/>
        <w:spacing w:before="0" w:after="120"/>
        <w:ind w:firstLine="480" w:firstLineChars="200"/>
        <w:jc w:val="center"/>
        <w:rPr>
          <w:color w:val="auto"/>
        </w:rPr>
      </w:pPr>
      <w:r>
        <w:rPr>
          <w:b/>
          <w:color w:val="auto"/>
        </w:rPr>
        <w:t>Table 9b: Single-factor decomposition of solver performance (32 M cells, 512 cores).</w:t>
      </w:r>
    </w:p>
    <w:tbl>
      <w:tblPr>
        <w:tblStyle w:val="28"/>
        <w:tblW w:w="9278" w:type="dxa"/>
        <w:jc w:val="center"/>
        <w:tblLayout w:type="autofit"/>
        <w:tblCellMar>
          <w:top w:w="0" w:type="dxa"/>
          <w:left w:w="108" w:type="dxa"/>
          <w:bottom w:w="0" w:type="dxa"/>
          <w:right w:w="108" w:type="dxa"/>
        </w:tblCellMar>
      </w:tblPr>
      <w:tblGrid>
        <w:gridCol w:w="1849"/>
        <w:gridCol w:w="1187"/>
        <w:gridCol w:w="1897"/>
        <w:gridCol w:w="2148"/>
        <w:gridCol w:w="1424"/>
        <w:gridCol w:w="773"/>
      </w:tblGrid>
      <w:tr w14:paraId="473FD069">
        <w:tblPrEx>
          <w:tblCellMar>
            <w:top w:w="0" w:type="dxa"/>
            <w:left w:w="108" w:type="dxa"/>
            <w:bottom w:w="0" w:type="dxa"/>
            <w:right w:w="108" w:type="dxa"/>
          </w:tblCellMar>
        </w:tblPrEx>
        <w:trPr>
          <w:trHeight w:val="0" w:hRule="atLeast"/>
          <w:tblHeader/>
          <w:jc w:val="center"/>
        </w:trPr>
        <w:tc>
          <w:tcPr>
            <w:tcW w:w="1860" w:type="dxa"/>
            <w:tcBorders>
              <w:bottom w:val="single" w:color="auto" w:sz="0" w:space="0"/>
            </w:tcBorders>
            <w:vAlign w:val="center"/>
          </w:tcPr>
          <w:p w14:paraId="269F0026">
            <w:pPr>
              <w:pStyle w:val="24"/>
              <w:snapToGrid w:val="0"/>
              <w:ind w:left="0" w:leftChars="0" w:right="0" w:rightChars="0" w:firstLine="0" w:firstLineChars="0"/>
              <w:jc w:val="center"/>
              <w:rPr>
                <w:b/>
                <w:color w:val="auto"/>
              </w:rPr>
            </w:pPr>
            <w:r>
              <w:rPr>
                <w:b/>
                <w:color w:val="auto"/>
              </w:rPr>
              <w:t>Configuration</w:t>
            </w:r>
          </w:p>
        </w:tc>
        <w:tc>
          <w:tcPr>
            <w:tcW w:w="1029" w:type="dxa"/>
            <w:tcBorders>
              <w:bottom w:val="single" w:color="auto" w:sz="0" w:space="0"/>
            </w:tcBorders>
            <w:vAlign w:val="center"/>
          </w:tcPr>
          <w:p w14:paraId="4C0AE76C">
            <w:pPr>
              <w:pStyle w:val="24"/>
              <w:snapToGrid w:val="0"/>
              <w:ind w:left="0" w:leftChars="0" w:right="0" w:rightChars="0" w:firstLine="0" w:firstLineChars="0"/>
              <w:jc w:val="center"/>
              <w:rPr>
                <w:b/>
                <w:color w:val="auto"/>
              </w:rPr>
            </w:pPr>
            <w:r>
              <w:rPr>
                <w:b/>
                <w:color w:val="auto"/>
              </w:rPr>
              <w:t>Mesh</w:t>
            </w:r>
          </w:p>
        </w:tc>
        <w:tc>
          <w:tcPr>
            <w:tcW w:w="0" w:type="auto"/>
            <w:tcBorders>
              <w:bottom w:val="single" w:color="auto" w:sz="0" w:space="0"/>
            </w:tcBorders>
            <w:vAlign w:val="center"/>
          </w:tcPr>
          <w:p w14:paraId="1A284985">
            <w:pPr>
              <w:pStyle w:val="24"/>
              <w:snapToGrid w:val="0"/>
              <w:ind w:left="0" w:leftChars="0" w:right="0" w:rightChars="0" w:firstLine="0" w:firstLineChars="0"/>
              <w:jc w:val="center"/>
              <w:rPr>
                <w:b/>
                <w:color w:val="auto"/>
              </w:rPr>
            </w:pPr>
            <w:r>
              <w:rPr>
                <w:b/>
                <w:color w:val="auto"/>
              </w:rPr>
              <w:t>Preconditioner</w:t>
            </w:r>
          </w:p>
        </w:tc>
        <w:tc>
          <w:tcPr>
            <w:tcW w:w="0" w:type="auto"/>
            <w:tcBorders>
              <w:bottom w:val="single" w:color="auto" w:sz="0" w:space="0"/>
            </w:tcBorders>
            <w:vAlign w:val="center"/>
          </w:tcPr>
          <w:p w14:paraId="12345224">
            <w:pPr>
              <w:pStyle w:val="24"/>
              <w:snapToGrid w:val="0"/>
              <w:ind w:left="0" w:leftChars="0" w:right="0" w:rightChars="0" w:firstLine="0" w:firstLineChars="0"/>
              <w:jc w:val="center"/>
              <w:rPr>
                <w:b/>
                <w:color w:val="auto"/>
              </w:rPr>
            </w:pPr>
            <w:r>
              <w:rPr>
                <w:b/>
                <w:color w:val="auto"/>
              </w:rPr>
              <w:t>GMRES Iterations</w:t>
            </w:r>
          </w:p>
        </w:tc>
        <w:tc>
          <w:tcPr>
            <w:tcW w:w="0" w:type="auto"/>
            <w:tcBorders>
              <w:bottom w:val="single" w:color="auto" w:sz="0" w:space="0"/>
            </w:tcBorders>
            <w:vAlign w:val="center"/>
          </w:tcPr>
          <w:p w14:paraId="7B2B67FA">
            <w:pPr>
              <w:pStyle w:val="24"/>
              <w:snapToGrid w:val="0"/>
              <w:ind w:left="0" w:leftChars="0" w:right="0" w:rightChars="0" w:firstLine="0" w:firstLineChars="0"/>
              <w:jc w:val="center"/>
              <w:rPr>
                <w:b/>
                <w:color w:val="auto"/>
              </w:rPr>
            </w:pPr>
            <w:r>
              <w:rPr>
                <w:b/>
                <w:color w:val="auto"/>
              </w:rPr>
              <w:t xml:space="preserve">Solve Time </w:t>
            </w:r>
          </w:p>
          <w:p w14:paraId="48841941">
            <w:pPr>
              <w:pStyle w:val="24"/>
              <w:snapToGrid w:val="0"/>
              <w:ind w:left="0" w:leftChars="0" w:right="0" w:rightChars="0" w:firstLine="0" w:firstLineChars="0"/>
              <w:jc w:val="center"/>
              <w:rPr>
                <w:b/>
                <w:color w:val="auto"/>
              </w:rPr>
            </w:pPr>
            <w:r>
              <w:rPr>
                <w:b/>
                <w:color w:val="auto"/>
              </w:rPr>
              <w:t>(s)</w:t>
            </w:r>
          </w:p>
        </w:tc>
        <w:tc>
          <w:tcPr>
            <w:tcW w:w="783" w:type="dxa"/>
            <w:tcBorders>
              <w:bottom w:val="single" w:color="auto" w:sz="0" w:space="0"/>
            </w:tcBorders>
            <w:vAlign w:val="center"/>
          </w:tcPr>
          <w:p w14:paraId="563C79D2">
            <w:pPr>
              <w:pStyle w:val="24"/>
              <w:snapToGrid w:val="0"/>
              <w:ind w:left="0" w:leftChars="0" w:right="0" w:rightChars="0" w:firstLine="0" w:firstLineChars="0"/>
              <w:jc w:val="center"/>
              <w:rPr>
                <w:b/>
                <w:color w:val="auto"/>
              </w:rPr>
            </w:pPr>
            <m:oMathPara>
              <m:oMath>
                <m:sSub>
                  <m:sSubPr>
                    <m:ctrlPr>
                      <w:rPr>
                        <w:rFonts w:ascii="Cambria Math" w:hAnsi="Cambria Math"/>
                        <w:b/>
                        <w:color w:val="auto"/>
                      </w:rPr>
                    </m:ctrlPr>
                  </m:sSubPr>
                  <m:e>
                    <m:acc>
                      <m:accPr>
                        <m:chr m:val="‾"/>
                        <m:ctrlPr>
                          <w:rPr>
                            <w:rFonts w:ascii="Cambria Math" w:hAnsi="Cambria Math"/>
                            <w:b/>
                            <w:color w:val="auto"/>
                          </w:rPr>
                        </m:ctrlPr>
                      </m:accPr>
                      <m:e>
                        <m:r>
                          <m:rPr>
                            <m:sty m:val="bi"/>
                          </m:rPr>
                          <w:rPr>
                            <w:rFonts w:hint="default" w:ascii="Cambria Math" w:hAnsi="Cambria Math"/>
                            <w:color w:val="auto"/>
                          </w:rPr>
                          <m:t>δ</m:t>
                        </m:r>
                        <m:ctrlPr>
                          <w:rPr>
                            <w:rFonts w:ascii="Cambria Math" w:hAnsi="Cambria Math"/>
                            <w:b/>
                            <w:color w:val="auto"/>
                          </w:rPr>
                        </m:ctrlPr>
                      </m:e>
                    </m:acc>
                    <m:ctrlPr>
                      <w:rPr>
                        <w:rFonts w:ascii="Cambria Math" w:hAnsi="Cambria Math"/>
                        <w:b/>
                        <w:color w:val="auto"/>
                      </w:rPr>
                    </m:ctrlPr>
                  </m:e>
                  <m:sub>
                    <m:r>
                      <m:rPr>
                        <m:sty m:val="bi"/>
                      </m:rPr>
                      <w:rPr>
                        <w:rFonts w:hint="default" w:ascii="Cambria Math" w:hAnsi="Cambria Math"/>
                        <w:color w:val="auto"/>
                      </w:rPr>
                      <m:t>i</m:t>
                    </m:r>
                    <m:ctrlPr>
                      <w:rPr>
                        <w:rFonts w:ascii="Cambria Math" w:hAnsi="Cambria Math"/>
                        <w:b/>
                        <w:color w:val="auto"/>
                      </w:rPr>
                    </m:ctrlPr>
                  </m:sub>
                </m:sSub>
              </m:oMath>
            </m:oMathPara>
          </w:p>
        </w:tc>
      </w:tr>
      <w:tr w14:paraId="1FEEA607">
        <w:tblPrEx>
          <w:tblCellMar>
            <w:top w:w="0" w:type="dxa"/>
            <w:left w:w="108" w:type="dxa"/>
            <w:bottom w:w="0" w:type="dxa"/>
            <w:right w:w="108" w:type="dxa"/>
          </w:tblCellMar>
        </w:tblPrEx>
        <w:trPr>
          <w:trHeight w:val="0" w:hRule="atLeast"/>
          <w:jc w:val="center"/>
        </w:trPr>
        <w:tc>
          <w:tcPr>
            <w:tcW w:w="1860" w:type="dxa"/>
            <w:vAlign w:val="center"/>
          </w:tcPr>
          <w:p w14:paraId="4CEA4363">
            <w:pPr>
              <w:pStyle w:val="24"/>
              <w:snapToGrid w:val="0"/>
              <w:ind w:left="0" w:leftChars="0" w:right="0" w:rightChars="0" w:firstLine="0" w:firstLineChars="0"/>
              <w:jc w:val="center"/>
              <w:rPr>
                <w:color w:val="auto"/>
              </w:rPr>
            </w:pPr>
            <w:r>
              <w:rPr>
                <w:color w:val="auto"/>
              </w:rPr>
              <w:t>A (Proposed)</w:t>
            </w:r>
          </w:p>
        </w:tc>
        <w:tc>
          <w:tcPr>
            <w:tcW w:w="1029" w:type="dxa"/>
            <w:vAlign w:val="center"/>
          </w:tcPr>
          <w:p w14:paraId="350338B7">
            <w:pPr>
              <w:pStyle w:val="24"/>
              <w:snapToGrid w:val="0"/>
              <w:ind w:left="0" w:leftChars="0" w:right="0" w:rightChars="0" w:firstLine="0" w:firstLineChars="0"/>
              <w:jc w:val="left"/>
              <w:rPr>
                <w:color w:val="auto"/>
              </w:rPr>
            </w:pPr>
            <w:r>
              <w:rPr>
                <w:color w:val="auto"/>
              </w:rPr>
              <w:t>PEBI</w:t>
            </w:r>
          </w:p>
        </w:tc>
        <w:tc>
          <w:tcPr>
            <w:tcW w:w="0" w:type="auto"/>
            <w:vAlign w:val="center"/>
          </w:tcPr>
          <w:p w14:paraId="5A020A6F">
            <w:pPr>
              <w:pStyle w:val="24"/>
              <w:snapToGrid w:val="0"/>
              <w:ind w:left="0" w:leftChars="0" w:right="0" w:rightChars="0" w:firstLine="0" w:firstLineChars="0"/>
              <w:jc w:val="left"/>
              <w:rPr>
                <w:color w:val="auto"/>
              </w:rPr>
            </w:pPr>
            <w:r>
              <w:rPr>
                <w:color w:val="auto"/>
              </w:rPr>
              <w:t>CPR–SA-AMG</w:t>
            </w:r>
          </w:p>
        </w:tc>
        <w:tc>
          <w:tcPr>
            <w:tcW w:w="0" w:type="auto"/>
            <w:vAlign w:val="center"/>
          </w:tcPr>
          <w:p w14:paraId="793C4812">
            <w:pPr>
              <w:pStyle w:val="24"/>
              <w:snapToGrid w:val="0"/>
              <w:ind w:left="0" w:leftChars="0" w:right="0" w:rightChars="0" w:firstLine="0" w:firstLineChars="0"/>
              <w:jc w:val="center"/>
              <w:rPr>
                <w:color w:val="auto"/>
              </w:rPr>
            </w:pPr>
            <w:r>
              <w:rPr>
                <w:color w:val="auto"/>
              </w:rPr>
              <w:t>21</w:t>
            </w:r>
          </w:p>
        </w:tc>
        <w:tc>
          <w:tcPr>
            <w:tcW w:w="0" w:type="auto"/>
            <w:vAlign w:val="center"/>
          </w:tcPr>
          <w:p w14:paraId="3672B97E">
            <w:pPr>
              <w:pStyle w:val="24"/>
              <w:snapToGrid w:val="0"/>
              <w:ind w:left="0" w:leftChars="0" w:right="0" w:rightChars="0" w:firstLine="0" w:firstLineChars="0"/>
              <w:jc w:val="right"/>
              <w:rPr>
                <w:color w:val="auto"/>
              </w:rPr>
            </w:pPr>
            <w:r>
              <w:rPr>
                <w:color w:val="auto"/>
              </w:rPr>
              <w:t>2.31</w:t>
            </w:r>
          </w:p>
        </w:tc>
        <w:tc>
          <w:tcPr>
            <w:tcW w:w="783" w:type="dxa"/>
            <w:vAlign w:val="center"/>
          </w:tcPr>
          <w:p w14:paraId="6385A1AA">
            <w:pPr>
              <w:pStyle w:val="24"/>
              <w:snapToGrid w:val="0"/>
              <w:ind w:left="0" w:leftChars="0" w:right="0" w:rightChars="0" w:firstLine="0" w:firstLineChars="0"/>
              <w:jc w:val="right"/>
              <w:rPr>
                <w:color w:val="auto"/>
              </w:rPr>
            </w:pPr>
            <w:r>
              <w:rPr>
                <w:color w:val="auto"/>
              </w:rPr>
              <w:t>2.18</w:t>
            </w:r>
          </w:p>
        </w:tc>
      </w:tr>
      <w:tr w14:paraId="444B495E">
        <w:tblPrEx>
          <w:tblCellMar>
            <w:top w:w="0" w:type="dxa"/>
            <w:left w:w="108" w:type="dxa"/>
            <w:bottom w:w="0" w:type="dxa"/>
            <w:right w:w="108" w:type="dxa"/>
          </w:tblCellMar>
        </w:tblPrEx>
        <w:trPr>
          <w:trHeight w:val="0" w:hRule="atLeast"/>
          <w:jc w:val="center"/>
        </w:trPr>
        <w:tc>
          <w:tcPr>
            <w:tcW w:w="1860" w:type="dxa"/>
            <w:vAlign w:val="center"/>
          </w:tcPr>
          <w:p w14:paraId="02CB9FA6">
            <w:pPr>
              <w:pStyle w:val="24"/>
              <w:snapToGrid w:val="0"/>
              <w:ind w:left="0" w:leftChars="0" w:right="0" w:rightChars="0" w:firstLine="0" w:firstLineChars="0"/>
              <w:jc w:val="center"/>
              <w:rPr>
                <w:color w:val="auto"/>
              </w:rPr>
            </w:pPr>
            <w:r>
              <w:rPr>
                <w:color w:val="auto"/>
              </w:rPr>
              <w:t>B (Mesh isolation)</w:t>
            </w:r>
          </w:p>
        </w:tc>
        <w:tc>
          <w:tcPr>
            <w:tcW w:w="1029" w:type="dxa"/>
            <w:vAlign w:val="center"/>
          </w:tcPr>
          <w:p w14:paraId="3C0E3770">
            <w:pPr>
              <w:pStyle w:val="24"/>
              <w:snapToGrid w:val="0"/>
              <w:ind w:left="0" w:leftChars="0" w:right="0" w:rightChars="0" w:firstLine="0" w:firstLineChars="0"/>
              <w:jc w:val="left"/>
              <w:rPr>
                <w:color w:val="auto"/>
              </w:rPr>
            </w:pPr>
            <w:r>
              <w:rPr>
                <w:color w:val="auto"/>
              </w:rPr>
              <w:t>Cartesian LGR</w:t>
            </w:r>
          </w:p>
        </w:tc>
        <w:tc>
          <w:tcPr>
            <w:tcW w:w="0" w:type="auto"/>
            <w:vAlign w:val="center"/>
          </w:tcPr>
          <w:p w14:paraId="227C03E7">
            <w:pPr>
              <w:pStyle w:val="24"/>
              <w:snapToGrid w:val="0"/>
              <w:ind w:left="0" w:leftChars="0" w:right="0" w:rightChars="0" w:firstLine="0" w:firstLineChars="0"/>
              <w:jc w:val="left"/>
              <w:rPr>
                <w:color w:val="auto"/>
              </w:rPr>
            </w:pPr>
            <w:r>
              <w:rPr>
                <w:color w:val="auto"/>
              </w:rPr>
              <w:t>CPR–SA-AMG</w:t>
            </w:r>
          </w:p>
        </w:tc>
        <w:tc>
          <w:tcPr>
            <w:tcW w:w="0" w:type="auto"/>
            <w:vAlign w:val="center"/>
          </w:tcPr>
          <w:p w14:paraId="7AA59C36">
            <w:pPr>
              <w:pStyle w:val="24"/>
              <w:snapToGrid w:val="0"/>
              <w:ind w:left="0" w:leftChars="0" w:right="0" w:rightChars="0" w:firstLine="0" w:firstLineChars="0"/>
              <w:jc w:val="center"/>
              <w:rPr>
                <w:color w:val="auto"/>
              </w:rPr>
            </w:pPr>
            <w:r>
              <w:rPr>
                <w:color w:val="auto"/>
              </w:rPr>
              <w:t>38</w:t>
            </w:r>
          </w:p>
        </w:tc>
        <w:tc>
          <w:tcPr>
            <w:tcW w:w="0" w:type="auto"/>
            <w:vAlign w:val="center"/>
          </w:tcPr>
          <w:p w14:paraId="3D8A9438">
            <w:pPr>
              <w:pStyle w:val="24"/>
              <w:snapToGrid w:val="0"/>
              <w:ind w:left="0" w:leftChars="0" w:right="0" w:rightChars="0" w:firstLine="0" w:firstLineChars="0"/>
              <w:jc w:val="right"/>
              <w:rPr>
                <w:color w:val="auto"/>
              </w:rPr>
            </w:pPr>
            <w:r>
              <w:rPr>
                <w:color w:val="auto"/>
              </w:rPr>
              <w:t>3.87</w:t>
            </w:r>
          </w:p>
        </w:tc>
        <w:tc>
          <w:tcPr>
            <w:tcW w:w="783" w:type="dxa"/>
            <w:vAlign w:val="center"/>
          </w:tcPr>
          <w:p w14:paraId="329D360A">
            <w:pPr>
              <w:pStyle w:val="24"/>
              <w:snapToGrid w:val="0"/>
              <w:ind w:left="0" w:leftChars="0" w:right="0" w:rightChars="0" w:firstLine="0" w:firstLineChars="0"/>
              <w:jc w:val="right"/>
              <w:rPr>
                <w:color w:val="auto"/>
              </w:rPr>
            </w:pPr>
            <w:r>
              <w:rPr>
                <w:color w:val="auto"/>
              </w:rPr>
              <w:t>1.43</w:t>
            </w:r>
          </w:p>
        </w:tc>
      </w:tr>
      <w:tr w14:paraId="493C9CAE">
        <w:tblPrEx>
          <w:tblCellMar>
            <w:top w:w="0" w:type="dxa"/>
            <w:left w:w="108" w:type="dxa"/>
            <w:bottom w:w="0" w:type="dxa"/>
            <w:right w:w="108" w:type="dxa"/>
          </w:tblCellMar>
        </w:tblPrEx>
        <w:trPr>
          <w:trHeight w:val="0" w:hRule="atLeast"/>
          <w:jc w:val="center"/>
        </w:trPr>
        <w:tc>
          <w:tcPr>
            <w:tcW w:w="1860" w:type="dxa"/>
            <w:vAlign w:val="center"/>
          </w:tcPr>
          <w:p w14:paraId="50442C34">
            <w:pPr>
              <w:pStyle w:val="24"/>
              <w:snapToGrid w:val="0"/>
              <w:ind w:left="0" w:leftChars="0" w:right="0" w:rightChars="0" w:firstLine="0" w:firstLineChars="0"/>
              <w:jc w:val="center"/>
              <w:rPr>
                <w:color w:val="auto"/>
              </w:rPr>
            </w:pPr>
            <w:r>
              <w:rPr>
                <w:color w:val="auto"/>
              </w:rPr>
              <w:t>C (Solver isolation)</w:t>
            </w:r>
          </w:p>
        </w:tc>
        <w:tc>
          <w:tcPr>
            <w:tcW w:w="1029" w:type="dxa"/>
            <w:vAlign w:val="center"/>
          </w:tcPr>
          <w:p w14:paraId="4FAD7CE3">
            <w:pPr>
              <w:pStyle w:val="24"/>
              <w:snapToGrid w:val="0"/>
              <w:ind w:left="0" w:leftChars="0" w:right="0" w:rightChars="0" w:firstLine="0" w:firstLineChars="0"/>
              <w:jc w:val="left"/>
              <w:rPr>
                <w:color w:val="auto"/>
              </w:rPr>
            </w:pPr>
            <w:r>
              <w:rPr>
                <w:color w:val="auto"/>
              </w:rPr>
              <w:t>PEBI</w:t>
            </w:r>
          </w:p>
        </w:tc>
        <w:tc>
          <w:tcPr>
            <w:tcW w:w="0" w:type="auto"/>
            <w:vAlign w:val="center"/>
          </w:tcPr>
          <w:p w14:paraId="4655A1CA">
            <w:pPr>
              <w:pStyle w:val="24"/>
              <w:snapToGrid w:val="0"/>
              <w:ind w:left="0" w:leftChars="0" w:right="0" w:rightChars="0" w:firstLine="0" w:firstLineChars="0"/>
              <w:jc w:val="left"/>
              <w:rPr>
                <w:color w:val="auto"/>
              </w:rPr>
            </w:pPr>
            <w:r>
              <w:rPr>
                <w:color w:val="auto"/>
              </w:rPr>
              <w:t>Block-ILU(0)</w:t>
            </w:r>
          </w:p>
        </w:tc>
        <w:tc>
          <w:tcPr>
            <w:tcW w:w="0" w:type="auto"/>
            <w:vAlign w:val="center"/>
          </w:tcPr>
          <w:p w14:paraId="26A15486">
            <w:pPr>
              <w:pStyle w:val="24"/>
              <w:snapToGrid w:val="0"/>
              <w:ind w:left="0" w:leftChars="0" w:right="0" w:rightChars="0" w:firstLine="0" w:firstLineChars="0"/>
              <w:jc w:val="center"/>
              <w:rPr>
                <w:color w:val="auto"/>
              </w:rPr>
            </w:pPr>
            <w:r>
              <w:rPr>
                <w:color w:val="auto"/>
              </w:rPr>
              <w:t>312</w:t>
            </w:r>
          </w:p>
        </w:tc>
        <w:tc>
          <w:tcPr>
            <w:tcW w:w="0" w:type="auto"/>
            <w:vAlign w:val="center"/>
          </w:tcPr>
          <w:p w14:paraId="6117D70C">
            <w:pPr>
              <w:pStyle w:val="24"/>
              <w:snapToGrid w:val="0"/>
              <w:ind w:left="0" w:leftChars="0" w:right="0" w:rightChars="0" w:firstLine="0" w:firstLineChars="0"/>
              <w:jc w:val="right"/>
              <w:rPr>
                <w:color w:val="auto"/>
              </w:rPr>
            </w:pPr>
            <w:r>
              <w:rPr>
                <w:color w:val="auto"/>
              </w:rPr>
              <w:t>8.47</w:t>
            </w:r>
          </w:p>
        </w:tc>
        <w:tc>
          <w:tcPr>
            <w:tcW w:w="783" w:type="dxa"/>
            <w:vAlign w:val="center"/>
          </w:tcPr>
          <w:p w14:paraId="41896FF5">
            <w:pPr>
              <w:pStyle w:val="24"/>
              <w:snapToGrid w:val="0"/>
              <w:ind w:left="0" w:leftChars="0" w:right="0" w:rightChars="0" w:firstLine="0" w:firstLineChars="0"/>
              <w:jc w:val="right"/>
              <w:rPr>
                <w:color w:val="auto"/>
              </w:rPr>
            </w:pPr>
            <w:r>
              <w:rPr>
                <w:color w:val="auto"/>
              </w:rPr>
              <w:t>2.18</w:t>
            </w:r>
          </w:p>
        </w:tc>
      </w:tr>
      <w:tr w14:paraId="0A462EE4">
        <w:tblPrEx>
          <w:tblCellMar>
            <w:top w:w="0" w:type="dxa"/>
            <w:left w:w="108" w:type="dxa"/>
            <w:bottom w:w="0" w:type="dxa"/>
            <w:right w:w="108" w:type="dxa"/>
          </w:tblCellMar>
        </w:tblPrEx>
        <w:trPr>
          <w:trHeight w:val="0" w:hRule="atLeast"/>
          <w:jc w:val="center"/>
        </w:trPr>
        <w:tc>
          <w:tcPr>
            <w:tcW w:w="1860" w:type="dxa"/>
            <w:vAlign w:val="center"/>
          </w:tcPr>
          <w:p w14:paraId="0870BB29">
            <w:pPr>
              <w:pStyle w:val="24"/>
              <w:snapToGrid w:val="0"/>
              <w:ind w:left="0" w:leftChars="0" w:right="0" w:rightChars="0" w:firstLine="0" w:firstLineChars="0"/>
              <w:jc w:val="center"/>
              <w:rPr>
                <w:color w:val="auto"/>
              </w:rPr>
            </w:pPr>
            <w:r>
              <w:rPr>
                <w:color w:val="auto"/>
              </w:rPr>
              <w:t>D (Baseline)</w:t>
            </w:r>
          </w:p>
        </w:tc>
        <w:tc>
          <w:tcPr>
            <w:tcW w:w="1029" w:type="dxa"/>
            <w:vAlign w:val="center"/>
          </w:tcPr>
          <w:p w14:paraId="5479BB63">
            <w:pPr>
              <w:pStyle w:val="24"/>
              <w:snapToGrid w:val="0"/>
              <w:ind w:left="0" w:leftChars="0" w:right="0" w:rightChars="0" w:firstLine="0" w:firstLineChars="0"/>
              <w:jc w:val="left"/>
              <w:rPr>
                <w:color w:val="auto"/>
              </w:rPr>
            </w:pPr>
            <w:r>
              <w:rPr>
                <w:color w:val="auto"/>
              </w:rPr>
              <w:t>Cartesian LGR</w:t>
            </w:r>
          </w:p>
        </w:tc>
        <w:tc>
          <w:tcPr>
            <w:tcW w:w="1897" w:type="dxa"/>
            <w:vAlign w:val="center"/>
          </w:tcPr>
          <w:p w14:paraId="04583644">
            <w:pPr>
              <w:pStyle w:val="24"/>
              <w:snapToGrid w:val="0"/>
              <w:ind w:left="0" w:leftChars="0" w:right="0" w:rightChars="0" w:firstLine="0" w:firstLineChars="0"/>
              <w:jc w:val="left"/>
              <w:rPr>
                <w:color w:val="auto"/>
              </w:rPr>
            </w:pPr>
            <w:r>
              <w:rPr>
                <w:color w:val="auto"/>
              </w:rPr>
              <w:t>Block-ILU(0)</w:t>
            </w:r>
          </w:p>
        </w:tc>
        <w:tc>
          <w:tcPr>
            <w:tcW w:w="2227" w:type="dxa"/>
            <w:vAlign w:val="center"/>
          </w:tcPr>
          <w:p w14:paraId="55D09C58">
            <w:pPr>
              <w:pStyle w:val="24"/>
              <w:snapToGrid w:val="0"/>
              <w:ind w:left="0" w:leftChars="0" w:right="0" w:rightChars="0" w:firstLine="0" w:firstLineChars="0"/>
              <w:jc w:val="center"/>
              <w:rPr>
                <w:color w:val="auto"/>
              </w:rPr>
            </w:pPr>
            <w:r>
              <w:rPr>
                <w:color w:val="auto"/>
              </w:rPr>
              <w:t>312+</w:t>
            </w:r>
          </w:p>
        </w:tc>
        <w:tc>
          <w:tcPr>
            <w:tcW w:w="1482" w:type="dxa"/>
            <w:vAlign w:val="center"/>
          </w:tcPr>
          <w:p w14:paraId="025A9E0B">
            <w:pPr>
              <w:pStyle w:val="24"/>
              <w:snapToGrid w:val="0"/>
              <w:ind w:left="0" w:leftChars="0" w:right="0" w:rightChars="0" w:firstLine="0" w:firstLineChars="0"/>
              <w:jc w:val="right"/>
              <w:rPr>
                <w:color w:val="auto"/>
              </w:rPr>
            </w:pPr>
            <w:r>
              <w:rPr>
                <w:color w:val="auto"/>
              </w:rPr>
              <w:t>&gt;8.47</w:t>
            </w:r>
          </w:p>
        </w:tc>
        <w:tc>
          <w:tcPr>
            <w:tcW w:w="783" w:type="dxa"/>
            <w:vAlign w:val="center"/>
          </w:tcPr>
          <w:p w14:paraId="02042A3F">
            <w:pPr>
              <w:pStyle w:val="24"/>
              <w:snapToGrid w:val="0"/>
              <w:ind w:left="0" w:leftChars="0" w:right="0" w:rightChars="0" w:firstLine="0" w:firstLineChars="0"/>
              <w:jc w:val="right"/>
              <w:rPr>
                <w:color w:val="auto"/>
              </w:rPr>
            </w:pPr>
            <w:r>
              <w:rPr>
                <w:color w:val="auto"/>
              </w:rPr>
              <w:t>1.43</w:t>
            </w:r>
          </w:p>
        </w:tc>
      </w:tr>
    </w:tbl>
    <w:p>
      <w:pPr>
        <w:pStyle w:val="3"/>
        <w:spacing w:before="0" w:after="120"/>
        <w:ind w:firstLine="480" w:firstLineChars="200"/>
        <w:jc w:val="both"/>
        <w:rPr>
          <w:color w:val="auto"/>
        </w:rPr>
      </w:pPr>
      <w:r>
        <w:rPr>
          <w:rFonts w:ascii="Times New Roman" w:hAnsi="Times New Roman"/>
          <w:sz w:val="22"/>
        </w:rPr>
        <w:t>It is important to situate these results within the broader landscape of consistent discretization schemes for non-K-orthogonal grids. Multi-point flux approximation methods—MPFA-O, MPFA-H, and averaged MPFA (AvgMPFA)—have been specifically designed to restore flux consistency on grids that violate the K-orthogonality condition, including both unstructured meshes and corner-point grids with non-orthogonal geometry (da Silva et al., 2024; Klemetsdal et al., 2025). These methods achieve consistency at the cost of an enlarged flux stencil (7–27 points in 2D, depending on the variant), which increases the per-face assembly cost and the Jacobian bandwidth. A direct comparison between PEBI+TPFA and an MPFA-type scheme on an identical unstructured grid would quantify the trade-off between mesh-generation effort (PEBI requires fracture-conforming Delaunay–Voronoi construction) and stencil complexity (MPFA enlarges the flux stencil on a simpler grid). Based on the diagonal dominance analysis reported here (mean δ = 2.18 for PEBI vs. 1.43 for Cartesian LGR), we hypothesize that PEBI+TPFA would retain a 15–25% advantage in GMRES iteration count over MPFA on a non-conforming unstructured grid of equivalent cell count, owing to the enhanced diagonal dominance that K-orthogonal faces confer on the AMG aggregation phase. A controlled comparison implementing MPFA-O within the same PETSc framework is reserved for future work.</w:t>
      </w:r>
    </w:p>
    <w:p w14:paraId="5BD97743">
      <w:pPr>
        <w:pStyle w:val="3"/>
        <w:spacing w:before="0" w:after="120"/>
        <w:ind w:firstLine="480" w:firstLineChars="200"/>
        <w:jc w:val="both"/>
        <w:rPr>
          <w:color w:val="auto"/>
        </w:rPr>
      </w:pPr>
      <w:r>
        <w:rPr>
          <w:color w:val="auto"/>
        </w:rPr>
        <w:t xml:space="preserve">The factorial analysis reveals that the mesh contribution (B − A = +17 iterations, +1.56 s) and the solver contribution (C − A = +291 iterations, +6.16 s) are both substantial, but the solver improvement (CPR–SA-AMG over Block-ILU(0)) accounts for a larger share of the total speedup. Importantly, the mesh improvement is a </w:t>
      </w:r>
      <w:r>
        <w:rPr>
          <w:i/>
          <w:color w:val="auto"/>
        </w:rPr>
        <w:t>prerequisite</w:t>
      </w:r>
      <w:r>
        <w:rPr>
          <w:color w:val="auto"/>
        </w:rPr>
        <w:t xml:space="preserve"> for maximizing the solver benefit: the PEBI mesh reduces the diagonal dominance deficit, enabling SA-AMG to achieve a convergence factor of 0.31 versus 0.45 on Cartesian LGR. We note that Eclipse-100 (Schlumberger, 2023) employs Nested Factorization (NF) rather than AMG-type preconditioning, and replacing Eclipse’s default NF solver with CPR–SA-AMG is not straightforward because the solver is compiled into the proprietary Eclipse binary. The Cartesian LGR + CPR–SA-AMG configuration (Configuration B) serves as the closest available proxy for “Eclipse + CPR–SA-AMG,” confirming that the mesh difference alone accounts for a 1.81× difference in GMRES iterations (38 vs. 21) under the same solver.</w:t>
      </w:r>
    </w:p>
    <w:p w14:paraId="28D808B0">
      <w:pPr>
        <w:pStyle w:val="3"/>
        <w:spacing w:before="0" w:after="120"/>
        <w:ind w:firstLine="480" w:firstLineChars="200"/>
        <w:jc w:val="both"/>
        <w:rPr>
          <w:color w:val="auto"/>
        </w:rPr>
      </w:pPr>
      <w:r>
        <w:rPr>
          <w:b/>
          <w:color w:val="auto"/>
        </w:rPr>
        <w:t>Memory breakdown</w:t>
      </w:r>
      <w:r>
        <w:rPr>
          <w:color w:val="auto"/>
        </w:rPr>
        <w:t xml:space="preserve"> (per rank, PEBI + CPR–SA-AMG): Jacobian matrix storage 0.9 GB, AMG hierarchy (5 levels) 1.4 GB, Krylov subspace vectors (30 + 3) 0.5 GB, MPI communication buffers 0.2 GB, other 0.2 GB. Total: 3.2 GB/rank.</w:t>
      </w:r>
    </w:p>
    <w:p w14:paraId="58933A7E">
      <w:pPr>
        <w:pStyle w:val="5"/>
        <w:spacing w:before="360" w:after="120"/>
        <w:ind w:firstLine="0"/>
        <w:rPr>
          <w:color w:val="auto"/>
        </w:rPr>
      </w:pPr>
      <w:bookmarkStart w:id="18" w:name="parallel-scalability"/>
      <w:r>
        <w:rPr>
          <w:color w:val="auto"/>
        </w:rPr>
        <w:t>3.5 Parallel Scalability</w:t>
      </w:r>
      <w:bookmarkEnd w:id="18"/>
    </w:p>
    <w:p w14:paraId="15797BA8">
      <w:pPr>
        <w:pStyle w:val="23"/>
        <w:spacing w:before="0" w:after="120"/>
        <w:ind w:firstLine="480" w:firstLineChars="200"/>
        <w:jc w:val="both"/>
        <w:rPr>
          <w:color w:val="auto"/>
        </w:rPr>
      </w:pPr>
      <w:r>
        <w:rPr>
          <w:color w:val="auto"/>
        </w:rPr>
        <w:t>Strong-scaling performance is evaluated by varying the number of MPI ranks from 64 to 1,024 while keeping the 32-million-cell problem size fixed. Weak-scaling performance is evaluated by increasing both the problem size and the number of MPI ranks proportionally, maintaining a constant workload of 62,500 cells per rank.</w:t>
      </w:r>
    </w:p>
    <w:p w14:paraId="27B36C65">
      <w:pPr>
        <w:pStyle w:val="34"/>
        <w:rPr>
          <w:color w:val="auto"/>
        </w:rPr>
      </w:pPr>
      <w:r>
        <w:rPr>
          <w:color w:val="auto"/>
        </w:rPr>
        <w:drawing>
          <wp:inline distT="0" distB="0" distL="114300" distR="114300">
            <wp:extent cx="5334000" cy="2153285"/>
            <wp:effectExtent l="0" t="0" r="0" b="0"/>
            <wp:docPr id="9" name="Picture" descr="Fig. 9. Parallel scaling characteristics. (a) Strong-scaling speedup: measured (solid curve), ideal linear (dashed), and Amdahl fit (dotted, serial fraction f = 0.002). (b) Parallel efficiency as a function of core count, comparing strong scaling (fixed 32 M cells) and weak scaling (62,500 cells per r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descr="Fig. 9. Parallel scaling characteristics. (a) Strong-scaling speedup: measured (solid curve), ideal linear (dashed), and Amdahl fit (dotted, serial fraction f = 0.002). (b) Parallel efficiency as a function of core count, comparing strong scaling (fixed 32 M cells) and weak scaling (62,500 cells per rank)."/>
                    <pic:cNvPicPr>
                      <a:picLocks noChangeAspect="1" noChangeArrowheads="1"/>
                    </pic:cNvPicPr>
                  </pic:nvPicPr>
                  <pic:blipFill>
                    <a:blip r:embed="rId13"/>
                    <a:stretch>
                      <a:fillRect/>
                    </a:stretch>
                  </pic:blipFill>
                  <pic:spPr>
                    <a:xfrm>
                      <a:off x="0" y="0"/>
                      <a:ext cx="5334000" cy="2153555"/>
                    </a:xfrm>
                    <a:prstGeom prst="rect">
                      <a:avLst/>
                    </a:prstGeom>
                    <a:noFill/>
                    <a:ln w="9525">
                      <a:noFill/>
                    </a:ln>
                  </pic:spPr>
                </pic:pic>
              </a:graphicData>
            </a:graphic>
          </wp:inline>
        </w:drawing>
      </w:r>
    </w:p>
    <w:p w14:paraId="0F2E3700">
      <w:pPr>
        <w:pStyle w:val="32"/>
        <w:jc w:val="center"/>
        <w:rPr>
          <w:color w:val="auto"/>
        </w:rPr>
      </w:pPr>
      <w:r>
        <w:rPr>
          <w:color w:val="auto"/>
        </w:rPr>
        <w:t xml:space="preserve">Fig. 9. Parallel scaling characteristics. (a) Strong-scaling speedup: measured (solid curve), ideal linear (dashed), and Amdahl fit (dotted, serial fraction </w:t>
      </w:r>
      <m:oMath>
        <m:r>
          <m:rPr/>
          <w:rPr>
            <w:color w:val="auto"/>
          </w:rPr>
          <m:t>f=0.002</m:t>
        </m:r>
      </m:oMath>
      <w:r>
        <w:rPr>
          <w:color w:val="auto"/>
        </w:rPr>
        <w:t>). (b) Parallel efficiency as a function of core count, comparing strong scaling (fixed 32 M cells) and weak scaling (62,500 cells per rank).</w:t>
      </w:r>
    </w:p>
    <w:p w14:paraId="20099AB9">
      <w:pPr>
        <w:pStyle w:val="3"/>
        <w:spacing w:before="0" w:after="120"/>
        <w:ind w:firstLine="480" w:firstLineChars="200"/>
        <w:jc w:val="center"/>
        <w:rPr>
          <w:color w:val="auto"/>
        </w:rPr>
      </w:pPr>
      <w:r>
        <w:rPr>
          <w:b/>
          <w:color w:val="auto"/>
        </w:rPr>
        <w:t>Table 10: Strong-scaling data and communication analysis.</w:t>
      </w:r>
    </w:p>
    <w:tbl>
      <w:tblPr>
        <w:tblStyle w:val="28"/>
        <w:tblW w:w="8856" w:type="dxa"/>
        <w:jc w:val="center"/>
        <w:tblLayout w:type="autofit"/>
        <w:tblCellMar>
          <w:top w:w="0" w:type="dxa"/>
          <w:left w:w="108" w:type="dxa"/>
          <w:bottom w:w="0" w:type="dxa"/>
          <w:right w:w="108" w:type="dxa"/>
        </w:tblCellMar>
      </w:tblPr>
      <w:tblGrid>
        <w:gridCol w:w="999"/>
        <w:gridCol w:w="1377"/>
        <w:gridCol w:w="1168"/>
        <w:gridCol w:w="1287"/>
        <w:gridCol w:w="2003"/>
        <w:gridCol w:w="2022"/>
      </w:tblGrid>
      <w:tr w14:paraId="5A8FF0A6">
        <w:tblPrEx>
          <w:tblCellMar>
            <w:top w:w="0" w:type="dxa"/>
            <w:left w:w="108" w:type="dxa"/>
            <w:bottom w:w="0" w:type="dxa"/>
            <w:right w:w="108" w:type="dxa"/>
          </w:tblCellMar>
        </w:tblPrEx>
        <w:trPr>
          <w:trHeight w:val="0" w:hRule="atLeast"/>
          <w:tblHeader/>
          <w:jc w:val="center"/>
        </w:trPr>
        <w:tc>
          <w:tcPr>
            <w:tcW w:w="999" w:type="dxa"/>
            <w:tcBorders>
              <w:bottom w:val="single" w:color="auto" w:sz="0" w:space="0"/>
            </w:tcBorders>
            <w:vAlign w:val="center"/>
          </w:tcPr>
          <w:p w14:paraId="7B8DEFFE">
            <w:pPr>
              <w:pStyle w:val="24"/>
              <w:snapToGrid w:val="0"/>
              <w:ind w:left="0" w:leftChars="0" w:right="0" w:rightChars="0" w:firstLine="0" w:firstLineChars="0"/>
              <w:jc w:val="center"/>
              <w:rPr>
                <w:b/>
                <w:color w:val="auto"/>
              </w:rPr>
            </w:pPr>
            <w:r>
              <w:rPr>
                <w:b/>
                <w:color w:val="auto"/>
              </w:rPr>
              <w:t>Cores</w:t>
            </w:r>
          </w:p>
        </w:tc>
        <w:tc>
          <w:tcPr>
            <w:tcW w:w="0" w:type="auto"/>
            <w:tcBorders>
              <w:bottom w:val="single" w:color="auto" w:sz="0" w:space="0"/>
            </w:tcBorders>
            <w:vAlign w:val="center"/>
          </w:tcPr>
          <w:p w14:paraId="203B83B7">
            <w:pPr>
              <w:pStyle w:val="24"/>
              <w:snapToGrid w:val="0"/>
              <w:ind w:left="0" w:leftChars="0" w:right="0" w:rightChars="0" w:firstLine="0" w:firstLineChars="0"/>
              <w:jc w:val="center"/>
              <w:rPr>
                <w:b/>
                <w:color w:val="auto"/>
              </w:rPr>
            </w:pPr>
            <w:r>
              <w:rPr>
                <w:b/>
                <w:color w:val="auto"/>
              </w:rPr>
              <w:t xml:space="preserve">Wall Time </w:t>
            </w:r>
          </w:p>
          <w:p w14:paraId="11144D52">
            <w:pPr>
              <w:pStyle w:val="24"/>
              <w:snapToGrid w:val="0"/>
              <w:ind w:left="0" w:leftChars="0" w:right="0" w:rightChars="0" w:firstLine="0" w:firstLineChars="0"/>
              <w:jc w:val="center"/>
              <w:rPr>
                <w:b/>
                <w:color w:val="auto"/>
              </w:rPr>
            </w:pPr>
            <w:r>
              <w:rPr>
                <w:b/>
                <w:color w:val="auto"/>
              </w:rPr>
              <w:t>(s)</w:t>
            </w:r>
          </w:p>
        </w:tc>
        <w:tc>
          <w:tcPr>
            <w:tcW w:w="0" w:type="auto"/>
            <w:tcBorders>
              <w:bottom w:val="single" w:color="auto" w:sz="0" w:space="0"/>
            </w:tcBorders>
            <w:vAlign w:val="center"/>
          </w:tcPr>
          <w:p w14:paraId="408BCE06">
            <w:pPr>
              <w:pStyle w:val="24"/>
              <w:snapToGrid w:val="0"/>
              <w:ind w:left="0" w:leftChars="0" w:right="0" w:rightChars="0" w:firstLine="0" w:firstLineChars="0"/>
              <w:jc w:val="center"/>
              <w:rPr>
                <w:b/>
                <w:color w:val="auto"/>
              </w:rPr>
            </w:pPr>
            <w:r>
              <w:rPr>
                <w:b/>
                <w:color w:val="auto"/>
              </w:rPr>
              <w:t>Speedup</w:t>
            </w:r>
          </w:p>
        </w:tc>
        <w:tc>
          <w:tcPr>
            <w:tcW w:w="0" w:type="auto"/>
            <w:tcBorders>
              <w:bottom w:val="single" w:color="auto" w:sz="0" w:space="0"/>
            </w:tcBorders>
            <w:vAlign w:val="center"/>
          </w:tcPr>
          <w:p w14:paraId="2EABF478">
            <w:pPr>
              <w:pStyle w:val="24"/>
              <w:snapToGrid w:val="0"/>
              <w:ind w:left="0" w:leftChars="0" w:right="0" w:rightChars="0" w:firstLine="0" w:firstLineChars="0"/>
              <w:jc w:val="center"/>
              <w:rPr>
                <w:b/>
                <w:color w:val="auto"/>
              </w:rPr>
            </w:pPr>
            <w:r>
              <w:rPr>
                <w:b/>
                <w:color w:val="auto"/>
              </w:rPr>
              <w:t>Efficiency</w:t>
            </w:r>
          </w:p>
        </w:tc>
        <w:tc>
          <w:tcPr>
            <w:tcW w:w="2003" w:type="dxa"/>
            <w:tcBorders>
              <w:bottom w:val="single" w:color="auto" w:sz="0" w:space="0"/>
            </w:tcBorders>
            <w:vAlign w:val="center"/>
          </w:tcPr>
          <w:p w14:paraId="36380112">
            <w:pPr>
              <w:pStyle w:val="24"/>
              <w:snapToGrid w:val="0"/>
              <w:ind w:left="0" w:leftChars="0" w:right="0" w:rightChars="0" w:firstLine="0" w:firstLineChars="0"/>
              <w:jc w:val="center"/>
              <w:rPr>
                <w:b/>
                <w:color w:val="auto"/>
              </w:rPr>
            </w:pPr>
            <w:r>
              <w:rPr>
                <w:b/>
                <w:color w:val="auto"/>
              </w:rPr>
              <w:t>Communication Fraction</w:t>
            </w:r>
          </w:p>
        </w:tc>
        <w:tc>
          <w:tcPr>
            <w:tcW w:w="2022" w:type="dxa"/>
            <w:tcBorders>
              <w:bottom w:val="single" w:color="auto" w:sz="0" w:space="0"/>
            </w:tcBorders>
            <w:vAlign w:val="center"/>
          </w:tcPr>
          <w:p w14:paraId="1B57AC9F">
            <w:pPr>
              <w:pStyle w:val="24"/>
              <w:snapToGrid w:val="0"/>
              <w:ind w:left="0" w:leftChars="0" w:right="0" w:rightChars="0" w:firstLine="0" w:firstLineChars="0"/>
              <w:jc w:val="center"/>
              <w:rPr>
                <w:b/>
                <w:color w:val="auto"/>
              </w:rPr>
            </w:pPr>
            <w:r>
              <w:rPr>
                <w:b/>
                <w:color w:val="auto"/>
              </w:rPr>
              <w:t>Load Imbalance</w:t>
            </w:r>
          </w:p>
        </w:tc>
      </w:tr>
      <w:tr w14:paraId="6CF9D590">
        <w:tblPrEx>
          <w:tblCellMar>
            <w:top w:w="0" w:type="dxa"/>
            <w:left w:w="108" w:type="dxa"/>
            <w:bottom w:w="0" w:type="dxa"/>
            <w:right w:w="108" w:type="dxa"/>
          </w:tblCellMar>
        </w:tblPrEx>
        <w:trPr>
          <w:trHeight w:val="0" w:hRule="atLeast"/>
          <w:jc w:val="center"/>
        </w:trPr>
        <w:tc>
          <w:tcPr>
            <w:tcW w:w="999" w:type="dxa"/>
            <w:vAlign w:val="center"/>
          </w:tcPr>
          <w:p w14:paraId="12D666B4">
            <w:pPr>
              <w:pStyle w:val="24"/>
              <w:snapToGrid w:val="0"/>
              <w:ind w:left="0" w:leftChars="0" w:right="0" w:rightChars="0" w:firstLine="0" w:firstLineChars="0"/>
              <w:jc w:val="center"/>
              <w:rPr>
                <w:color w:val="auto"/>
              </w:rPr>
            </w:pPr>
            <w:r>
              <w:rPr>
                <w:color w:val="auto"/>
              </w:rPr>
              <w:t>64</w:t>
            </w:r>
          </w:p>
        </w:tc>
        <w:tc>
          <w:tcPr>
            <w:tcW w:w="0" w:type="auto"/>
            <w:vAlign w:val="center"/>
          </w:tcPr>
          <w:p w14:paraId="58C5F829">
            <w:pPr>
              <w:pStyle w:val="24"/>
              <w:snapToGrid w:val="0"/>
              <w:ind w:left="0" w:leftChars="0" w:right="0" w:rightChars="0" w:firstLine="0" w:firstLineChars="0"/>
              <w:jc w:val="center"/>
              <w:rPr>
                <w:color w:val="auto"/>
              </w:rPr>
            </w:pPr>
            <w:r>
              <w:rPr>
                <w:color w:val="auto"/>
              </w:rPr>
              <w:t>4 820</w:t>
            </w:r>
          </w:p>
        </w:tc>
        <w:tc>
          <w:tcPr>
            <w:tcW w:w="0" w:type="auto"/>
            <w:vAlign w:val="center"/>
          </w:tcPr>
          <w:p w14:paraId="7B456BA4">
            <w:pPr>
              <w:pStyle w:val="24"/>
              <w:snapToGrid w:val="0"/>
              <w:ind w:left="0" w:leftChars="0" w:right="0" w:rightChars="0" w:firstLine="0" w:firstLineChars="0"/>
              <w:jc w:val="right"/>
              <w:rPr>
                <w:color w:val="auto"/>
              </w:rPr>
            </w:pPr>
            <w:r>
              <w:rPr>
                <w:color w:val="auto"/>
              </w:rPr>
              <w:t>1.00</w:t>
            </w:r>
          </w:p>
        </w:tc>
        <w:tc>
          <w:tcPr>
            <w:tcW w:w="0" w:type="auto"/>
            <w:vAlign w:val="center"/>
          </w:tcPr>
          <w:p w14:paraId="55AF6E6C">
            <w:pPr>
              <w:pStyle w:val="24"/>
              <w:snapToGrid w:val="0"/>
              <w:ind w:left="0" w:leftChars="0" w:right="0" w:rightChars="0" w:firstLine="0" w:firstLineChars="0"/>
              <w:jc w:val="right"/>
              <w:rPr>
                <w:color w:val="auto"/>
              </w:rPr>
            </w:pPr>
            <w:r>
              <w:rPr>
                <w:color w:val="auto"/>
              </w:rPr>
              <w:t>100%</w:t>
            </w:r>
          </w:p>
        </w:tc>
        <w:tc>
          <w:tcPr>
            <w:tcW w:w="2003" w:type="dxa"/>
            <w:vAlign w:val="center"/>
          </w:tcPr>
          <w:p w14:paraId="7B7565E9">
            <w:pPr>
              <w:pStyle w:val="24"/>
              <w:snapToGrid w:val="0"/>
              <w:ind w:left="0" w:leftChars="0" w:right="0" w:rightChars="0" w:firstLine="0" w:firstLineChars="0"/>
              <w:jc w:val="right"/>
              <w:rPr>
                <w:color w:val="auto"/>
              </w:rPr>
            </w:pPr>
            <w:r>
              <w:rPr>
                <w:color w:val="auto"/>
              </w:rPr>
              <w:t>4.2%</w:t>
            </w:r>
          </w:p>
        </w:tc>
        <w:tc>
          <w:tcPr>
            <w:tcW w:w="2022" w:type="dxa"/>
            <w:vAlign w:val="center"/>
          </w:tcPr>
          <w:p w14:paraId="3EF3EC39">
            <w:pPr>
              <w:pStyle w:val="24"/>
              <w:snapToGrid w:val="0"/>
              <w:ind w:left="0" w:leftChars="0" w:right="0" w:rightChars="0" w:firstLine="0" w:firstLineChars="0"/>
              <w:jc w:val="right"/>
              <w:rPr>
                <w:color w:val="auto"/>
              </w:rPr>
            </w:pPr>
            <w:r>
              <w:rPr>
                <w:color w:val="auto"/>
              </w:rPr>
              <w:t>5.1%</w:t>
            </w:r>
          </w:p>
        </w:tc>
      </w:tr>
      <w:tr w14:paraId="497173AA">
        <w:tblPrEx>
          <w:tblCellMar>
            <w:top w:w="0" w:type="dxa"/>
            <w:left w:w="108" w:type="dxa"/>
            <w:bottom w:w="0" w:type="dxa"/>
            <w:right w:w="108" w:type="dxa"/>
          </w:tblCellMar>
        </w:tblPrEx>
        <w:trPr>
          <w:trHeight w:val="0" w:hRule="atLeast"/>
          <w:jc w:val="center"/>
        </w:trPr>
        <w:tc>
          <w:tcPr>
            <w:tcW w:w="999" w:type="dxa"/>
            <w:vAlign w:val="center"/>
          </w:tcPr>
          <w:p w14:paraId="6B5A1009">
            <w:pPr>
              <w:pStyle w:val="24"/>
              <w:snapToGrid w:val="0"/>
              <w:ind w:left="0" w:leftChars="0" w:right="0" w:rightChars="0" w:firstLine="0" w:firstLineChars="0"/>
              <w:jc w:val="center"/>
              <w:rPr>
                <w:color w:val="auto"/>
              </w:rPr>
            </w:pPr>
            <w:r>
              <w:rPr>
                <w:color w:val="auto"/>
              </w:rPr>
              <w:t>128</w:t>
            </w:r>
          </w:p>
        </w:tc>
        <w:tc>
          <w:tcPr>
            <w:tcW w:w="0" w:type="auto"/>
            <w:vAlign w:val="center"/>
          </w:tcPr>
          <w:p w14:paraId="3E5E1E9F">
            <w:pPr>
              <w:pStyle w:val="24"/>
              <w:snapToGrid w:val="0"/>
              <w:ind w:left="0" w:leftChars="0" w:right="0" w:rightChars="0" w:firstLine="0" w:firstLineChars="0"/>
              <w:jc w:val="center"/>
              <w:rPr>
                <w:color w:val="auto"/>
              </w:rPr>
            </w:pPr>
            <w:r>
              <w:rPr>
                <w:color w:val="auto"/>
              </w:rPr>
              <w:t>2 470</w:t>
            </w:r>
          </w:p>
        </w:tc>
        <w:tc>
          <w:tcPr>
            <w:tcW w:w="0" w:type="auto"/>
            <w:vAlign w:val="center"/>
          </w:tcPr>
          <w:p w14:paraId="77F1027C">
            <w:pPr>
              <w:pStyle w:val="24"/>
              <w:snapToGrid w:val="0"/>
              <w:ind w:left="0" w:leftChars="0" w:right="0" w:rightChars="0" w:firstLine="0" w:firstLineChars="0"/>
              <w:jc w:val="right"/>
              <w:rPr>
                <w:color w:val="auto"/>
              </w:rPr>
            </w:pPr>
            <w:r>
              <w:rPr>
                <w:color w:val="auto"/>
              </w:rPr>
              <w:t>1.95</w:t>
            </w:r>
          </w:p>
        </w:tc>
        <w:tc>
          <w:tcPr>
            <w:tcW w:w="0" w:type="auto"/>
            <w:vAlign w:val="center"/>
          </w:tcPr>
          <w:p w14:paraId="5B8B9E61">
            <w:pPr>
              <w:pStyle w:val="24"/>
              <w:snapToGrid w:val="0"/>
              <w:ind w:left="0" w:leftChars="0" w:right="0" w:rightChars="0" w:firstLine="0" w:firstLineChars="0"/>
              <w:jc w:val="right"/>
              <w:rPr>
                <w:color w:val="auto"/>
              </w:rPr>
            </w:pPr>
            <w:r>
              <w:rPr>
                <w:color w:val="auto"/>
              </w:rPr>
              <w:t>96.2%</w:t>
            </w:r>
          </w:p>
        </w:tc>
        <w:tc>
          <w:tcPr>
            <w:tcW w:w="2003" w:type="dxa"/>
            <w:vAlign w:val="center"/>
          </w:tcPr>
          <w:p w14:paraId="23357394">
            <w:pPr>
              <w:pStyle w:val="24"/>
              <w:snapToGrid w:val="0"/>
              <w:ind w:left="0" w:leftChars="0" w:right="0" w:rightChars="0" w:firstLine="0" w:firstLineChars="0"/>
              <w:jc w:val="right"/>
              <w:rPr>
                <w:color w:val="auto"/>
              </w:rPr>
            </w:pPr>
            <w:r>
              <w:rPr>
                <w:color w:val="auto"/>
              </w:rPr>
              <w:t>6.1%</w:t>
            </w:r>
          </w:p>
        </w:tc>
        <w:tc>
          <w:tcPr>
            <w:tcW w:w="2022" w:type="dxa"/>
            <w:vAlign w:val="center"/>
          </w:tcPr>
          <w:p w14:paraId="0EC1CD80">
            <w:pPr>
              <w:pStyle w:val="24"/>
              <w:snapToGrid w:val="0"/>
              <w:ind w:left="0" w:leftChars="0" w:right="0" w:rightChars="0" w:firstLine="0" w:firstLineChars="0"/>
              <w:jc w:val="right"/>
              <w:rPr>
                <w:color w:val="auto"/>
              </w:rPr>
            </w:pPr>
            <w:r>
              <w:rPr>
                <w:color w:val="auto"/>
              </w:rPr>
              <w:t>4.3%</w:t>
            </w:r>
          </w:p>
        </w:tc>
      </w:tr>
      <w:tr w14:paraId="40A32EF7">
        <w:tblPrEx>
          <w:tblCellMar>
            <w:top w:w="0" w:type="dxa"/>
            <w:left w:w="108" w:type="dxa"/>
            <w:bottom w:w="0" w:type="dxa"/>
            <w:right w:w="108" w:type="dxa"/>
          </w:tblCellMar>
        </w:tblPrEx>
        <w:trPr>
          <w:trHeight w:val="0" w:hRule="atLeast"/>
          <w:jc w:val="center"/>
        </w:trPr>
        <w:tc>
          <w:tcPr>
            <w:tcW w:w="999" w:type="dxa"/>
            <w:vAlign w:val="center"/>
          </w:tcPr>
          <w:p w14:paraId="5145505C">
            <w:pPr>
              <w:pStyle w:val="24"/>
              <w:snapToGrid w:val="0"/>
              <w:ind w:left="0" w:leftChars="0" w:right="0" w:rightChars="0" w:firstLine="0" w:firstLineChars="0"/>
              <w:jc w:val="center"/>
              <w:rPr>
                <w:color w:val="auto"/>
              </w:rPr>
            </w:pPr>
            <w:r>
              <w:rPr>
                <w:color w:val="auto"/>
              </w:rPr>
              <w:t>256</w:t>
            </w:r>
          </w:p>
        </w:tc>
        <w:tc>
          <w:tcPr>
            <w:tcW w:w="0" w:type="auto"/>
            <w:vAlign w:val="center"/>
          </w:tcPr>
          <w:p w14:paraId="6A2346A8">
            <w:pPr>
              <w:pStyle w:val="24"/>
              <w:snapToGrid w:val="0"/>
              <w:ind w:left="0" w:leftChars="0" w:right="0" w:rightChars="0" w:firstLine="0" w:firstLineChars="0"/>
              <w:jc w:val="center"/>
              <w:rPr>
                <w:color w:val="auto"/>
              </w:rPr>
            </w:pPr>
            <w:r>
              <w:rPr>
                <w:color w:val="auto"/>
              </w:rPr>
              <w:t>1 330</w:t>
            </w:r>
          </w:p>
        </w:tc>
        <w:tc>
          <w:tcPr>
            <w:tcW w:w="0" w:type="auto"/>
            <w:vAlign w:val="center"/>
          </w:tcPr>
          <w:p w14:paraId="2365CC3A">
            <w:pPr>
              <w:pStyle w:val="24"/>
              <w:snapToGrid w:val="0"/>
              <w:ind w:left="0" w:leftChars="0" w:right="0" w:rightChars="0" w:firstLine="0" w:firstLineChars="0"/>
              <w:jc w:val="right"/>
              <w:rPr>
                <w:color w:val="auto"/>
              </w:rPr>
            </w:pPr>
            <w:r>
              <w:rPr>
                <w:color w:val="auto"/>
              </w:rPr>
              <w:t>3.62</w:t>
            </w:r>
          </w:p>
        </w:tc>
        <w:tc>
          <w:tcPr>
            <w:tcW w:w="0" w:type="auto"/>
            <w:vAlign w:val="center"/>
          </w:tcPr>
          <w:p w14:paraId="22D65DAF">
            <w:pPr>
              <w:pStyle w:val="24"/>
              <w:snapToGrid w:val="0"/>
              <w:ind w:left="0" w:leftChars="0" w:right="0" w:rightChars="0" w:firstLine="0" w:firstLineChars="0"/>
              <w:jc w:val="right"/>
              <w:rPr>
                <w:color w:val="auto"/>
              </w:rPr>
            </w:pPr>
            <w:r>
              <w:rPr>
                <w:color w:val="auto"/>
              </w:rPr>
              <w:t>90.1%</w:t>
            </w:r>
          </w:p>
        </w:tc>
        <w:tc>
          <w:tcPr>
            <w:tcW w:w="2003" w:type="dxa"/>
            <w:vAlign w:val="center"/>
          </w:tcPr>
          <w:p w14:paraId="41F73777">
            <w:pPr>
              <w:pStyle w:val="24"/>
              <w:snapToGrid w:val="0"/>
              <w:ind w:left="0" w:leftChars="0" w:right="0" w:rightChars="0" w:firstLine="0" w:firstLineChars="0"/>
              <w:jc w:val="right"/>
              <w:rPr>
                <w:color w:val="auto"/>
              </w:rPr>
            </w:pPr>
            <w:r>
              <w:rPr>
                <w:color w:val="auto"/>
              </w:rPr>
              <w:t>8.3%</w:t>
            </w:r>
          </w:p>
        </w:tc>
        <w:tc>
          <w:tcPr>
            <w:tcW w:w="2022" w:type="dxa"/>
            <w:vAlign w:val="center"/>
          </w:tcPr>
          <w:p w14:paraId="17B5FFA0">
            <w:pPr>
              <w:pStyle w:val="24"/>
              <w:snapToGrid w:val="0"/>
              <w:ind w:left="0" w:leftChars="0" w:right="0" w:rightChars="0" w:firstLine="0" w:firstLineChars="0"/>
              <w:jc w:val="right"/>
              <w:rPr>
                <w:color w:val="auto"/>
              </w:rPr>
            </w:pPr>
            <w:r>
              <w:rPr>
                <w:color w:val="auto"/>
              </w:rPr>
              <w:t>3.8%</w:t>
            </w:r>
          </w:p>
        </w:tc>
      </w:tr>
      <w:tr w14:paraId="0940A3B2">
        <w:tblPrEx>
          <w:tblCellMar>
            <w:top w:w="0" w:type="dxa"/>
            <w:left w:w="108" w:type="dxa"/>
            <w:bottom w:w="0" w:type="dxa"/>
            <w:right w:w="108" w:type="dxa"/>
          </w:tblCellMar>
        </w:tblPrEx>
        <w:trPr>
          <w:trHeight w:val="0" w:hRule="atLeast"/>
          <w:jc w:val="center"/>
        </w:trPr>
        <w:tc>
          <w:tcPr>
            <w:tcW w:w="999" w:type="dxa"/>
            <w:vAlign w:val="center"/>
          </w:tcPr>
          <w:p w14:paraId="6A31850B">
            <w:pPr>
              <w:pStyle w:val="24"/>
              <w:snapToGrid w:val="0"/>
              <w:ind w:left="0" w:leftChars="0" w:right="0" w:rightChars="0" w:firstLine="0" w:firstLineChars="0"/>
              <w:jc w:val="center"/>
              <w:rPr>
                <w:color w:val="auto"/>
              </w:rPr>
            </w:pPr>
            <w:r>
              <w:rPr>
                <w:color w:val="auto"/>
              </w:rPr>
              <w:t>512</w:t>
            </w:r>
          </w:p>
        </w:tc>
        <w:tc>
          <w:tcPr>
            <w:tcW w:w="0" w:type="auto"/>
            <w:vAlign w:val="center"/>
          </w:tcPr>
          <w:p w14:paraId="0F32E1AB">
            <w:pPr>
              <w:pStyle w:val="24"/>
              <w:snapToGrid w:val="0"/>
              <w:ind w:left="0" w:leftChars="0" w:right="0" w:rightChars="0" w:firstLine="0" w:firstLineChars="0"/>
              <w:jc w:val="center"/>
              <w:rPr>
                <w:color w:val="auto"/>
              </w:rPr>
            </w:pPr>
            <w:r>
              <w:rPr>
                <w:color w:val="auto"/>
              </w:rPr>
              <w:t>730</w:t>
            </w:r>
          </w:p>
        </w:tc>
        <w:tc>
          <w:tcPr>
            <w:tcW w:w="0" w:type="auto"/>
            <w:vAlign w:val="center"/>
          </w:tcPr>
          <w:p w14:paraId="5165D4DA">
            <w:pPr>
              <w:pStyle w:val="24"/>
              <w:snapToGrid w:val="0"/>
              <w:ind w:left="0" w:leftChars="0" w:right="0" w:rightChars="0" w:firstLine="0" w:firstLineChars="0"/>
              <w:jc w:val="right"/>
              <w:rPr>
                <w:color w:val="auto"/>
              </w:rPr>
            </w:pPr>
            <w:r>
              <w:rPr>
                <w:color w:val="auto"/>
              </w:rPr>
              <w:t>6.60</w:t>
            </w:r>
          </w:p>
        </w:tc>
        <w:tc>
          <w:tcPr>
            <w:tcW w:w="0" w:type="auto"/>
            <w:vAlign w:val="center"/>
          </w:tcPr>
          <w:p w14:paraId="09DF8B51">
            <w:pPr>
              <w:pStyle w:val="24"/>
              <w:snapToGrid w:val="0"/>
              <w:ind w:left="0" w:leftChars="0" w:right="0" w:rightChars="0" w:firstLine="0" w:firstLineChars="0"/>
              <w:jc w:val="right"/>
              <w:rPr>
                <w:color w:val="auto"/>
              </w:rPr>
            </w:pPr>
            <w:r>
              <w:rPr>
                <w:color w:val="auto"/>
              </w:rPr>
              <w:t>82.0%</w:t>
            </w:r>
          </w:p>
        </w:tc>
        <w:tc>
          <w:tcPr>
            <w:tcW w:w="2003" w:type="dxa"/>
            <w:vAlign w:val="center"/>
          </w:tcPr>
          <w:p w14:paraId="06A6CEF5">
            <w:pPr>
              <w:pStyle w:val="24"/>
              <w:snapToGrid w:val="0"/>
              <w:ind w:left="0" w:leftChars="0" w:right="0" w:rightChars="0" w:firstLine="0" w:firstLineChars="0"/>
              <w:jc w:val="right"/>
              <w:rPr>
                <w:color w:val="auto"/>
              </w:rPr>
            </w:pPr>
            <w:r>
              <w:rPr>
                <w:color w:val="auto"/>
              </w:rPr>
              <w:t>10.8%</w:t>
            </w:r>
          </w:p>
        </w:tc>
        <w:tc>
          <w:tcPr>
            <w:tcW w:w="2022" w:type="dxa"/>
            <w:vAlign w:val="center"/>
          </w:tcPr>
          <w:p w14:paraId="705C6E3B">
            <w:pPr>
              <w:pStyle w:val="24"/>
              <w:snapToGrid w:val="0"/>
              <w:ind w:left="0" w:leftChars="0" w:right="0" w:rightChars="0" w:firstLine="0" w:firstLineChars="0"/>
              <w:jc w:val="right"/>
              <w:rPr>
                <w:color w:val="auto"/>
              </w:rPr>
            </w:pPr>
            <w:r>
              <w:rPr>
                <w:color w:val="auto"/>
              </w:rPr>
              <w:t>3.2%</w:t>
            </w:r>
          </w:p>
        </w:tc>
      </w:tr>
      <w:tr w14:paraId="6C953616">
        <w:tblPrEx>
          <w:tblCellMar>
            <w:top w:w="0" w:type="dxa"/>
            <w:left w:w="108" w:type="dxa"/>
            <w:bottom w:w="0" w:type="dxa"/>
            <w:right w:w="108" w:type="dxa"/>
          </w:tblCellMar>
        </w:tblPrEx>
        <w:trPr>
          <w:trHeight w:val="0" w:hRule="atLeast"/>
          <w:jc w:val="center"/>
        </w:trPr>
        <w:tc>
          <w:tcPr>
            <w:tcW w:w="999" w:type="dxa"/>
            <w:vAlign w:val="center"/>
          </w:tcPr>
          <w:p w14:paraId="175EE1D8">
            <w:pPr>
              <w:pStyle w:val="24"/>
              <w:snapToGrid w:val="0"/>
              <w:ind w:left="0" w:leftChars="0" w:right="0" w:rightChars="0" w:firstLine="0" w:firstLineChars="0"/>
              <w:jc w:val="center"/>
              <w:rPr>
                <w:color w:val="auto"/>
              </w:rPr>
            </w:pPr>
            <w:r>
              <w:rPr>
                <w:color w:val="auto"/>
              </w:rPr>
              <w:t>1 024</w:t>
            </w:r>
          </w:p>
        </w:tc>
        <w:tc>
          <w:tcPr>
            <w:tcW w:w="1377" w:type="dxa"/>
            <w:vAlign w:val="center"/>
          </w:tcPr>
          <w:p w14:paraId="21939CC5">
            <w:pPr>
              <w:pStyle w:val="24"/>
              <w:snapToGrid w:val="0"/>
              <w:ind w:left="0" w:leftChars="0" w:right="0" w:rightChars="0" w:firstLine="0" w:firstLineChars="0"/>
              <w:jc w:val="center"/>
              <w:rPr>
                <w:color w:val="auto"/>
              </w:rPr>
            </w:pPr>
            <w:r>
              <w:rPr>
                <w:color w:val="auto"/>
              </w:rPr>
              <w:t>425</w:t>
            </w:r>
          </w:p>
        </w:tc>
        <w:tc>
          <w:tcPr>
            <w:tcW w:w="1168" w:type="dxa"/>
            <w:vAlign w:val="center"/>
          </w:tcPr>
          <w:p w14:paraId="5F8E997F">
            <w:pPr>
              <w:pStyle w:val="24"/>
              <w:snapToGrid w:val="0"/>
              <w:ind w:left="0" w:leftChars="0" w:right="0" w:rightChars="0" w:firstLine="0" w:firstLineChars="0"/>
              <w:jc w:val="right"/>
              <w:rPr>
                <w:color w:val="auto"/>
              </w:rPr>
            </w:pPr>
            <w:r>
              <w:rPr>
                <w:color w:val="auto"/>
              </w:rPr>
              <w:t>11.34</w:t>
            </w:r>
          </w:p>
        </w:tc>
        <w:tc>
          <w:tcPr>
            <w:tcW w:w="1287" w:type="dxa"/>
            <w:vAlign w:val="center"/>
          </w:tcPr>
          <w:p w14:paraId="755E8216">
            <w:pPr>
              <w:pStyle w:val="24"/>
              <w:snapToGrid w:val="0"/>
              <w:ind w:left="0" w:leftChars="0" w:right="0" w:rightChars="0" w:firstLine="0" w:firstLineChars="0"/>
              <w:jc w:val="right"/>
              <w:rPr>
                <w:color w:val="auto"/>
              </w:rPr>
            </w:pPr>
            <w:r>
              <w:rPr>
                <w:color w:val="auto"/>
              </w:rPr>
              <w:t>70.8%</w:t>
            </w:r>
          </w:p>
        </w:tc>
        <w:tc>
          <w:tcPr>
            <w:tcW w:w="2003" w:type="dxa"/>
            <w:vAlign w:val="center"/>
          </w:tcPr>
          <w:p w14:paraId="7A38025A">
            <w:pPr>
              <w:pStyle w:val="24"/>
              <w:snapToGrid w:val="0"/>
              <w:ind w:left="0" w:leftChars="0" w:right="0" w:rightChars="0" w:firstLine="0" w:firstLineChars="0"/>
              <w:jc w:val="right"/>
              <w:rPr>
                <w:color w:val="auto"/>
              </w:rPr>
            </w:pPr>
            <w:r>
              <w:rPr>
                <w:color w:val="auto"/>
              </w:rPr>
              <w:t>15.7%</w:t>
            </w:r>
          </w:p>
        </w:tc>
        <w:tc>
          <w:tcPr>
            <w:tcW w:w="2022" w:type="dxa"/>
            <w:vAlign w:val="center"/>
          </w:tcPr>
          <w:p w14:paraId="39278E85">
            <w:pPr>
              <w:pStyle w:val="24"/>
              <w:snapToGrid w:val="0"/>
              <w:ind w:left="0" w:leftChars="0" w:right="0" w:rightChars="0" w:firstLine="0" w:firstLineChars="0"/>
              <w:jc w:val="right"/>
              <w:rPr>
                <w:color w:val="auto"/>
              </w:rPr>
            </w:pPr>
            <w:r>
              <w:rPr>
                <w:color w:val="auto"/>
              </w:rPr>
              <w:t>4.7%</w:t>
            </w:r>
          </w:p>
        </w:tc>
      </w:tr>
    </w:tbl>
    <w:p w14:paraId="23B2B657">
      <w:pPr>
        <w:pStyle w:val="3"/>
        <w:spacing w:before="0" w:after="120"/>
        <w:ind w:firstLine="480" w:firstLineChars="200"/>
        <w:jc w:val="center"/>
        <w:rPr>
          <w:color w:val="auto"/>
        </w:rPr>
      </w:pPr>
      <w:r>
        <w:rPr>
          <w:b/>
          <w:color w:val="auto"/>
        </w:rPr>
        <w:t>Table 11: Weak-scaling data (62,500 cells per rank, 10 Newton steps, averaged).</w:t>
      </w:r>
    </w:p>
    <w:tbl>
      <w:tblPr>
        <w:tblStyle w:val="28"/>
        <w:tblW w:w="10779" w:type="dxa"/>
        <w:jc w:val="center"/>
        <w:tblLayout w:type="autofit"/>
        <w:tblCellMar>
          <w:top w:w="0" w:type="dxa"/>
          <w:left w:w="108" w:type="dxa"/>
          <w:bottom w:w="0" w:type="dxa"/>
          <w:right w:w="108" w:type="dxa"/>
        </w:tblCellMar>
      </w:tblPr>
      <w:tblGrid>
        <w:gridCol w:w="958"/>
        <w:gridCol w:w="1491"/>
        <w:gridCol w:w="3193"/>
        <w:gridCol w:w="2886"/>
        <w:gridCol w:w="2251"/>
      </w:tblGrid>
      <w:tr w14:paraId="4879B02B">
        <w:tblPrEx>
          <w:tblCellMar>
            <w:top w:w="0" w:type="dxa"/>
            <w:left w:w="108" w:type="dxa"/>
            <w:bottom w:w="0" w:type="dxa"/>
            <w:right w:w="108" w:type="dxa"/>
          </w:tblCellMar>
        </w:tblPrEx>
        <w:trPr>
          <w:trHeight w:val="0" w:hRule="atLeast"/>
          <w:tblHeader/>
          <w:jc w:val="center"/>
        </w:trPr>
        <w:tc>
          <w:tcPr>
            <w:tcW w:w="958" w:type="dxa"/>
            <w:tcBorders>
              <w:bottom w:val="single" w:color="auto" w:sz="0" w:space="0"/>
            </w:tcBorders>
            <w:vAlign w:val="center"/>
          </w:tcPr>
          <w:p w14:paraId="22A8BD48">
            <w:pPr>
              <w:pStyle w:val="24"/>
              <w:snapToGrid w:val="0"/>
              <w:ind w:left="0" w:leftChars="0" w:right="0" w:rightChars="0" w:firstLine="0" w:firstLineChars="0"/>
              <w:jc w:val="center"/>
              <w:rPr>
                <w:b/>
                <w:color w:val="auto"/>
              </w:rPr>
            </w:pPr>
            <w:r>
              <w:rPr>
                <w:b/>
                <w:color w:val="auto"/>
              </w:rPr>
              <w:t>Cores</w:t>
            </w:r>
          </w:p>
        </w:tc>
        <w:tc>
          <w:tcPr>
            <w:tcW w:w="1491" w:type="dxa"/>
            <w:tcBorders>
              <w:bottom w:val="single" w:color="auto" w:sz="0" w:space="0"/>
            </w:tcBorders>
            <w:vAlign w:val="center"/>
          </w:tcPr>
          <w:p w14:paraId="4CB0BAC1">
            <w:pPr>
              <w:pStyle w:val="24"/>
              <w:snapToGrid w:val="0"/>
              <w:ind w:left="0" w:leftChars="0" w:right="0" w:rightChars="0" w:firstLine="0" w:firstLineChars="0"/>
              <w:jc w:val="center"/>
              <w:rPr>
                <w:b/>
                <w:color w:val="auto"/>
              </w:rPr>
            </w:pPr>
            <w:r>
              <w:rPr>
                <w:b/>
                <w:color w:val="auto"/>
              </w:rPr>
              <w:t>Total Cells</w:t>
            </w:r>
          </w:p>
        </w:tc>
        <w:tc>
          <w:tcPr>
            <w:tcW w:w="0" w:type="auto"/>
            <w:tcBorders>
              <w:bottom w:val="single" w:color="auto" w:sz="0" w:space="0"/>
            </w:tcBorders>
            <w:vAlign w:val="center"/>
          </w:tcPr>
          <w:p w14:paraId="5E991E0F">
            <w:pPr>
              <w:pStyle w:val="24"/>
              <w:snapToGrid w:val="0"/>
              <w:ind w:left="0" w:leftChars="0" w:right="0" w:rightChars="0" w:firstLine="0" w:firstLineChars="0"/>
              <w:jc w:val="center"/>
              <w:rPr>
                <w:b/>
                <w:color w:val="auto"/>
              </w:rPr>
            </w:pPr>
            <w:r>
              <w:rPr>
                <w:b/>
                <w:color w:val="auto"/>
              </w:rPr>
              <w:t xml:space="preserve">Wall Time per Newton Step </w:t>
            </w:r>
          </w:p>
          <w:p w14:paraId="4D7CC353">
            <w:pPr>
              <w:pStyle w:val="24"/>
              <w:snapToGrid w:val="0"/>
              <w:ind w:left="0" w:leftChars="0" w:right="0" w:rightChars="0" w:firstLine="0" w:firstLineChars="0"/>
              <w:jc w:val="center"/>
              <w:rPr>
                <w:b/>
                <w:color w:val="auto"/>
              </w:rPr>
            </w:pPr>
            <w:r>
              <w:rPr>
                <w:b/>
                <w:color w:val="auto"/>
              </w:rPr>
              <w:t>(s)</w:t>
            </w:r>
          </w:p>
        </w:tc>
        <w:tc>
          <w:tcPr>
            <w:tcW w:w="0" w:type="auto"/>
            <w:tcBorders>
              <w:bottom w:val="single" w:color="auto" w:sz="0" w:space="0"/>
            </w:tcBorders>
            <w:vAlign w:val="center"/>
          </w:tcPr>
          <w:p w14:paraId="7B136F53">
            <w:pPr>
              <w:pStyle w:val="24"/>
              <w:snapToGrid w:val="0"/>
              <w:ind w:left="0" w:leftChars="0" w:right="0" w:rightChars="0" w:firstLine="0" w:firstLineChars="0"/>
              <w:jc w:val="center"/>
              <w:rPr>
                <w:b/>
                <w:color w:val="auto"/>
              </w:rPr>
            </w:pPr>
            <w:r>
              <w:rPr>
                <w:b/>
                <w:color w:val="auto"/>
              </w:rPr>
              <w:t>Weak-Scaling Efficiency</w:t>
            </w:r>
          </w:p>
        </w:tc>
        <w:tc>
          <w:tcPr>
            <w:tcW w:w="2251" w:type="dxa"/>
            <w:tcBorders>
              <w:bottom w:val="single" w:color="auto" w:sz="0" w:space="0"/>
            </w:tcBorders>
            <w:vAlign w:val="center"/>
          </w:tcPr>
          <w:p w14:paraId="0F0B0F8F">
            <w:pPr>
              <w:pStyle w:val="24"/>
              <w:snapToGrid w:val="0"/>
              <w:ind w:left="0" w:leftChars="0" w:right="0" w:rightChars="0" w:firstLine="0" w:firstLineChars="0"/>
              <w:jc w:val="center"/>
              <w:rPr>
                <w:b/>
                <w:color w:val="auto"/>
              </w:rPr>
            </w:pPr>
            <w:r>
              <w:rPr>
                <w:b/>
                <w:color w:val="auto"/>
              </w:rPr>
              <w:t>GMRES Iterations</w:t>
            </w:r>
          </w:p>
        </w:tc>
      </w:tr>
      <w:tr w14:paraId="25035961">
        <w:tblPrEx>
          <w:tblCellMar>
            <w:top w:w="0" w:type="dxa"/>
            <w:left w:w="108" w:type="dxa"/>
            <w:bottom w:w="0" w:type="dxa"/>
            <w:right w:w="108" w:type="dxa"/>
          </w:tblCellMar>
        </w:tblPrEx>
        <w:trPr>
          <w:trHeight w:val="0" w:hRule="atLeast"/>
          <w:jc w:val="center"/>
        </w:trPr>
        <w:tc>
          <w:tcPr>
            <w:tcW w:w="958" w:type="dxa"/>
            <w:vAlign w:val="center"/>
          </w:tcPr>
          <w:p w14:paraId="33B45110">
            <w:pPr>
              <w:pStyle w:val="24"/>
              <w:snapToGrid w:val="0"/>
              <w:ind w:left="0" w:leftChars="0" w:right="0" w:rightChars="0" w:firstLine="0" w:firstLineChars="0"/>
              <w:jc w:val="center"/>
              <w:rPr>
                <w:color w:val="auto"/>
              </w:rPr>
            </w:pPr>
            <w:r>
              <w:rPr>
                <w:color w:val="auto"/>
              </w:rPr>
              <w:t>64</w:t>
            </w:r>
          </w:p>
        </w:tc>
        <w:tc>
          <w:tcPr>
            <w:tcW w:w="1491" w:type="dxa"/>
            <w:vAlign w:val="center"/>
          </w:tcPr>
          <w:p w14:paraId="53A73EBD">
            <w:pPr>
              <w:pStyle w:val="24"/>
              <w:snapToGrid w:val="0"/>
              <w:ind w:left="0" w:leftChars="0" w:right="0" w:rightChars="0" w:firstLine="0" w:firstLineChars="0"/>
              <w:jc w:val="center"/>
              <w:rPr>
                <w:color w:val="auto"/>
              </w:rPr>
            </w:pPr>
            <w:r>
              <w:rPr>
                <w:color w:val="auto"/>
              </w:rPr>
              <w:t>4.0 M</w:t>
            </w:r>
          </w:p>
        </w:tc>
        <w:tc>
          <w:tcPr>
            <w:tcW w:w="0" w:type="auto"/>
            <w:vAlign w:val="center"/>
          </w:tcPr>
          <w:p w14:paraId="521E3B60">
            <w:pPr>
              <w:pStyle w:val="24"/>
              <w:snapToGrid w:val="0"/>
              <w:ind w:left="0" w:leftChars="0" w:right="0" w:rightChars="0" w:firstLine="0" w:firstLineChars="0"/>
              <w:jc w:val="center"/>
              <w:rPr>
                <w:color w:val="auto"/>
              </w:rPr>
            </w:pPr>
            <w:r>
              <w:rPr>
                <w:color w:val="auto"/>
              </w:rPr>
              <w:t>126</w:t>
            </w:r>
          </w:p>
        </w:tc>
        <w:tc>
          <w:tcPr>
            <w:tcW w:w="0" w:type="auto"/>
            <w:vAlign w:val="center"/>
          </w:tcPr>
          <w:p w14:paraId="27AD903B">
            <w:pPr>
              <w:pStyle w:val="24"/>
              <w:snapToGrid w:val="0"/>
              <w:ind w:left="0" w:leftChars="0" w:right="0" w:rightChars="0" w:firstLine="0" w:firstLineChars="0"/>
              <w:jc w:val="center"/>
              <w:rPr>
                <w:color w:val="auto"/>
              </w:rPr>
            </w:pPr>
            <w:r>
              <w:rPr>
                <w:color w:val="auto"/>
              </w:rPr>
              <w:t>100% (baseline)</w:t>
            </w:r>
          </w:p>
        </w:tc>
        <w:tc>
          <w:tcPr>
            <w:tcW w:w="2251" w:type="dxa"/>
            <w:vAlign w:val="center"/>
          </w:tcPr>
          <w:p w14:paraId="3E133B1D">
            <w:pPr>
              <w:pStyle w:val="24"/>
              <w:snapToGrid w:val="0"/>
              <w:ind w:left="0" w:leftChars="0" w:right="0" w:rightChars="0" w:firstLine="0" w:firstLineChars="0"/>
              <w:jc w:val="center"/>
              <w:rPr>
                <w:color w:val="auto"/>
              </w:rPr>
            </w:pPr>
            <w:r>
              <w:rPr>
                <w:color w:val="auto"/>
              </w:rPr>
              <w:t>22</w:t>
            </w:r>
          </w:p>
        </w:tc>
      </w:tr>
      <w:tr w14:paraId="77EA5FF4">
        <w:tblPrEx>
          <w:tblCellMar>
            <w:top w:w="0" w:type="dxa"/>
            <w:left w:w="108" w:type="dxa"/>
            <w:bottom w:w="0" w:type="dxa"/>
            <w:right w:w="108" w:type="dxa"/>
          </w:tblCellMar>
        </w:tblPrEx>
        <w:trPr>
          <w:trHeight w:val="0" w:hRule="atLeast"/>
          <w:jc w:val="center"/>
        </w:trPr>
        <w:tc>
          <w:tcPr>
            <w:tcW w:w="958" w:type="dxa"/>
            <w:vAlign w:val="center"/>
          </w:tcPr>
          <w:p w14:paraId="4BB95514">
            <w:pPr>
              <w:pStyle w:val="24"/>
              <w:snapToGrid w:val="0"/>
              <w:ind w:left="0" w:leftChars="0" w:right="0" w:rightChars="0" w:firstLine="0" w:firstLineChars="0"/>
              <w:jc w:val="center"/>
              <w:rPr>
                <w:color w:val="auto"/>
              </w:rPr>
            </w:pPr>
            <w:r>
              <w:rPr>
                <w:color w:val="auto"/>
              </w:rPr>
              <w:t>128</w:t>
            </w:r>
          </w:p>
        </w:tc>
        <w:tc>
          <w:tcPr>
            <w:tcW w:w="1491" w:type="dxa"/>
            <w:vAlign w:val="center"/>
          </w:tcPr>
          <w:p w14:paraId="6552FFD8">
            <w:pPr>
              <w:pStyle w:val="24"/>
              <w:snapToGrid w:val="0"/>
              <w:ind w:left="0" w:leftChars="0" w:right="0" w:rightChars="0" w:firstLine="0" w:firstLineChars="0"/>
              <w:jc w:val="center"/>
              <w:rPr>
                <w:color w:val="auto"/>
              </w:rPr>
            </w:pPr>
            <w:r>
              <w:rPr>
                <w:color w:val="auto"/>
              </w:rPr>
              <w:t>8.0 M</w:t>
            </w:r>
          </w:p>
        </w:tc>
        <w:tc>
          <w:tcPr>
            <w:tcW w:w="0" w:type="auto"/>
            <w:vAlign w:val="center"/>
          </w:tcPr>
          <w:p w14:paraId="7FF9347A">
            <w:pPr>
              <w:pStyle w:val="24"/>
              <w:snapToGrid w:val="0"/>
              <w:ind w:left="0" w:leftChars="0" w:right="0" w:rightChars="0" w:firstLine="0" w:firstLineChars="0"/>
              <w:jc w:val="center"/>
              <w:rPr>
                <w:color w:val="auto"/>
              </w:rPr>
            </w:pPr>
            <w:r>
              <w:rPr>
                <w:color w:val="auto"/>
              </w:rPr>
              <w:t>129</w:t>
            </w:r>
          </w:p>
        </w:tc>
        <w:tc>
          <w:tcPr>
            <w:tcW w:w="0" w:type="auto"/>
            <w:vAlign w:val="center"/>
          </w:tcPr>
          <w:p w14:paraId="699ABD47">
            <w:pPr>
              <w:pStyle w:val="24"/>
              <w:snapToGrid w:val="0"/>
              <w:ind w:left="0" w:leftChars="0" w:right="0" w:rightChars="0" w:firstLine="0" w:firstLineChars="0"/>
              <w:jc w:val="center"/>
              <w:rPr>
                <w:color w:val="auto"/>
              </w:rPr>
            </w:pPr>
            <w:r>
              <w:rPr>
                <w:color w:val="auto"/>
              </w:rPr>
              <w:t>97.7%</w:t>
            </w:r>
          </w:p>
        </w:tc>
        <w:tc>
          <w:tcPr>
            <w:tcW w:w="2251" w:type="dxa"/>
            <w:vAlign w:val="center"/>
          </w:tcPr>
          <w:p w14:paraId="476FBDCE">
            <w:pPr>
              <w:pStyle w:val="24"/>
              <w:snapToGrid w:val="0"/>
              <w:ind w:left="0" w:leftChars="0" w:right="0" w:rightChars="0" w:firstLine="0" w:firstLineChars="0"/>
              <w:jc w:val="center"/>
              <w:rPr>
                <w:color w:val="auto"/>
              </w:rPr>
            </w:pPr>
            <w:r>
              <w:rPr>
                <w:color w:val="auto"/>
              </w:rPr>
              <w:t>21</w:t>
            </w:r>
          </w:p>
        </w:tc>
      </w:tr>
      <w:tr w14:paraId="205664AE">
        <w:tblPrEx>
          <w:tblCellMar>
            <w:top w:w="0" w:type="dxa"/>
            <w:left w:w="108" w:type="dxa"/>
            <w:bottom w:w="0" w:type="dxa"/>
            <w:right w:w="108" w:type="dxa"/>
          </w:tblCellMar>
        </w:tblPrEx>
        <w:trPr>
          <w:trHeight w:val="0" w:hRule="atLeast"/>
          <w:jc w:val="center"/>
        </w:trPr>
        <w:tc>
          <w:tcPr>
            <w:tcW w:w="958" w:type="dxa"/>
            <w:vAlign w:val="center"/>
          </w:tcPr>
          <w:p w14:paraId="1C8F8C86">
            <w:pPr>
              <w:pStyle w:val="24"/>
              <w:snapToGrid w:val="0"/>
              <w:ind w:left="0" w:leftChars="0" w:right="0" w:rightChars="0" w:firstLine="0" w:firstLineChars="0"/>
              <w:jc w:val="center"/>
              <w:rPr>
                <w:color w:val="auto"/>
              </w:rPr>
            </w:pPr>
            <w:r>
              <w:rPr>
                <w:color w:val="auto"/>
              </w:rPr>
              <w:t>256</w:t>
            </w:r>
          </w:p>
        </w:tc>
        <w:tc>
          <w:tcPr>
            <w:tcW w:w="1491" w:type="dxa"/>
            <w:vAlign w:val="center"/>
          </w:tcPr>
          <w:p w14:paraId="6370D1A4">
            <w:pPr>
              <w:pStyle w:val="24"/>
              <w:snapToGrid w:val="0"/>
              <w:ind w:left="0" w:leftChars="0" w:right="0" w:rightChars="0" w:firstLine="0" w:firstLineChars="0"/>
              <w:jc w:val="center"/>
              <w:rPr>
                <w:color w:val="auto"/>
              </w:rPr>
            </w:pPr>
            <w:r>
              <w:rPr>
                <w:color w:val="auto"/>
              </w:rPr>
              <w:t>16.0 M</w:t>
            </w:r>
          </w:p>
        </w:tc>
        <w:tc>
          <w:tcPr>
            <w:tcW w:w="0" w:type="auto"/>
            <w:vAlign w:val="center"/>
          </w:tcPr>
          <w:p w14:paraId="226858AB">
            <w:pPr>
              <w:pStyle w:val="24"/>
              <w:snapToGrid w:val="0"/>
              <w:ind w:left="0" w:leftChars="0" w:right="0" w:rightChars="0" w:firstLine="0" w:firstLineChars="0"/>
              <w:jc w:val="center"/>
              <w:rPr>
                <w:color w:val="auto"/>
              </w:rPr>
            </w:pPr>
            <w:r>
              <w:rPr>
                <w:color w:val="auto"/>
              </w:rPr>
              <w:t>132</w:t>
            </w:r>
          </w:p>
        </w:tc>
        <w:tc>
          <w:tcPr>
            <w:tcW w:w="0" w:type="auto"/>
            <w:vAlign w:val="center"/>
          </w:tcPr>
          <w:p w14:paraId="371D5E3F">
            <w:pPr>
              <w:pStyle w:val="24"/>
              <w:snapToGrid w:val="0"/>
              <w:ind w:left="0" w:leftChars="0" w:right="0" w:rightChars="0" w:firstLine="0" w:firstLineChars="0"/>
              <w:jc w:val="center"/>
              <w:rPr>
                <w:color w:val="auto"/>
              </w:rPr>
            </w:pPr>
            <w:r>
              <w:rPr>
                <w:color w:val="auto"/>
              </w:rPr>
              <w:t>95.5%</w:t>
            </w:r>
          </w:p>
        </w:tc>
        <w:tc>
          <w:tcPr>
            <w:tcW w:w="2251" w:type="dxa"/>
            <w:vAlign w:val="center"/>
          </w:tcPr>
          <w:p w14:paraId="0ACA4FFB">
            <w:pPr>
              <w:pStyle w:val="24"/>
              <w:snapToGrid w:val="0"/>
              <w:ind w:left="0" w:leftChars="0" w:right="0" w:rightChars="0" w:firstLine="0" w:firstLineChars="0"/>
              <w:jc w:val="center"/>
              <w:rPr>
                <w:color w:val="auto"/>
              </w:rPr>
            </w:pPr>
            <w:r>
              <w:rPr>
                <w:color w:val="auto"/>
              </w:rPr>
              <w:t>22</w:t>
            </w:r>
          </w:p>
        </w:tc>
      </w:tr>
      <w:tr w14:paraId="3515F810">
        <w:tblPrEx>
          <w:tblCellMar>
            <w:top w:w="0" w:type="dxa"/>
            <w:left w:w="108" w:type="dxa"/>
            <w:bottom w:w="0" w:type="dxa"/>
            <w:right w:w="108" w:type="dxa"/>
          </w:tblCellMar>
        </w:tblPrEx>
        <w:trPr>
          <w:trHeight w:val="0" w:hRule="atLeast"/>
          <w:jc w:val="center"/>
        </w:trPr>
        <w:tc>
          <w:tcPr>
            <w:tcW w:w="958" w:type="dxa"/>
            <w:vAlign w:val="center"/>
          </w:tcPr>
          <w:p w14:paraId="37D3843F">
            <w:pPr>
              <w:pStyle w:val="24"/>
              <w:snapToGrid w:val="0"/>
              <w:ind w:left="0" w:leftChars="0" w:right="0" w:rightChars="0" w:firstLine="0" w:firstLineChars="0"/>
              <w:jc w:val="center"/>
              <w:rPr>
                <w:color w:val="auto"/>
              </w:rPr>
            </w:pPr>
            <w:r>
              <w:rPr>
                <w:color w:val="auto"/>
              </w:rPr>
              <w:t>512</w:t>
            </w:r>
          </w:p>
        </w:tc>
        <w:tc>
          <w:tcPr>
            <w:tcW w:w="1491" w:type="dxa"/>
            <w:vAlign w:val="center"/>
          </w:tcPr>
          <w:p w14:paraId="2066C6D5">
            <w:pPr>
              <w:pStyle w:val="24"/>
              <w:snapToGrid w:val="0"/>
              <w:ind w:left="0" w:leftChars="0" w:right="0" w:rightChars="0" w:firstLine="0" w:firstLineChars="0"/>
              <w:jc w:val="center"/>
              <w:rPr>
                <w:color w:val="auto"/>
              </w:rPr>
            </w:pPr>
            <w:r>
              <w:rPr>
                <w:color w:val="auto"/>
              </w:rPr>
              <w:t>32.0 M</w:t>
            </w:r>
          </w:p>
        </w:tc>
        <w:tc>
          <w:tcPr>
            <w:tcW w:w="0" w:type="auto"/>
            <w:vAlign w:val="center"/>
          </w:tcPr>
          <w:p w14:paraId="0D2C334D">
            <w:pPr>
              <w:pStyle w:val="24"/>
              <w:snapToGrid w:val="0"/>
              <w:ind w:left="0" w:leftChars="0" w:right="0" w:rightChars="0" w:firstLine="0" w:firstLineChars="0"/>
              <w:jc w:val="center"/>
              <w:rPr>
                <w:color w:val="auto"/>
              </w:rPr>
            </w:pPr>
            <w:r>
              <w:rPr>
                <w:color w:val="auto"/>
              </w:rPr>
              <w:t>138</w:t>
            </w:r>
          </w:p>
        </w:tc>
        <w:tc>
          <w:tcPr>
            <w:tcW w:w="0" w:type="auto"/>
            <w:vAlign w:val="center"/>
          </w:tcPr>
          <w:p w14:paraId="1492BC8B">
            <w:pPr>
              <w:pStyle w:val="24"/>
              <w:snapToGrid w:val="0"/>
              <w:ind w:left="0" w:leftChars="0" w:right="0" w:rightChars="0" w:firstLine="0" w:firstLineChars="0"/>
              <w:jc w:val="center"/>
              <w:rPr>
                <w:color w:val="auto"/>
              </w:rPr>
            </w:pPr>
            <w:r>
              <w:rPr>
                <w:color w:val="auto"/>
              </w:rPr>
              <w:t>91.3%</w:t>
            </w:r>
          </w:p>
        </w:tc>
        <w:tc>
          <w:tcPr>
            <w:tcW w:w="2251" w:type="dxa"/>
            <w:vAlign w:val="center"/>
          </w:tcPr>
          <w:p w14:paraId="0A26299C">
            <w:pPr>
              <w:pStyle w:val="24"/>
              <w:snapToGrid w:val="0"/>
              <w:ind w:left="0" w:leftChars="0" w:right="0" w:rightChars="0" w:firstLine="0" w:firstLineChars="0"/>
              <w:jc w:val="center"/>
              <w:rPr>
                <w:color w:val="auto"/>
              </w:rPr>
            </w:pPr>
            <w:r>
              <w:rPr>
                <w:color w:val="auto"/>
              </w:rPr>
              <w:t>21</w:t>
            </w:r>
          </w:p>
        </w:tc>
      </w:tr>
      <w:tr w14:paraId="0F1152B6">
        <w:tblPrEx>
          <w:tblCellMar>
            <w:top w:w="0" w:type="dxa"/>
            <w:left w:w="108" w:type="dxa"/>
            <w:bottom w:w="0" w:type="dxa"/>
            <w:right w:w="108" w:type="dxa"/>
          </w:tblCellMar>
        </w:tblPrEx>
        <w:trPr>
          <w:trHeight w:val="0" w:hRule="atLeast"/>
          <w:jc w:val="center"/>
        </w:trPr>
        <w:tc>
          <w:tcPr>
            <w:tcW w:w="958" w:type="dxa"/>
            <w:vAlign w:val="center"/>
          </w:tcPr>
          <w:p w14:paraId="6C259E78">
            <w:pPr>
              <w:pStyle w:val="24"/>
              <w:snapToGrid w:val="0"/>
              <w:ind w:left="0" w:leftChars="0" w:right="0" w:rightChars="0" w:firstLine="0" w:firstLineChars="0"/>
              <w:jc w:val="center"/>
              <w:rPr>
                <w:color w:val="auto"/>
              </w:rPr>
            </w:pPr>
            <w:r>
              <w:rPr>
                <w:color w:val="auto"/>
              </w:rPr>
              <w:t>1 024</w:t>
            </w:r>
          </w:p>
        </w:tc>
        <w:tc>
          <w:tcPr>
            <w:tcW w:w="1491" w:type="dxa"/>
            <w:vAlign w:val="center"/>
          </w:tcPr>
          <w:p w14:paraId="5B3CCAFF">
            <w:pPr>
              <w:pStyle w:val="24"/>
              <w:snapToGrid w:val="0"/>
              <w:ind w:left="0" w:leftChars="0" w:right="0" w:rightChars="0" w:firstLine="0" w:firstLineChars="0"/>
              <w:jc w:val="center"/>
              <w:rPr>
                <w:color w:val="auto"/>
              </w:rPr>
            </w:pPr>
            <w:r>
              <w:rPr>
                <w:color w:val="auto"/>
              </w:rPr>
              <w:t>64.0 M</w:t>
            </w:r>
          </w:p>
        </w:tc>
        <w:tc>
          <w:tcPr>
            <w:tcW w:w="3193" w:type="dxa"/>
            <w:vAlign w:val="center"/>
          </w:tcPr>
          <w:p w14:paraId="63D6528E">
            <w:pPr>
              <w:pStyle w:val="24"/>
              <w:snapToGrid w:val="0"/>
              <w:ind w:left="0" w:leftChars="0" w:right="0" w:rightChars="0" w:firstLine="0" w:firstLineChars="0"/>
              <w:jc w:val="center"/>
              <w:rPr>
                <w:color w:val="auto"/>
              </w:rPr>
            </w:pPr>
            <w:r>
              <w:rPr>
                <w:color w:val="auto"/>
              </w:rPr>
              <w:t>147</w:t>
            </w:r>
          </w:p>
        </w:tc>
        <w:tc>
          <w:tcPr>
            <w:tcW w:w="2886" w:type="dxa"/>
            <w:vAlign w:val="center"/>
          </w:tcPr>
          <w:p w14:paraId="71E75816">
            <w:pPr>
              <w:pStyle w:val="24"/>
              <w:snapToGrid w:val="0"/>
              <w:ind w:left="0" w:leftChars="0" w:right="0" w:rightChars="0" w:firstLine="0" w:firstLineChars="0"/>
              <w:jc w:val="center"/>
              <w:rPr>
                <w:color w:val="auto"/>
              </w:rPr>
            </w:pPr>
            <w:r>
              <w:rPr>
                <w:color w:val="auto"/>
              </w:rPr>
              <w:t>85.7%</w:t>
            </w:r>
          </w:p>
        </w:tc>
        <w:tc>
          <w:tcPr>
            <w:tcW w:w="2251" w:type="dxa"/>
            <w:vAlign w:val="center"/>
          </w:tcPr>
          <w:p w14:paraId="4894F157">
            <w:pPr>
              <w:pStyle w:val="24"/>
              <w:snapToGrid w:val="0"/>
              <w:ind w:left="0" w:leftChars="0" w:right="0" w:rightChars="0" w:firstLine="0" w:firstLineChars="0"/>
              <w:jc w:val="center"/>
              <w:rPr>
                <w:color w:val="auto"/>
              </w:rPr>
            </w:pPr>
            <w:r>
              <w:rPr>
                <w:color w:val="auto"/>
              </w:rPr>
              <w:t>23</w:t>
            </w:r>
          </w:p>
        </w:tc>
      </w:tr>
    </w:tbl>
    <w:p w14:paraId="72B1D531">
      <w:pPr>
        <w:pStyle w:val="3"/>
        <w:spacing w:before="0" w:after="120"/>
        <w:ind w:firstLine="480" w:firstLineChars="200"/>
        <w:jc w:val="both"/>
        <w:rPr>
          <w:color w:val="auto"/>
        </w:rPr>
      </w:pPr>
      <w:r>
        <w:rPr>
          <w:color w:val="auto"/>
        </w:rPr>
        <w:t>The data in Fig. 9 and Tables 10–11 show that physics-weighted partitioning reduces load imbalance from 18.5% (unweighted ParMETIS) to 3.2% at 512 cores. The strong-scaling efficiency loss beyond 512 cores is attributable to global MPI_Allreduce operations inherent to the coarsest AMG levels—a well-recognized limitation of multilevel methods (Amdahl, 1967; Gustafson, 1988). We observe a non-monotonic trend in load imbalance as the core count increases: it improves from 5.1% at 64 cores to 3.2% at 512 cores, then rises to 4.7% at 1,024 cores. The initial improvement reflects the fact that, at low core counts, each partition spans both high-work (near-fracture) and low-work (far-field) cells, and the physics-weighted edge costs successfully balance the aggregate per-rank workload. As the core count grows, the partitioner can assign entire high-work clusters to individual ranks, achieving finer-grained balance. At 1,024 cores, however—where the average cells per rank drops to approximately 31,250—the partition boundary surface area grows relative to the partition volume, exposing two known limitations of multilevel graph partitioners. First, the connectivity constraint: ParMETIS requires contiguous partitions, preventing subdivision of high-cell-density fracture-proximal clusters beyond a certain granularity and imposing a lower bound on load imbalance of approximately 3–5% for fracture-dominated domains (Karypis and Kumar, 1998). Second, coarsening-phase granularity: at 1,024 partitions, the coarsest graph holds roughly 1,024 vertices, limiting the refinement phase's capacity to correct boundary placement errors inherited from coarsening.</w:t>
      </w:r>
    </w:p>
    <w:p w14:paraId="0D3FD0F6">
      <w:pPr>
        <w:pStyle w:val="3"/>
        <w:spacing w:before="0" w:after="120"/>
        <w:ind w:firstLine="480" w:firstLineChars="200"/>
        <w:jc w:val="both"/>
        <w:rPr>
          <w:color w:val="auto"/>
        </w:rPr>
      </w:pPr>
      <w:r>
        <w:rPr>
          <w:color w:val="auto"/>
        </w:rPr>
        <w:t>We observe a non-monotonic trend in load imbalance with increasing core count. The imbalance decreases from 5.1% at 64 cores to 3.2% at 512 cores, then rises to 4.7% at 1,024 cores. This pattern reflects a transition between two regimes. At low core counts, each partition spans both high-work (near-fracture) and low-work (far-field) cells, and physics-weighted edge costs balance the aggregate workload. At moderate counts, the partitioner assigns entire high-work clusters to individual ranks, refining the balance. Beyond 512 cores, however, the average cells per rank falls below approximately 31,000, and two structural constraints emerge. First, ParMETIS's contiguity requirement prevents subdivision of fracture-proximal cell clusters into arbitrarily fine partitions, imposing a floor of 3–5% on load imbalance for fracture-dominated domains (Karypis and Kumar, 1998). Second, the multilevel coarsening phase compresses the graph to roughly 1,024 vertices at 1,024 partitions, limiting the refinement phase's ability to correct boundary placement errors inherited during coarsening.</w:t>
      </w:r>
    </w:p>
    <w:p w14:paraId="22DBEE96">
      <w:pPr>
        <w:numPr>
          <w:ilvl w:val="0"/>
          <w:numId w:val="5"/>
        </w:numPr>
        <w:tabs>
          <w:tab w:val="left" w:pos="0"/>
        </w:tabs>
        <w:spacing w:before="0" w:after="120"/>
        <w:ind w:firstLine="480" w:firstLineChars="200"/>
        <w:jc w:val="both"/>
        <w:rPr>
          <w:color w:val="auto"/>
        </w:rPr>
      </w:pPr>
      <w:r>
        <w:rPr>
          <w:b/>
          <w:color w:val="auto"/>
        </w:rPr>
        <w:t>Connectivity constraint</w:t>
      </w:r>
      <w:r>
        <w:rPr>
          <w:color w:val="auto"/>
        </w:rPr>
        <w:t xml:space="preserve">: ParMETIS enforces contiguous partitions. At large partition counts, the connectivity constraint prevents the partitioner from subdividing high-cell-density fracture-proximal clusters beyond a certain granularity, because further subdivision would create disconnected partition fragments. This imposes a lower bound on load imbalance that is approximately </w:t>
      </w:r>
      <m:oMath>
        <m:r>
          <m:rPr/>
          <w:rPr>
            <w:color w:val="auto"/>
          </w:rPr>
          <m:t>2.5%</m:t>
        </m:r>
      </m:oMath>
      <w:r>
        <w:rPr>
          <w:color w:val="auto"/>
        </w:rPr>
        <w:t>–</w:t>
      </w:r>
      <m:oMath>
        <m:r>
          <m:rPr/>
          <w:rPr>
            <w:color w:val="auto"/>
          </w:rPr>
          <m:t>5%</m:t>
        </m:r>
      </m:oMath>
      <w:r>
        <w:rPr>
          <w:color w:val="auto"/>
        </w:rPr>
        <w:t xml:space="preserve"> for fracture-dominated domains (Karypis and Kumar, 1998).</w:t>
      </w:r>
    </w:p>
    <w:p w14:paraId="50466E8B">
      <w:pPr>
        <w:numPr>
          <w:ilvl w:val="0"/>
          <w:numId w:val="5"/>
        </w:numPr>
        <w:tabs>
          <w:tab w:val="left" w:pos="0"/>
        </w:tabs>
        <w:spacing w:before="0" w:after="120"/>
        <w:ind w:firstLine="480" w:firstLineChars="200"/>
        <w:jc w:val="both"/>
        <w:rPr>
          <w:color w:val="auto"/>
        </w:rPr>
      </w:pPr>
      <w:r>
        <w:rPr>
          <w:b/>
          <w:color w:val="auto"/>
        </w:rPr>
        <w:t>Coarsening-phase granularity</w:t>
      </w:r>
      <w:r>
        <w:rPr>
          <w:color w:val="auto"/>
        </w:rPr>
        <w:t>: The multilevel coarsening phase of ParMETIS reduces the graph until the number of vertices equals the target partition count. At 1,024 partitions, the coarsest graph has approximately 1,024 vertices for a 32M-cell problem, and the refinement phase (which operates on this heavily compressed representation) has limited capacity to correct boundary placement errors inherited from the coarsening.</w:t>
      </w:r>
    </w:p>
    <w:p w14:paraId="7637AAD6">
      <w:pPr>
        <w:pStyle w:val="23"/>
        <w:spacing w:before="0" w:after="120"/>
        <w:ind w:firstLine="480" w:firstLineChars="200"/>
        <w:jc w:val="both"/>
        <w:rPr>
          <w:color w:val="auto"/>
        </w:rPr>
      </w:pPr>
      <w:r>
        <w:rPr>
          <w:color w:val="auto"/>
        </w:rPr>
        <w:t>To identify the dominant efficiency-loss mechanism at 1,024 cores, we separately quantify the two independently measurable loss factors. The load-balance penalty is  where  is the measured load imbalance (Table 10), yielding . The communication penalty is  where  is the measured communication fraction, yielding . The product  accounts for most but not all of the measured efficiency (0.708), leaving an unexplained residual of approximately . The discrepancy between the measured efficiency (0.708) and the load-communication product (0.805) is consistent with the independently estimated Amdahl serial fraction  (95% bootstrap CI, fit to the full strong-scaling curve), which predicts a serial-bottleneck efficiency factor of  at  under Amdahl’s model—far below the observed residual, confirming that Amdahl’s fixed-problem-size model overestimates the serial bottleneck for this problem class. The practical implication is that communication overhead (15.7% fraction) is the dominant measured loss mechanism at scale, with load imbalance (4.7%) contributing a secondary but non-negligible penalty.</w:t>
      </w:r>
      <m:oMath>
        <m:sSub>
          <m:sSubPr>
            <m:ctrlPr>
              <w:rPr>
                <w:color w:val="auto"/>
              </w:rPr>
            </m:ctrlPr>
          </m:sSubPr>
          <m:e>
            <m:r>
              <m:rPr/>
              <w:rPr>
                <w:color w:val="auto"/>
              </w:rPr>
              <m:t>ε</m:t>
            </m:r>
            <m:ctrlPr>
              <w:rPr>
                <w:color w:val="auto"/>
              </w:rPr>
            </m:ctrlPr>
          </m:e>
          <m:sub>
            <m:r>
              <m:rPr>
                <m:nor/>
                <m:sty m:val="p"/>
              </m:rPr>
              <w:rPr>
                <w:b w:val="0"/>
                <w:i w:val="0"/>
                <w:color w:val="auto"/>
              </w:rPr>
              <m:t>load</m:t>
            </m:r>
            <m:ctrlPr>
              <w:rPr>
                <w:color w:val="auto"/>
              </w:rPr>
            </m:ctrlPr>
          </m:sub>
        </m:sSub>
        <m:r>
          <m:rPr/>
          <w:rPr>
            <w:color w:val="auto"/>
          </w:rPr>
          <m:t>=(1+L</m:t>
        </m:r>
        <m:sSup>
          <m:sSupPr>
            <m:ctrlPr>
              <w:rPr>
                <w:color w:val="auto"/>
              </w:rPr>
            </m:ctrlPr>
          </m:sSupPr>
          <m:e>
            <m:r>
              <m:rPr/>
              <w:rPr>
                <w:color w:val="auto"/>
              </w:rPr>
              <m:t>)</m:t>
            </m:r>
            <m:ctrlPr>
              <w:rPr>
                <w:color w:val="auto"/>
              </w:rPr>
            </m:ctrlPr>
          </m:e>
          <m:sup>
            <m:r>
              <m:rPr/>
              <w:rPr>
                <w:color w:val="auto"/>
              </w:rPr>
              <m:t>−1</m:t>
            </m:r>
            <m:ctrlPr>
              <w:rPr>
                <w:color w:val="auto"/>
              </w:rPr>
            </m:ctrlPr>
          </m:sup>
        </m:sSup>
        <m:r>
          <m:rPr/>
          <w:rPr>
            <w:color w:val="auto"/>
          </w:rPr>
          <m:t>L=0.047</m:t>
        </m:r>
        <m:sSub>
          <m:sSubPr>
            <m:ctrlPr>
              <w:rPr>
                <w:color w:val="auto"/>
              </w:rPr>
            </m:ctrlPr>
          </m:sSubPr>
          <m:e>
            <m:r>
              <m:rPr/>
              <w:rPr>
                <w:color w:val="auto"/>
              </w:rPr>
              <m:t>ε</m:t>
            </m:r>
            <m:ctrlPr>
              <w:rPr>
                <w:color w:val="auto"/>
              </w:rPr>
            </m:ctrlPr>
          </m:e>
          <m:sub>
            <m:r>
              <m:rPr>
                <m:nor/>
                <m:sty m:val="p"/>
              </m:rPr>
              <w:rPr>
                <w:b w:val="0"/>
                <w:i w:val="0"/>
                <w:color w:val="auto"/>
              </w:rPr>
              <m:t>load</m:t>
            </m:r>
            <m:ctrlPr>
              <w:rPr>
                <w:color w:val="auto"/>
              </w:rPr>
            </m:ctrlPr>
          </m:sub>
        </m:sSub>
        <m:r>
          <m:rPr/>
          <w:rPr>
            <w:color w:val="auto"/>
          </w:rPr>
          <m:t>=0.955</m:t>
        </m:r>
        <m:sSub>
          <m:sSubPr>
            <m:ctrlPr>
              <w:rPr>
                <w:color w:val="auto"/>
              </w:rPr>
            </m:ctrlPr>
          </m:sSubPr>
          <m:e>
            <m:r>
              <m:rPr/>
              <w:rPr>
                <w:color w:val="auto"/>
              </w:rPr>
              <m:t>ε</m:t>
            </m:r>
            <m:ctrlPr>
              <w:rPr>
                <w:color w:val="auto"/>
              </w:rPr>
            </m:ctrlPr>
          </m:e>
          <m:sub>
            <m:r>
              <m:rPr>
                <m:nor/>
                <m:sty m:val="p"/>
              </m:rPr>
              <w:rPr>
                <w:b w:val="0"/>
                <w:i w:val="0"/>
                <w:color w:val="auto"/>
              </w:rPr>
              <m:t>comm</m:t>
            </m:r>
            <m:ctrlPr>
              <w:rPr>
                <w:color w:val="auto"/>
              </w:rPr>
            </m:ctrlPr>
          </m:sub>
        </m:sSub>
        <m:r>
          <m:rPr/>
          <w:rPr>
            <w:color w:val="auto"/>
          </w:rPr>
          <m:t>=1−</m:t>
        </m:r>
        <m:sSub>
          <m:sSubPr>
            <m:ctrlPr>
              <w:rPr>
                <w:color w:val="auto"/>
              </w:rPr>
            </m:ctrlPr>
          </m:sSubPr>
          <m:e>
            <m:r>
              <m:rPr/>
              <w:rPr>
                <w:color w:val="auto"/>
              </w:rPr>
              <m:t>f</m:t>
            </m:r>
            <m:ctrlPr>
              <w:rPr>
                <w:color w:val="auto"/>
              </w:rPr>
            </m:ctrlPr>
          </m:e>
          <m:sub>
            <m:r>
              <m:rPr>
                <m:nor/>
                <m:sty m:val="p"/>
              </m:rPr>
              <w:rPr>
                <w:b w:val="0"/>
                <w:i w:val="0"/>
                <w:color w:val="auto"/>
              </w:rPr>
              <m:t>comm</m:t>
            </m:r>
            <m:ctrlPr>
              <w:rPr>
                <w:color w:val="auto"/>
              </w:rPr>
            </m:ctrlPr>
          </m:sub>
        </m:sSub>
        <m:sSub>
          <m:sSubPr>
            <m:ctrlPr>
              <w:rPr>
                <w:color w:val="auto"/>
              </w:rPr>
            </m:ctrlPr>
          </m:sSubPr>
          <m:e>
            <m:r>
              <m:rPr/>
              <w:rPr>
                <w:color w:val="auto"/>
              </w:rPr>
              <m:t>f</m:t>
            </m:r>
            <m:ctrlPr>
              <w:rPr>
                <w:color w:val="auto"/>
              </w:rPr>
            </m:ctrlPr>
          </m:e>
          <m:sub>
            <m:r>
              <m:rPr>
                <m:nor/>
                <m:sty m:val="p"/>
              </m:rPr>
              <w:rPr>
                <w:b w:val="0"/>
                <w:i w:val="0"/>
                <w:color w:val="auto"/>
              </w:rPr>
              <m:t>comm</m:t>
            </m:r>
            <m:ctrlPr>
              <w:rPr>
                <w:color w:val="auto"/>
              </w:rPr>
            </m:ctrlPr>
          </m:sub>
        </m:sSub>
        <m:r>
          <m:rPr/>
          <w:rPr>
            <w:color w:val="auto"/>
          </w:rPr>
          <m:t>=0.157</m:t>
        </m:r>
        <m:sSub>
          <m:sSubPr>
            <m:ctrlPr>
              <w:rPr>
                <w:color w:val="auto"/>
              </w:rPr>
            </m:ctrlPr>
          </m:sSubPr>
          <m:e>
            <m:r>
              <m:rPr/>
              <w:rPr>
                <w:color w:val="auto"/>
              </w:rPr>
              <m:t>ε</m:t>
            </m:r>
            <m:ctrlPr>
              <w:rPr>
                <w:color w:val="auto"/>
              </w:rPr>
            </m:ctrlPr>
          </m:e>
          <m:sub>
            <m:r>
              <m:rPr>
                <m:nor/>
                <m:sty m:val="p"/>
              </m:rPr>
              <w:rPr>
                <w:b w:val="0"/>
                <w:i w:val="0"/>
                <w:color w:val="auto"/>
              </w:rPr>
              <m:t>comm</m:t>
            </m:r>
            <m:ctrlPr>
              <w:rPr>
                <w:color w:val="auto"/>
              </w:rPr>
            </m:ctrlPr>
          </m:sub>
        </m:sSub>
        <m:r>
          <m:rPr/>
          <w:rPr>
            <w:color w:val="auto"/>
          </w:rPr>
          <m:t>=0.843</m:t>
        </m:r>
        <m:sSub>
          <m:sSubPr>
            <m:ctrlPr>
              <w:rPr>
                <w:color w:val="auto"/>
              </w:rPr>
            </m:ctrlPr>
          </m:sSubPr>
          <m:e>
            <m:r>
              <m:rPr/>
              <w:rPr>
                <w:color w:val="auto"/>
              </w:rPr>
              <m:t>ε</m:t>
            </m:r>
            <m:ctrlPr>
              <w:rPr>
                <w:color w:val="auto"/>
              </w:rPr>
            </m:ctrlPr>
          </m:e>
          <m:sub>
            <m:r>
              <m:rPr>
                <m:nor/>
                <m:sty m:val="p"/>
              </m:rPr>
              <w:rPr>
                <w:b w:val="0"/>
                <w:i w:val="0"/>
                <w:color w:val="auto"/>
              </w:rPr>
              <m:t>load</m:t>
            </m:r>
            <m:ctrlPr>
              <w:rPr>
                <w:color w:val="auto"/>
              </w:rPr>
            </m:ctrlPr>
          </m:sub>
        </m:sSub>
        <m:r>
          <m:rPr/>
          <w:rPr>
            <w:color w:val="auto"/>
          </w:rPr>
          <m:t>⋅</m:t>
        </m:r>
        <m:sSub>
          <m:sSubPr>
            <m:ctrlPr>
              <w:rPr>
                <w:color w:val="auto"/>
              </w:rPr>
            </m:ctrlPr>
          </m:sSubPr>
          <m:e>
            <m:r>
              <m:rPr/>
              <w:rPr>
                <w:color w:val="auto"/>
              </w:rPr>
              <m:t>ε</m:t>
            </m:r>
            <m:ctrlPr>
              <w:rPr>
                <w:color w:val="auto"/>
              </w:rPr>
            </m:ctrlPr>
          </m:e>
          <m:sub>
            <m:r>
              <m:rPr>
                <m:nor/>
                <m:sty m:val="p"/>
              </m:rPr>
              <w:rPr>
                <w:b w:val="0"/>
                <w:i w:val="0"/>
                <w:color w:val="auto"/>
              </w:rPr>
              <m:t>comm</m:t>
            </m:r>
            <m:ctrlPr>
              <w:rPr>
                <w:color w:val="auto"/>
              </w:rPr>
            </m:ctrlPr>
          </m:sub>
        </m:sSub>
        <m:r>
          <m:rPr/>
          <w:rPr>
            <w:color w:val="auto"/>
          </w:rPr>
          <m:t>=0.8050.708−0.805×</m:t>
        </m:r>
        <m:sSub>
          <m:sSubPr>
            <m:ctrlPr>
              <w:rPr>
                <w:color w:val="auto"/>
              </w:rPr>
            </m:ctrlPr>
          </m:sSubPr>
          <m:e>
            <m:r>
              <m:rPr/>
              <w:rPr>
                <w:color w:val="auto"/>
              </w:rPr>
              <m:t>ε</m:t>
            </m:r>
            <m:ctrlPr>
              <w:rPr>
                <w:color w:val="auto"/>
              </w:rPr>
            </m:ctrlPr>
          </m:e>
          <m:sub>
            <m:r>
              <m:rPr>
                <m:nor/>
                <m:sty m:val="p"/>
              </m:rPr>
              <w:rPr>
                <w:b w:val="0"/>
                <w:i w:val="0"/>
                <w:color w:val="auto"/>
              </w:rPr>
              <m:t>other</m:t>
            </m:r>
            <m:ctrlPr>
              <w:rPr>
                <w:color w:val="auto"/>
              </w:rPr>
            </m:ctrlPr>
          </m:sub>
        </m:sSub>
        <m:r>
          <m:rPr/>
          <w:rPr>
            <w:color w:val="auto"/>
          </w:rPr>
          <m:t>f=0.002±0.0004</m:t>
        </m:r>
        <m:sSub>
          <m:sSubPr>
            <m:ctrlPr>
              <w:rPr>
                <w:color w:val="auto"/>
              </w:rPr>
            </m:ctrlPr>
          </m:sSubPr>
          <m:e>
            <m:r>
              <m:rPr/>
              <w:rPr>
                <w:color w:val="auto"/>
              </w:rPr>
              <m:t>ε</m:t>
            </m:r>
            <m:ctrlPr>
              <w:rPr>
                <w:color w:val="auto"/>
              </w:rPr>
            </m:ctrlPr>
          </m:e>
          <m:sub>
            <m:r>
              <m:rPr>
                <m:nor/>
                <m:sty m:val="p"/>
              </m:rPr>
              <w:rPr>
                <w:b w:val="0"/>
                <w:i w:val="0"/>
                <w:color w:val="auto"/>
              </w:rPr>
              <m:t>Amdahl</m:t>
            </m:r>
            <m:ctrlPr>
              <w:rPr>
                <w:color w:val="auto"/>
              </w:rPr>
            </m:ctrlPr>
          </m:sub>
        </m:sSub>
        <m:r>
          <m:rPr/>
          <w:rPr>
            <w:color w:val="auto"/>
          </w:rPr>
          <m:t>≈(1+f⋅(P−1)</m:t>
        </m:r>
        <m:sSup>
          <m:sSupPr>
            <m:ctrlPr>
              <w:rPr>
                <w:color w:val="auto"/>
              </w:rPr>
            </m:ctrlPr>
          </m:sSupPr>
          <m:e>
            <m:r>
              <m:rPr/>
              <w:rPr>
                <w:color w:val="auto"/>
              </w:rPr>
              <m:t>)</m:t>
            </m:r>
            <m:ctrlPr>
              <w:rPr>
                <w:color w:val="auto"/>
              </w:rPr>
            </m:ctrlPr>
          </m:e>
          <m:sup>
            <m:r>
              <m:rPr/>
              <w:rPr>
                <w:color w:val="auto"/>
              </w:rPr>
              <m:t>−1</m:t>
            </m:r>
            <m:ctrlPr>
              <w:rPr>
                <w:color w:val="auto"/>
              </w:rPr>
            </m:ctrlPr>
          </m:sup>
        </m:sSup>
        <m:r>
          <m:rPr/>
          <w:rPr>
            <w:color w:val="auto"/>
          </w:rPr>
          <m:t>=0.33P=1,024</m:t>
        </m:r>
      </m:oMath>
    </w:p>
    <w:p>
      <w:pPr>
        <w:pStyle w:val="3"/>
        <w:spacing w:before="0" w:after="120"/>
        <w:ind w:firstLine="480" w:firstLineChars="200"/>
        <w:jc w:val="both"/>
        <w:rPr>
          <w:color w:val="auto"/>
        </w:rPr>
      </w:pPr>
      <w:r>
        <w:rPr>
          <w:rFonts w:ascii="Times New Roman" w:hAnsi="Times New Roman"/>
          <w:sz w:val="22"/>
        </w:rPr>
        <w:t xml:space="preserve">To quantify the relative contribution of global synchronization to the efficiency loss observed at 1,024 cores, a dedicated communication profiling pass was performed using MPI_Pcontrol and the PETSc built-in event logger. At 512 cores, the per-Newton-step wall-clock time attributable to MPI_Allreduce operations (primarily from GMRES inner products and AMG coarse-grid residual norms) accounts for 6.1% of the total solve time; at 1,024 cores, this fraction increases to 11.3%, i.e., a 1.85-fold growth that closely tracks the logarithmic scaling of all-reduce latency on the HDR InfiniBand fat-tree fabric (theoretical log2(p) growth factor = 1.11 between 512 and 1,024 ranks, with measured overhead exceeding theory due to message-striding effects within the MPI library). The remaining efficiency loss (70.8% vs. an Allreduce-adjusted efficiency of approximately 79.0%) is attributable primarily to load imbalance (4.7%) and to Amdahl serial fraction effects (3%). These profiling data confirm that coarse-grid AMG reductions constitute the dominant scaling bottleneck beyond 512 ranks, consistent with the well-known asymptotic behavior of multilevel preconditioners on distributed-memory architectures.</w:t>
      </w:r>
    </w:p>
    <w:p w14:paraId="48973513">
      <w:pPr>
        <w:pStyle w:val="3"/>
        <w:spacing w:before="0" w:after="120"/>
        <w:ind w:firstLine="480" w:firstLineChars="200"/>
        <w:jc w:val="both"/>
        <w:rPr>
          <w:color w:val="auto"/>
        </w:rPr>
      </w:pPr>
      <w:r>
        <w:rPr>
          <w:color w:val="auto"/>
        </w:rPr>
        <w:t xml:space="preserve">Under weak scaling, the load imbalance remains bounded between 3.2% and 5.1% across all tested core counts, and the degradation from 91.3% to 85.7% between 512 and 1,024 ranks is primarily attributable to the growth in AMG hierarchy depth (from 5 to 6 levels), which increases the number of global reductions per V-cycle. The serial fraction </w:t>
      </w:r>
      <m:oMath>
        <m:r>
          <m:rPr/>
          <w:rPr>
            <w:color w:val="auto"/>
          </w:rPr>
          <m:t>f=0.002±0.0004</m:t>
        </m:r>
      </m:oMath>
      <w:r>
        <w:rPr>
          <w:color w:val="auto"/>
        </w:rPr>
        <w:t xml:space="preserve"> obtained from Amdahl-model fitting of the strong-scaling curve is corroborated by an independent Intel VTune Profiler measurement on the 64-core baseline, which yields </w:t>
      </w:r>
      <m:oMath>
        <m:sSub>
          <m:sSubPr>
            <m:ctrlPr>
              <w:rPr>
                <w:color w:val="auto"/>
              </w:rPr>
            </m:ctrlPr>
          </m:sSubPr>
          <m:e>
            <m:r>
              <m:rPr/>
              <w:rPr>
                <w:color w:val="auto"/>
              </w:rPr>
              <m:t>f</m:t>
            </m:r>
            <m:ctrlPr>
              <w:rPr>
                <w:color w:val="auto"/>
              </w:rPr>
            </m:ctrlPr>
          </m:e>
          <m:sub>
            <m:r>
              <m:rPr>
                <m:nor/>
                <m:sty m:val="p"/>
              </m:rPr>
              <w:rPr>
                <w:b w:val="0"/>
                <w:i w:val="0"/>
                <w:color w:val="auto"/>
              </w:rPr>
              <m:t>VTune</m:t>
            </m:r>
            <m:ctrlPr>
              <w:rPr>
                <w:color w:val="auto"/>
              </w:rPr>
            </m:ctrlPr>
          </m:sub>
        </m:sSub>
        <m:r>
          <m:rPr/>
          <w:rPr>
            <w:color w:val="auto"/>
          </w:rPr>
          <m:t>=0.0018±0.0003</m:t>
        </m:r>
      </m:oMath>
      <w:r>
        <w:rPr>
          <w:color w:val="auto"/>
        </w:rPr>
        <w:t xml:space="preserve"> (Section 3, experimental setup). The agreement between the fitted and profiled values confirms that the serial fraction is a physical quantity rather than a fitting artifact.</w:t>
      </w:r>
    </w:p>
    <w:p w14:paraId="2D95BF62">
      <w:pPr>
        <w:pStyle w:val="5"/>
        <w:spacing w:before="360" w:after="120"/>
        <w:ind w:firstLine="0"/>
        <w:rPr>
          <w:color w:val="auto"/>
        </w:rPr>
      </w:pPr>
      <w:bookmarkStart w:id="19" w:name="dfn-robustness"/>
      <w:r>
        <w:rPr>
          <w:color w:val="auto"/>
        </w:rPr>
        <w:t>3.6 DFN Robustness</w:t>
      </w:r>
      <w:bookmarkEnd w:id="19"/>
    </w:p>
    <w:p w14:paraId="774AA45D">
      <w:pPr>
        <w:pStyle w:val="23"/>
        <w:spacing w:before="0" w:after="120"/>
        <w:ind w:firstLine="480" w:firstLineChars="200"/>
        <w:jc w:val="both"/>
        <w:rPr>
          <w:color w:val="auto"/>
        </w:rPr>
      </w:pPr>
      <w:r>
        <w:rPr>
          <w:color w:val="auto"/>
        </w:rPr>
        <w:t>To evaluate the robustness of the proposed approach under geological complexity, a stochastic DFN comprising 1,247 natural fractures is superimposed on the base model. Throughout this section, a single baseline DFN realization (seed 0) is used for all deterministic comparisons—specifically Table 12 (algebraic conditioning), Table 8 (production forecast), and Figure 11 (condition number vs. fracture count)—while the Monte Carlo ensemble ( independent realizations, Table 12b) quantifies the statistical variability around the single-realization results. The single-realization condition number ratio is 2.87×; the ensemble yields  (mean  1). Both values are reported where appropriate: the single-realization value anchors the deterministic solver-performance and production-forecast comparisons, while the ensemble statistics establish the confidence bounds on the DFN-robustness conclusions. The DFN was generated using a Poisson point process for fracture centers with orientation drawn from a Fisher distribution (concentration parameter , mean strike N45°E). Fracture lengths follow a power-law distribution with exponent 2.3 and truncation limits of 10 m and 500 m. Fracture apertures are log-normally distributed with mean 0.5 mm and standard deviation 0.3 mm. Natural-fracture permeability is set to  mD, consistent with partially mineralized fractures in shale formations. Among the 1,247 fractures, 312 intersect the hydraulic fracture system, forming a connected network that contributes to the enhanced drainage volume.</w:t>
      </w:r>
      <m:oMath>
        <m:r>
          <m:rPr/>
          <w:rPr>
            <w:color w:val="auto"/>
          </w:rPr>
          <m:t>n=252.94±0.41×±σ</m:t>
        </m:r>
        <m:sSub>
          <m:sSubPr>
            <m:ctrlPr>
              <w:rPr>
                <w:color w:val="auto"/>
              </w:rPr>
            </m:ctrlPr>
          </m:sSubPr>
          <m:e>
            <m:r>
              <m:rPr/>
              <w:rPr>
                <w:color w:val="auto"/>
              </w:rPr>
              <m:t>κ</m:t>
            </m:r>
            <m:ctrlPr>
              <w:rPr>
                <w:color w:val="auto"/>
              </w:rPr>
            </m:ctrlPr>
          </m:e>
          <m:sub>
            <m:r>
              <m:rPr/>
              <w:rPr>
                <w:color w:val="auto"/>
              </w:rPr>
              <m:t>f</m:t>
            </m:r>
            <m:ctrlPr>
              <w:rPr>
                <w:color w:val="auto"/>
              </w:rPr>
            </m:ctrlPr>
          </m:sub>
        </m:sSub>
        <m:r>
          <m:rPr/>
          <w:rPr>
            <w:color w:val="auto"/>
          </w:rPr>
          <m:t>=151×</m:t>
        </m:r>
        <m:sSup>
          <m:sSupPr>
            <m:ctrlPr>
              <w:rPr>
                <w:color w:val="auto"/>
              </w:rPr>
            </m:ctrlPr>
          </m:sSupPr>
          <m:e>
            <m:r>
              <m:rPr/>
              <w:rPr>
                <w:color w:val="auto"/>
              </w:rPr>
              <m:t>10</m:t>
            </m:r>
            <m:ctrlPr>
              <w:rPr>
                <w:color w:val="auto"/>
              </w:rPr>
            </m:ctrlPr>
          </m:e>
          <m:sup>
            <m:r>
              <m:rPr/>
              <w:rPr>
                <w:color w:val="auto"/>
              </w:rPr>
              <m:t>4</m:t>
            </m:r>
            <m:ctrlPr>
              <w:rPr>
                <w:color w:val="auto"/>
              </w:rPr>
            </m:ctrlPr>
          </m:sup>
        </m:sSup>
      </m:oMath>
    </w:p>
    <w:p w14:paraId="6E98FEE6">
      <w:pPr>
        <w:pStyle w:val="34"/>
        <w:rPr>
          <w:color w:val="auto"/>
        </w:rPr>
      </w:pPr>
      <w:r>
        <w:rPr>
          <w:color w:val="auto"/>
        </w:rPr>
        <w:drawing>
          <wp:inline distT="0" distB="0" distL="114300" distR="114300">
            <wp:extent cx="5334000" cy="2414905"/>
            <wp:effectExtent l="0" t="0" r="0" b="0"/>
            <wp:docPr id="10" name="Picture" descr="Fig. 10. PEBI mesh conforming to the DFN. (a) Full-domain view showing the 1,247 natural fractures (gray) and five hydraulic-fracture stages (red) embedded in the PEBI framework. (b) Local enlargement at a triple-fracture junction, demonstrating preserved cell quality and strict face–fracture conform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descr="Fig. 10. PEBI mesh conforming to the DFN. (a) Full-domain view showing the 1,247 natural fractures (gray) and five hydraulic-fracture stages (red) embedded in the PEBI framework. (b) Local enlargement at a triple-fracture junction, demonstrating preserved cell quality and strict face–fracture conformity."/>
                    <pic:cNvPicPr>
                      <a:picLocks noChangeAspect="1" noChangeArrowheads="1"/>
                    </pic:cNvPicPr>
                  </pic:nvPicPr>
                  <pic:blipFill>
                    <a:blip r:embed="rId14"/>
                    <a:stretch>
                      <a:fillRect/>
                    </a:stretch>
                  </pic:blipFill>
                  <pic:spPr>
                    <a:xfrm>
                      <a:off x="0" y="0"/>
                      <a:ext cx="5334000" cy="2415474"/>
                    </a:xfrm>
                    <a:prstGeom prst="rect">
                      <a:avLst/>
                    </a:prstGeom>
                    <a:noFill/>
                    <a:ln w="9525">
                      <a:noFill/>
                    </a:ln>
                  </pic:spPr>
                </pic:pic>
              </a:graphicData>
            </a:graphic>
          </wp:inline>
        </w:drawing>
      </w:r>
    </w:p>
    <w:p w14:paraId="3C4FF157">
      <w:pPr>
        <w:pStyle w:val="32"/>
        <w:jc w:val="center"/>
        <w:rPr>
          <w:color w:val="auto"/>
        </w:rPr>
      </w:pPr>
      <w:r>
        <w:rPr>
          <w:color w:val="auto"/>
        </w:rPr>
        <w:t>Fig. 10. PEBI mesh conforming to the DFN. (a) Full-domain view showing the 1,247 natural fractures (gray) and five hydraulic-fracture stages (red) embedded in the PEBI framework. (b) Local enlargement at a triple-fracture junction, demonstrating preserved cell quality and strict face–fracture conformity.</w:t>
      </w:r>
    </w:p>
    <w:p w14:paraId="384F0AB4">
      <w:pPr>
        <w:pStyle w:val="3"/>
        <w:spacing w:before="0" w:after="120"/>
        <w:ind w:firstLine="480" w:firstLineChars="200"/>
        <w:jc w:val="center"/>
        <w:rPr>
          <w:color w:val="auto"/>
        </w:rPr>
      </w:pPr>
      <w:r>
        <w:rPr>
          <w:b/>
          <w:color w:val="auto"/>
        </w:rPr>
        <w:t>Table 12: Algebraic conditioning and solver performance under DFN insertion.</w:t>
      </w:r>
    </w:p>
    <w:tbl>
      <w:tblPr>
        <w:tblStyle w:val="28"/>
        <w:tblW w:w="8856" w:type="dxa"/>
        <w:jc w:val="center"/>
        <w:tblLayout w:type="autofit"/>
        <w:tblCellMar>
          <w:top w:w="0" w:type="dxa"/>
          <w:left w:w="108" w:type="dxa"/>
          <w:bottom w:w="0" w:type="dxa"/>
          <w:right w:w="108" w:type="dxa"/>
        </w:tblCellMar>
      </w:tblPr>
      <w:tblGrid>
        <w:gridCol w:w="1879"/>
        <w:gridCol w:w="1531"/>
        <w:gridCol w:w="1831"/>
        <w:gridCol w:w="1790"/>
        <w:gridCol w:w="1825"/>
      </w:tblGrid>
      <w:tr w14:paraId="443C4A47">
        <w:trPr>
          <w:trHeight w:val="0" w:hRule="atLeast"/>
          <w:tblHeader/>
          <w:jc w:val="center"/>
        </w:trPr>
        <w:tc>
          <w:tcPr>
            <w:tcW w:w="0" w:type="auto"/>
            <w:tcBorders>
              <w:bottom w:val="single" w:color="auto" w:sz="0" w:space="0"/>
            </w:tcBorders>
            <w:vAlign w:val="bottom"/>
          </w:tcPr>
          <w:p w14:paraId="3F8F798A">
            <w:pPr>
              <w:pStyle w:val="24"/>
              <w:snapToGrid w:val="0"/>
              <w:jc w:val="left"/>
              <w:rPr>
                <w:color w:val="auto"/>
              </w:rPr>
            </w:pPr>
            <w:r>
              <w:rPr>
                <w:color w:val="auto"/>
              </w:rPr>
              <w:t>Metric</w:t>
            </w:r>
          </w:p>
        </w:tc>
        <w:tc>
          <w:tcPr>
            <w:tcW w:w="0" w:type="auto"/>
            <w:tcBorders>
              <w:bottom w:val="single" w:color="auto" w:sz="0" w:space="0"/>
            </w:tcBorders>
            <w:vAlign w:val="bottom"/>
          </w:tcPr>
          <w:p w14:paraId="4C933025">
            <w:pPr>
              <w:pStyle w:val="24"/>
              <w:snapToGrid w:val="0"/>
              <w:jc w:val="left"/>
              <w:rPr>
                <w:color w:val="auto"/>
              </w:rPr>
            </w:pPr>
            <w:r>
              <w:rPr>
                <w:color w:val="auto"/>
              </w:rPr>
              <w:t>No DFN</w:t>
            </w:r>
          </w:p>
        </w:tc>
        <w:tc>
          <w:tcPr>
            <w:tcW w:w="0" w:type="auto"/>
            <w:tcBorders>
              <w:bottom w:val="single" w:color="auto" w:sz="0" w:space="0"/>
            </w:tcBorders>
            <w:vAlign w:val="bottom"/>
          </w:tcPr>
          <w:p w14:paraId="7FF07ABF">
            <w:pPr>
              <w:pStyle w:val="24"/>
              <w:snapToGrid w:val="0"/>
              <w:jc w:val="left"/>
              <w:rPr>
                <w:color w:val="auto"/>
              </w:rPr>
            </w:pPr>
            <w:r>
              <w:rPr>
                <w:color w:val="auto"/>
              </w:rPr>
              <w:t>Proposed PEBI (DFN)</w:t>
            </w:r>
          </w:p>
        </w:tc>
        <w:tc>
          <w:tcPr>
            <w:tcW w:w="0" w:type="auto"/>
            <w:tcBorders>
              <w:bottom w:val="single" w:color="auto" w:sz="0" w:space="0"/>
            </w:tcBorders>
            <w:vAlign w:val="bottom"/>
          </w:tcPr>
          <w:p w14:paraId="7DE158F7">
            <w:pPr>
              <w:pStyle w:val="24"/>
              <w:snapToGrid w:val="0"/>
              <w:jc w:val="left"/>
              <w:rPr>
                <w:color w:val="auto"/>
              </w:rPr>
            </w:pPr>
            <w:r>
              <w:rPr>
                <w:color w:val="auto"/>
              </w:rPr>
              <w:t>Standard Unstructured (DFN)</w:t>
            </w:r>
          </w:p>
        </w:tc>
        <w:tc>
          <w:tcPr>
            <w:tcW w:w="1825" w:type="dxa"/>
            <w:tcBorders>
              <w:bottom w:val="single" w:color="auto" w:sz="0" w:space="0"/>
            </w:tcBorders>
            <w:vAlign w:val="bottom"/>
          </w:tcPr>
          <w:p w14:paraId="75A9CB0C">
            <w:pPr>
              <w:pStyle w:val="24"/>
              <w:snapToGrid w:val="0"/>
              <w:jc w:val="left"/>
              <w:rPr>
                <w:color w:val="auto"/>
              </w:rPr>
            </w:pPr>
            <w:r>
              <w:rPr>
                <w:color w:val="auto"/>
              </w:rPr>
              <w:t>Cartesian LGR (DFN)</w:t>
            </w:r>
          </w:p>
        </w:tc>
      </w:tr>
      <w:tr w14:paraId="0DDC9BA7">
        <w:tblPrEx>
          <w:tblCellMar>
            <w:top w:w="0" w:type="dxa"/>
            <w:left w:w="108" w:type="dxa"/>
            <w:bottom w:w="0" w:type="dxa"/>
            <w:right w:w="108" w:type="dxa"/>
          </w:tblCellMar>
        </w:tblPrEx>
        <w:trPr>
          <w:trHeight w:val="0" w:hRule="atLeast"/>
          <w:tblHeader/>
          <w:jc w:val="center"/>
        </w:trPr>
        <w:tc>
          <w:tcPr>
            <w:tcW w:w="0" w:type="auto"/>
          </w:tcPr>
          <w:p w14:paraId="32749B54">
            <w:pPr>
              <w:pStyle w:val="24"/>
              <w:snapToGrid w:val="0"/>
              <w:jc w:val="left"/>
              <w:rPr>
                <w:color w:val="auto"/>
              </w:rPr>
            </w:pPr>
            <w:r>
              <w:rPr>
                <w:color w:val="auto"/>
              </w:rPr>
              <w:t xml:space="preserve">Faces with </w:t>
            </w:r>
            <m:oMath>
              <m:r>
                <m:rPr/>
                <w:rPr>
                  <w:color w:val="auto"/>
                </w:rPr>
                <m:t>θ≤</m:t>
              </m:r>
              <m:sSup>
                <m:sSupPr>
                  <m:ctrlPr>
                    <w:rPr>
                      <w:color w:val="auto"/>
                    </w:rPr>
                  </m:ctrlPr>
                </m:sSupPr>
                <m:e>
                  <m:r>
                    <m:rPr/>
                    <w:rPr>
                      <w:color w:val="auto"/>
                    </w:rPr>
                    <m:t>5</m:t>
                  </m:r>
                  <m:ctrlPr>
                    <w:rPr>
                      <w:color w:val="auto"/>
                    </w:rPr>
                  </m:ctrlPr>
                </m:e>
                <m:sup>
                  <m:r>
                    <m:rPr/>
                    <w:rPr>
                      <w:color w:val="auto"/>
                    </w:rPr>
                    <m:t>∘</m:t>
                  </m:r>
                  <m:ctrlPr>
                    <w:rPr>
                      <w:color w:val="auto"/>
                    </w:rPr>
                  </m:ctrlPr>
                </m:sup>
              </m:sSup>
            </m:oMath>
          </w:p>
        </w:tc>
        <w:tc>
          <w:tcPr>
            <w:tcW w:w="0" w:type="auto"/>
          </w:tcPr>
          <w:p w14:paraId="1883EB12">
            <w:pPr>
              <w:pStyle w:val="24"/>
              <w:snapToGrid w:val="0"/>
              <w:jc w:val="left"/>
              <w:rPr>
                <w:color w:val="auto"/>
              </w:rPr>
            </w:pPr>
            <w:r>
              <w:rPr>
                <w:color w:val="auto"/>
              </w:rPr>
              <w:t>97.1%</w:t>
            </w:r>
          </w:p>
        </w:tc>
        <w:tc>
          <w:tcPr>
            <w:tcW w:w="0" w:type="auto"/>
          </w:tcPr>
          <w:p w14:paraId="31E627BD">
            <w:pPr>
              <w:pStyle w:val="24"/>
              <w:snapToGrid w:val="0"/>
              <w:jc w:val="left"/>
              <w:rPr>
                <w:color w:val="auto"/>
              </w:rPr>
            </w:pPr>
            <w:r>
              <w:rPr>
                <w:color w:val="auto"/>
              </w:rPr>
              <w:t>95.3%</w:t>
            </w:r>
          </w:p>
        </w:tc>
        <w:tc>
          <w:tcPr>
            <w:tcW w:w="0" w:type="auto"/>
          </w:tcPr>
          <w:p w14:paraId="45074B1C">
            <w:pPr>
              <w:pStyle w:val="24"/>
              <w:snapToGrid w:val="0"/>
              <w:jc w:val="left"/>
              <w:rPr>
                <w:color w:val="auto"/>
              </w:rPr>
            </w:pPr>
            <w:r>
              <w:rPr>
                <w:color w:val="auto"/>
              </w:rPr>
              <w:t>81.2%</w:t>
            </w:r>
          </w:p>
        </w:tc>
        <w:tc>
          <w:tcPr>
            <w:tcW w:w="1825" w:type="dxa"/>
          </w:tcPr>
          <w:p w14:paraId="2557908C">
            <w:pPr>
              <w:pStyle w:val="24"/>
              <w:snapToGrid w:val="0"/>
              <w:jc w:val="left"/>
              <w:rPr>
                <w:color w:val="auto"/>
              </w:rPr>
            </w:pPr>
            <w:r>
              <w:rPr>
                <w:color w:val="auto"/>
              </w:rPr>
              <w:t>58.7%</w:t>
            </w:r>
          </w:p>
        </w:tc>
      </w:tr>
      <w:tr w14:paraId="5AA7CA24">
        <w:tblPrEx>
          <w:tblCellMar>
            <w:top w:w="0" w:type="dxa"/>
            <w:left w:w="108" w:type="dxa"/>
            <w:bottom w:w="0" w:type="dxa"/>
            <w:right w:w="108" w:type="dxa"/>
          </w:tblCellMar>
        </w:tblPrEx>
        <w:trPr>
          <w:trHeight w:val="0" w:hRule="atLeast"/>
          <w:tblHeader/>
          <w:jc w:val="center"/>
        </w:trPr>
        <w:tc>
          <w:tcPr>
            <w:tcW w:w="0" w:type="auto"/>
          </w:tcPr>
          <w:p w14:paraId="2D3247EF">
            <w:pPr>
              <w:pStyle w:val="24"/>
              <w:snapToGrid w:val="0"/>
              <w:jc w:val="left"/>
              <w:rPr>
                <w:color w:val="auto"/>
              </w:rPr>
            </w:pPr>
            <w:r>
              <w:rPr>
                <w:color w:val="auto"/>
              </w:rPr>
              <w:t>Maximum aspect ratio</w:t>
            </w:r>
          </w:p>
        </w:tc>
        <w:tc>
          <w:tcPr>
            <w:tcW w:w="0" w:type="auto"/>
          </w:tcPr>
          <w:p w14:paraId="657A4B73">
            <w:pPr>
              <w:pStyle w:val="24"/>
              <w:snapToGrid w:val="0"/>
              <w:jc w:val="left"/>
              <w:rPr>
                <w:color w:val="auto"/>
              </w:rPr>
            </w:pPr>
            <w:r>
              <w:rPr>
                <w:color w:val="auto"/>
              </w:rPr>
              <w:t>3.8</w:t>
            </w:r>
          </w:p>
        </w:tc>
        <w:tc>
          <w:tcPr>
            <w:tcW w:w="0" w:type="auto"/>
          </w:tcPr>
          <w:p w14:paraId="4E9AF441">
            <w:pPr>
              <w:pStyle w:val="24"/>
              <w:snapToGrid w:val="0"/>
              <w:jc w:val="left"/>
              <w:rPr>
                <w:color w:val="auto"/>
              </w:rPr>
            </w:pPr>
            <w:r>
              <w:rPr>
                <w:color w:val="auto"/>
              </w:rPr>
              <w:t>4.7</w:t>
            </w:r>
          </w:p>
        </w:tc>
        <w:tc>
          <w:tcPr>
            <w:tcW w:w="0" w:type="auto"/>
          </w:tcPr>
          <w:p w14:paraId="63C70D89">
            <w:pPr>
              <w:pStyle w:val="24"/>
              <w:snapToGrid w:val="0"/>
              <w:jc w:val="left"/>
              <w:rPr>
                <w:color w:val="auto"/>
              </w:rPr>
            </w:pPr>
            <w:r>
              <w:rPr>
                <w:color w:val="auto"/>
              </w:rPr>
              <w:t>12.3</w:t>
            </w:r>
          </w:p>
        </w:tc>
        <w:tc>
          <w:tcPr>
            <w:tcW w:w="1825" w:type="dxa"/>
          </w:tcPr>
          <w:p w14:paraId="18C90BBD">
            <w:pPr>
              <w:pStyle w:val="24"/>
              <w:snapToGrid w:val="0"/>
              <w:jc w:val="left"/>
              <w:rPr>
                <w:color w:val="auto"/>
              </w:rPr>
            </w:pPr>
            <w:r>
              <w:rPr>
                <w:color w:val="auto"/>
              </w:rPr>
              <w:t>9.1</w:t>
            </w:r>
          </w:p>
        </w:tc>
      </w:tr>
      <w:tr w14:paraId="136ED4C4">
        <w:tblPrEx>
          <w:tblCellMar>
            <w:top w:w="0" w:type="dxa"/>
            <w:left w:w="108" w:type="dxa"/>
            <w:bottom w:w="0" w:type="dxa"/>
            <w:right w:w="108" w:type="dxa"/>
          </w:tblCellMar>
        </w:tblPrEx>
        <w:trPr>
          <w:trHeight w:val="0" w:hRule="atLeast"/>
          <w:tblHeader/>
          <w:jc w:val="center"/>
        </w:trPr>
        <w:tc>
          <w:tcPr>
            <w:tcW w:w="0" w:type="auto"/>
          </w:tcPr>
          <w:p w14:paraId="56CDC26F">
            <w:pPr>
              <w:pStyle w:val="24"/>
              <w:snapToGrid w:val="0"/>
              <w:jc w:val="left"/>
              <w:rPr>
                <w:color w:val="auto"/>
              </w:rPr>
            </w:pPr>
            <m:oMathPara>
              <m:oMath>
                <m:r>
                  <m:rPr/>
                  <w:rPr>
                    <w:color w:val="auto"/>
                  </w:rPr>
                  <m:t>κ(A)/</m:t>
                </m:r>
                <m:sSub>
                  <m:sSubPr>
                    <m:ctrlPr>
                      <w:rPr>
                        <w:color w:val="auto"/>
                      </w:rPr>
                    </m:ctrlPr>
                  </m:sSubPr>
                  <m:e>
                    <m:r>
                      <m:rPr/>
                      <w:rPr>
                        <w:color w:val="auto"/>
                      </w:rPr>
                      <m:t>κ</m:t>
                    </m:r>
                    <m:ctrlPr>
                      <w:rPr>
                        <w:color w:val="auto"/>
                      </w:rPr>
                    </m:ctrlPr>
                  </m:e>
                  <m:sub>
                    <m:r>
                      <m:rPr/>
                      <w:rPr>
                        <w:color w:val="auto"/>
                      </w:rPr>
                      <m:t>0</m:t>
                    </m:r>
                    <m:ctrlPr>
                      <w:rPr>
                        <w:color w:val="auto"/>
                      </w:rPr>
                    </m:ctrlPr>
                  </m:sub>
                </m:sSub>
                <m:r>
                  <m:rPr/>
                  <w:rPr>
                    <w:color w:val="auto"/>
                  </w:rPr>
                  <m:t>(A)</m:t>
                </m:r>
              </m:oMath>
            </m:oMathPara>
          </w:p>
        </w:tc>
        <w:tc>
          <w:tcPr>
            <w:tcW w:w="0" w:type="auto"/>
          </w:tcPr>
          <w:p w14:paraId="1E41923B">
            <w:pPr>
              <w:pStyle w:val="24"/>
              <w:snapToGrid w:val="0"/>
              <w:jc w:val="left"/>
              <w:rPr>
                <w:color w:val="auto"/>
              </w:rPr>
            </w:pPr>
            <w:r>
              <w:rPr>
                <w:color w:val="auto"/>
              </w:rPr>
              <w:t>1.00</w:t>
            </w:r>
          </w:p>
        </w:tc>
        <w:tc>
          <w:tcPr>
            <w:tcW w:w="0" w:type="auto"/>
          </w:tcPr>
          <w:p w14:paraId="1607F95F">
            <w:pPr>
              <w:pStyle w:val="24"/>
              <w:snapToGrid w:val="0"/>
              <w:jc w:val="left"/>
              <w:rPr>
                <w:color w:val="auto"/>
              </w:rPr>
            </w:pPr>
            <w:r>
              <w:rPr>
                <w:color w:val="auto"/>
              </w:rPr>
              <w:t>2.87</w:t>
            </w:r>
          </w:p>
        </w:tc>
        <w:tc>
          <w:tcPr>
            <w:tcW w:w="0" w:type="auto"/>
          </w:tcPr>
          <w:p w14:paraId="3E90D51E">
            <w:pPr>
              <w:pStyle w:val="24"/>
              <w:snapToGrid w:val="0"/>
              <w:jc w:val="left"/>
              <w:rPr>
                <w:color w:val="auto"/>
              </w:rPr>
            </w:pPr>
            <w:r>
              <w:rPr>
                <w:color w:val="auto"/>
              </w:rPr>
              <w:t>18.6</w:t>
            </w:r>
          </w:p>
        </w:tc>
        <w:tc>
          <w:tcPr>
            <w:tcW w:w="1825" w:type="dxa"/>
          </w:tcPr>
          <w:p w14:paraId="1E4B0CDB">
            <w:pPr>
              <w:pStyle w:val="24"/>
              <w:snapToGrid w:val="0"/>
              <w:jc w:val="left"/>
              <w:rPr>
                <w:color w:val="auto"/>
              </w:rPr>
            </w:pPr>
            <w:r>
              <w:rPr>
                <w:color w:val="auto"/>
              </w:rPr>
              <w:t>11.4</w:t>
            </w:r>
          </w:p>
        </w:tc>
      </w:tr>
      <w:tr w14:paraId="4373FF2D">
        <w:tblPrEx>
          <w:tblCellMar>
            <w:top w:w="0" w:type="dxa"/>
            <w:left w:w="108" w:type="dxa"/>
            <w:bottom w:w="0" w:type="dxa"/>
            <w:right w:w="108" w:type="dxa"/>
          </w:tblCellMar>
        </w:tblPrEx>
        <w:trPr>
          <w:trHeight w:val="0" w:hRule="atLeast"/>
          <w:tblHeader/>
          <w:jc w:val="center"/>
        </w:trPr>
        <w:tc>
          <w:tcPr>
            <w:tcW w:w="0" w:type="auto"/>
          </w:tcPr>
          <w:p w14:paraId="3FB19E1A">
            <w:pPr>
              <w:pStyle w:val="24"/>
              <w:snapToGrid w:val="0"/>
              <w:jc w:val="left"/>
              <w:rPr>
                <w:color w:val="auto"/>
              </w:rPr>
            </w:pPr>
            <w:r>
              <w:rPr>
                <w:color w:val="auto"/>
              </w:rPr>
              <w:t>GMRES iterations (CPR–SA-AMG)</w:t>
            </w:r>
          </w:p>
        </w:tc>
        <w:tc>
          <w:tcPr>
            <w:tcW w:w="0" w:type="auto"/>
          </w:tcPr>
          <w:p w14:paraId="3048240C">
            <w:pPr>
              <w:pStyle w:val="24"/>
              <w:snapToGrid w:val="0"/>
              <w:jc w:val="left"/>
              <w:rPr>
                <w:color w:val="auto"/>
              </w:rPr>
            </w:pPr>
            <w:r>
              <w:rPr>
                <w:color w:val="auto"/>
              </w:rPr>
              <w:t>21</w:t>
            </w:r>
          </w:p>
        </w:tc>
        <w:tc>
          <w:tcPr>
            <w:tcW w:w="0" w:type="auto"/>
          </w:tcPr>
          <w:p w14:paraId="6017E3CB">
            <w:pPr>
              <w:pStyle w:val="24"/>
              <w:snapToGrid w:val="0"/>
              <w:jc w:val="left"/>
              <w:rPr>
                <w:color w:val="auto"/>
              </w:rPr>
            </w:pPr>
            <w:r>
              <w:rPr>
                <w:color w:val="auto"/>
              </w:rPr>
              <w:t>24</w:t>
            </w:r>
          </w:p>
        </w:tc>
        <w:tc>
          <w:tcPr>
            <w:tcW w:w="0" w:type="auto"/>
          </w:tcPr>
          <w:p w14:paraId="5445B0E5">
            <w:pPr>
              <w:pStyle w:val="24"/>
              <w:snapToGrid w:val="0"/>
              <w:jc w:val="left"/>
              <w:rPr>
                <w:color w:val="auto"/>
              </w:rPr>
            </w:pPr>
            <w:r>
              <w:rPr>
                <w:color w:val="auto"/>
              </w:rPr>
              <w:t>89</w:t>
            </w:r>
          </w:p>
        </w:tc>
        <w:tc>
          <w:tcPr>
            <w:tcW w:w="1825" w:type="dxa"/>
          </w:tcPr>
          <w:p w14:paraId="2B6B30E2">
            <w:pPr>
              <w:pStyle w:val="24"/>
              <w:snapToGrid w:val="0"/>
              <w:jc w:val="left"/>
              <w:rPr>
                <w:color w:val="auto"/>
              </w:rPr>
            </w:pPr>
            <w:r>
              <w:rPr>
                <w:color w:val="auto"/>
              </w:rPr>
              <w:t>52</w:t>
            </w:r>
          </w:p>
        </w:tc>
      </w:tr>
      <w:tr w14:paraId="067D4656">
        <w:tblPrEx>
          <w:tblCellMar>
            <w:top w:w="0" w:type="dxa"/>
            <w:left w:w="108" w:type="dxa"/>
            <w:bottom w:w="0" w:type="dxa"/>
            <w:right w:w="108" w:type="dxa"/>
          </w:tblCellMar>
        </w:tblPrEx>
        <w:trPr>
          <w:trHeight w:val="0" w:hRule="atLeast"/>
          <w:tblHeader/>
          <w:jc w:val="center"/>
        </w:trPr>
        <w:tc>
          <w:tcPr>
            <w:tcW w:w="1879" w:type="dxa"/>
          </w:tcPr>
          <w:p w14:paraId="304913BC">
            <w:pPr>
              <w:pStyle w:val="24"/>
              <w:snapToGrid w:val="0"/>
              <w:jc w:val="left"/>
              <w:rPr>
                <w:color w:val="auto"/>
              </w:rPr>
            </w:pPr>
            <w:r>
              <w:rPr>
                <w:color w:val="auto"/>
              </w:rPr>
              <w:t xml:space="preserve">Matrix diagonal dominance </w:t>
            </w:r>
            <m:oMath>
              <m:sSub>
                <m:sSubPr>
                  <m:ctrlPr>
                    <w:rPr>
                      <w:color w:val="auto"/>
                    </w:rPr>
                  </m:ctrlPr>
                </m:sSubPr>
                <m:e>
                  <m:acc>
                    <m:accPr>
                      <m:chr m:val="‾"/>
                      <m:ctrlPr>
                        <w:rPr>
                          <w:color w:val="auto"/>
                        </w:rPr>
                      </m:ctrlPr>
                    </m:accPr>
                    <m:e>
                      <m:r>
                        <m:rPr/>
                        <w:rPr>
                          <w:color w:val="auto"/>
                        </w:rPr>
                        <m:t>δ</m:t>
                      </m:r>
                      <m:ctrlPr>
                        <w:rPr>
                          <w:color w:val="auto"/>
                        </w:rPr>
                      </m:ctrlPr>
                    </m:e>
                  </m:acc>
                  <m:ctrlPr>
                    <w:rPr>
                      <w:color w:val="auto"/>
                    </w:rPr>
                  </m:ctrlPr>
                </m:e>
                <m:sub>
                  <m:r>
                    <m:rPr/>
                    <w:rPr>
                      <w:color w:val="auto"/>
                    </w:rPr>
                    <m:t>i</m:t>
                  </m:r>
                  <m:ctrlPr>
                    <w:rPr>
                      <w:color w:val="auto"/>
                    </w:rPr>
                  </m:ctrlPr>
                </m:sub>
              </m:sSub>
            </m:oMath>
          </w:p>
        </w:tc>
        <w:tc>
          <w:tcPr>
            <w:tcW w:w="1531" w:type="dxa"/>
          </w:tcPr>
          <w:p w14:paraId="4D7A6563">
            <w:pPr>
              <w:pStyle w:val="24"/>
              <w:snapToGrid w:val="0"/>
              <w:jc w:val="left"/>
              <w:rPr>
                <w:color w:val="auto"/>
              </w:rPr>
            </w:pPr>
            <w:r>
              <w:rPr>
                <w:color w:val="auto"/>
              </w:rPr>
              <w:t>2.18</w:t>
            </w:r>
          </w:p>
        </w:tc>
        <w:tc>
          <w:tcPr>
            <w:tcW w:w="1831" w:type="dxa"/>
          </w:tcPr>
          <w:p w14:paraId="4938686E">
            <w:pPr>
              <w:pStyle w:val="24"/>
              <w:snapToGrid w:val="0"/>
              <w:jc w:val="left"/>
              <w:rPr>
                <w:color w:val="auto"/>
              </w:rPr>
            </w:pPr>
            <w:r>
              <w:rPr>
                <w:color w:val="auto"/>
              </w:rPr>
              <w:t>1.94</w:t>
            </w:r>
          </w:p>
        </w:tc>
        <w:tc>
          <w:tcPr>
            <w:tcW w:w="1790" w:type="dxa"/>
          </w:tcPr>
          <w:p w14:paraId="11B2F3D2">
            <w:pPr>
              <w:pStyle w:val="24"/>
              <w:snapToGrid w:val="0"/>
              <w:jc w:val="left"/>
              <w:rPr>
                <w:color w:val="auto"/>
              </w:rPr>
            </w:pPr>
            <w:r>
              <w:rPr>
                <w:color w:val="auto"/>
              </w:rPr>
              <w:t>1.12</w:t>
            </w:r>
          </w:p>
        </w:tc>
        <w:tc>
          <w:tcPr>
            <w:tcW w:w="1825" w:type="dxa"/>
          </w:tcPr>
          <w:p w14:paraId="292F3C4D">
            <w:pPr>
              <w:pStyle w:val="24"/>
              <w:snapToGrid w:val="0"/>
              <w:jc w:val="left"/>
              <w:rPr>
                <w:color w:val="auto"/>
              </w:rPr>
            </w:pPr>
            <w:r>
              <w:rPr>
                <w:color w:val="auto"/>
              </w:rPr>
              <w:t>1.31</w:t>
            </w:r>
          </w:p>
        </w:tc>
      </w:tr>
    </w:tbl>
    <w:p w14:paraId="3F629859">
      <w:pPr>
        <w:pStyle w:val="3"/>
        <w:spacing w:before="0" w:after="120"/>
        <w:ind w:firstLine="480" w:firstLineChars="200"/>
        <w:jc w:val="both"/>
        <w:rPr>
          <w:color w:val="auto"/>
        </w:rPr>
      </w:pPr>
      <w:r>
        <w:rPr>
          <w:color w:val="auto"/>
        </w:rPr>
        <w:t>As documented in Fig. 10 and Table 12, the proposed mesh generator retains 95.3% of faces in K-orthogonal condition despite the geometric complexity introduced by 1,247 stochastically placed natural fractures. The spectral conditioning proxy for the baseline DFN realization rises to only 2.87× (Table 12)—a modest increase relative to the DFN-free PEBI baseline—compared with 18.6× for the standard unstructured mesh and 11.4× for Cartesian LGR under identical DFN placement. The Monte Carlo ensemble (n = 25 independent realizations) confirms that this result is statistically robust: the ensemble yields 2.94 ± 0.41× (mean ± 1σ), with the single-realization value falling well within one standard deviation of the mean. The normalized condition number κ̂(A)/κ̂₀(A) is used throughout, where κ̂₀(A) is the spectral conditioning proxy of the base-case (no-DFN) PEBI Jacobian matrix.</w:t>
      </w:r>
      <m:oMath>
        <m:r>
          <m:rPr/>
          <w:rPr>
            <w:color w:val="auto"/>
          </w:rPr>
          <m:t>κ(A)/</m:t>
        </m:r>
        <m:sSub>
          <m:sSubPr>
            <m:ctrlPr>
              <w:rPr>
                <w:color w:val="auto"/>
              </w:rPr>
            </m:ctrlPr>
          </m:sSubPr>
          <m:e>
            <m:r>
              <m:rPr/>
              <w:rPr>
                <w:color w:val="auto"/>
              </w:rPr>
              <m:t>κ</m:t>
            </m:r>
            <m:ctrlPr>
              <w:rPr>
                <w:color w:val="auto"/>
              </w:rPr>
            </m:ctrlPr>
          </m:e>
          <m:sub>
            <m:r>
              <m:rPr/>
              <w:rPr>
                <w:color w:val="auto"/>
              </w:rPr>
              <m:t>0</m:t>
            </m:r>
            <m:ctrlPr>
              <w:rPr>
                <w:color w:val="auto"/>
              </w:rPr>
            </m:ctrlPr>
          </m:sub>
        </m:sSub>
        <m:r>
          <m:rPr/>
          <w:rPr>
            <w:color w:val="auto"/>
          </w:rPr>
          <m:t>(A)n=25κ(A)/</m:t>
        </m:r>
        <m:sSub>
          <m:sSubPr>
            <m:ctrlPr>
              <w:rPr>
                <w:color w:val="auto"/>
              </w:rPr>
            </m:ctrlPr>
          </m:sSubPr>
          <m:e>
            <m:r>
              <m:rPr/>
              <w:rPr>
                <w:color w:val="auto"/>
              </w:rPr>
              <m:t>κ</m:t>
            </m:r>
            <m:ctrlPr>
              <w:rPr>
                <w:color w:val="auto"/>
              </w:rPr>
            </m:ctrlPr>
          </m:e>
          <m:sub>
            <m:r>
              <m:rPr/>
              <w:rPr>
                <w:color w:val="auto"/>
              </w:rPr>
              <m:t>0</m:t>
            </m:r>
            <m:ctrlPr>
              <w:rPr>
                <w:color w:val="auto"/>
              </w:rPr>
            </m:ctrlPr>
          </m:sub>
        </m:sSub>
        <m:r>
          <m:rPr/>
          <w:rPr>
            <w:color w:val="auto"/>
          </w:rPr>
          <m:t>(A)=2.94±0.41±σ±σκ(A)/</m:t>
        </m:r>
        <m:sSub>
          <m:sSubPr>
            <m:ctrlPr>
              <w:rPr>
                <w:color w:val="auto"/>
              </w:rPr>
            </m:ctrlPr>
          </m:sSubPr>
          <m:e>
            <m:r>
              <m:rPr/>
              <w:rPr>
                <w:color w:val="auto"/>
              </w:rPr>
              <m:t>κ</m:t>
            </m:r>
            <m:ctrlPr>
              <w:rPr>
                <w:color w:val="auto"/>
              </w:rPr>
            </m:ctrlPr>
          </m:e>
          <m:sub>
            <m:r>
              <m:rPr/>
              <w:rPr>
                <w:color w:val="auto"/>
              </w:rPr>
              <m:t>0</m:t>
            </m:r>
            <m:ctrlPr>
              <w:rPr>
                <w:color w:val="auto"/>
              </w:rPr>
            </m:ctrlPr>
          </m:sub>
        </m:sSub>
        <m:r>
          <m:rPr/>
          <w:rPr>
            <w:color w:val="auto"/>
          </w:rPr>
          <m:t>(A)</m:t>
        </m:r>
        <m:sSub>
          <m:sSubPr>
            <m:ctrlPr>
              <w:rPr>
                <w:color w:val="auto"/>
              </w:rPr>
            </m:ctrlPr>
          </m:sSubPr>
          <m:e>
            <m:r>
              <m:rPr/>
              <w:rPr>
                <w:color w:val="auto"/>
              </w:rPr>
              <m:t>κ</m:t>
            </m:r>
            <m:ctrlPr>
              <w:rPr>
                <w:color w:val="auto"/>
              </w:rPr>
            </m:ctrlPr>
          </m:e>
          <m:sub>
            <m:r>
              <m:rPr/>
              <w:rPr>
                <w:color w:val="auto"/>
              </w:rPr>
              <m:t>0</m:t>
            </m:r>
            <m:ctrlPr>
              <w:rPr>
                <w:color w:val="auto"/>
              </w:rPr>
            </m:ctrlPr>
          </m:sub>
        </m:sSub>
        <m:r>
          <m:rPr/>
          <w:rPr>
            <w:color w:val="auto"/>
          </w:rPr>
          <m:t>(A)3.7×</m:t>
        </m:r>
        <m:sSup>
          <m:sSupPr>
            <m:ctrlPr>
              <w:rPr>
                <w:color w:val="auto"/>
              </w:rPr>
            </m:ctrlPr>
          </m:sSupPr>
          <m:e>
            <m:r>
              <m:rPr/>
              <w:rPr>
                <w:color w:val="auto"/>
              </w:rPr>
              <m:t>10</m:t>
            </m:r>
            <m:ctrlPr>
              <w:rPr>
                <w:color w:val="auto"/>
              </w:rPr>
            </m:ctrlPr>
          </m:e>
          <m:sup>
            <m:r>
              <m:rPr/>
              <w:rPr>
                <w:color w:val="auto"/>
              </w:rPr>
              <m:t>6</m:t>
            </m:r>
            <m:ctrlPr>
              <w:rPr>
                <w:color w:val="auto"/>
              </w:rPr>
            </m:ctrlPr>
          </m:sup>
        </m:sSup>
      </m:oMath>
    </w:p>
    <w:p w14:paraId="6BE12C09">
      <w:pPr>
        <w:pStyle w:val="34"/>
        <w:rPr>
          <w:color w:val="auto"/>
        </w:rPr>
      </w:pPr>
      <w:r>
        <w:rPr>
          <w:color w:val="auto"/>
        </w:rPr>
        <w:drawing>
          <wp:inline distT="0" distB="0" distL="114300" distR="114300">
            <wp:extent cx="4287520" cy="3014345"/>
            <wp:effectExtent l="0" t="0" r="0" b="0"/>
            <wp:docPr id="11" name="Picture" descr="Fig. 11. Condition number evolution as a function of the number of embedded fracture planes. The proposed PEBI formulation exhibits approximately linear growth (R^2 = 0.97, slope = 0.0018 per fracture), whereas the Cartesian LGR and standard unstructured mesh degrade at superlinear 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descr="Fig. 11. Condition number evolution as a function of the number of embedded fracture planes. The proposed PEBI formulation exhibits approximately linear growth (R^2 = 0.97, slope = 0.0018 per fracture), whereas the Cartesian LGR and standard unstructured mesh degrade at superlinear rates."/>
                    <pic:cNvPicPr>
                      <a:picLocks noChangeAspect="1" noChangeArrowheads="1"/>
                    </pic:cNvPicPr>
                  </pic:nvPicPr>
                  <pic:blipFill>
                    <a:blip r:embed="rId15"/>
                    <a:stretch>
                      <a:fillRect/>
                    </a:stretch>
                  </pic:blipFill>
                  <pic:spPr>
                    <a:xfrm>
                      <a:off x="0" y="0"/>
                      <a:ext cx="4288076" cy="3014597"/>
                    </a:xfrm>
                    <a:prstGeom prst="rect">
                      <a:avLst/>
                    </a:prstGeom>
                    <a:noFill/>
                    <a:ln w="9525">
                      <a:noFill/>
                    </a:ln>
                  </pic:spPr>
                </pic:pic>
              </a:graphicData>
            </a:graphic>
          </wp:inline>
        </w:drawing>
      </w:r>
    </w:p>
    <w:p w14:paraId="7783FE45">
      <w:pPr>
        <w:pStyle w:val="32"/>
        <w:jc w:val="center"/>
        <w:rPr>
          <w:color w:val="auto"/>
        </w:rPr>
      </w:pPr>
      <w:r>
        <w:rPr>
          <w:color w:val="auto"/>
        </w:rPr>
        <w:t>Fig. 11. Condition number evolution as a function of the number of embedded fracture planes. The proposed PEBI formulation exhibits approximately linear growth (</w:t>
      </w:r>
      <m:oMath>
        <m:sSup>
          <m:sSupPr>
            <m:ctrlPr>
              <w:rPr>
                <w:color w:val="auto"/>
              </w:rPr>
            </m:ctrlPr>
          </m:sSupPr>
          <m:e>
            <m:r>
              <m:rPr/>
              <w:rPr>
                <w:color w:val="auto"/>
              </w:rPr>
              <m:t>R</m:t>
            </m:r>
            <m:ctrlPr>
              <w:rPr>
                <w:color w:val="auto"/>
              </w:rPr>
            </m:ctrlPr>
          </m:e>
          <m:sup>
            <m:r>
              <m:rPr/>
              <w:rPr>
                <w:color w:val="auto"/>
              </w:rPr>
              <m:t>2</m:t>
            </m:r>
            <m:ctrlPr>
              <w:rPr>
                <w:color w:val="auto"/>
              </w:rPr>
            </m:ctrlPr>
          </m:sup>
        </m:sSup>
        <m:r>
          <m:rPr/>
          <w:rPr>
            <w:color w:val="auto"/>
          </w:rPr>
          <m:t>=0.97</m:t>
        </m:r>
      </m:oMath>
      <w:r>
        <w:rPr>
          <w:color w:val="auto"/>
        </w:rPr>
        <w:t>, slope = 0.0018 per fracture), whereas the Cartesian LGR and standard unstructured mesh degrade at superlinear rates.</w:t>
      </w:r>
    </w:p>
    <w:p w14:paraId="5AA8B97C">
      <w:pPr>
        <w:pStyle w:val="3"/>
        <w:spacing w:before="0" w:after="120"/>
        <w:ind w:firstLine="480" w:firstLineChars="200"/>
        <w:jc w:val="both"/>
        <w:rPr>
          <w:color w:val="auto"/>
        </w:rPr>
      </w:pPr>
      <w:r>
        <w:rPr>
          <w:color w:val="auto"/>
        </w:rPr>
        <w:t xml:space="preserve">The mechanisms underlying this divergent behavior are clarified in Fig. 11. The </w:t>
      </w:r>
      <m:oMath>
        <m:r>
          <m:rPr>
            <m:nor/>
            <m:sty m:val="p"/>
          </m:rPr>
          <w:rPr>
            <w:b w:val="0"/>
            <w:i w:val="0"/>
            <w:color w:val="auto"/>
          </w:rPr>
          <m:t>tanh</m:t>
        </m:r>
      </m:oMath>
      <w:r>
        <w:rPr>
          <w:color w:val="auto"/>
        </w:rPr>
        <w:t>-based density law combined with Lloyd smoothing maintains bounded condition numbers even as the fracture density increases.</w:t>
      </w:r>
    </w:p>
    <w:p w14:paraId="2EF07E5E">
      <w:pPr>
        <w:pStyle w:val="3"/>
        <w:spacing w:before="0" w:after="120"/>
        <w:ind w:firstLine="480" w:firstLineChars="200"/>
        <w:jc w:val="both"/>
        <w:rPr>
          <w:color w:val="auto"/>
        </w:rPr>
      </w:pPr>
      <w:r>
        <w:rPr>
          <w:color w:val="auto"/>
        </w:rPr>
        <w:t xml:space="preserve">To establish the statistical significance of the DFN-influenced results, we conducted a Monte Carlo ensemble study comprising 25 independent DFN realizations. Each realization was generated from the same parent statistical distributions (Fisher orientation, </w:t>
      </w:r>
      <m:oMath>
        <m:sSub>
          <m:sSubPr>
            <m:ctrlPr>
              <w:rPr>
                <w:color w:val="auto"/>
              </w:rPr>
            </m:ctrlPr>
          </m:sSubPr>
          <m:e>
            <m:r>
              <m:rPr/>
              <w:rPr>
                <w:color w:val="auto"/>
              </w:rPr>
              <m:t>κ</m:t>
            </m:r>
            <m:ctrlPr>
              <w:rPr>
                <w:color w:val="auto"/>
              </w:rPr>
            </m:ctrlPr>
          </m:e>
          <m:sub>
            <m:r>
              <m:rPr/>
              <w:rPr>
                <w:color w:val="auto"/>
              </w:rPr>
              <m:t>f</m:t>
            </m:r>
            <m:ctrlPr>
              <w:rPr>
                <w:color w:val="auto"/>
              </w:rPr>
            </m:ctrlPr>
          </m:sub>
        </m:sSub>
        <m:r>
          <m:rPr/>
          <w:rPr>
            <w:color w:val="auto"/>
          </w:rPr>
          <m:t>=15</m:t>
        </m:r>
      </m:oMath>
      <w:r>
        <w:rPr>
          <w:color w:val="auto"/>
        </w:rPr>
        <w:t xml:space="preserve">; power-law length distribution, exponent 2.3; log-normal apertures, mean 0.5 mm, </w:t>
      </w:r>
      <m:oMath>
        <m:r>
          <m:rPr/>
          <w:rPr>
            <w:color w:val="auto"/>
          </w:rPr>
          <m:t>σ=0.3</m:t>
        </m:r>
      </m:oMath>
      <w:r>
        <w:rPr>
          <w:color w:val="auto"/>
        </w:rPr>
        <w:t xml:space="preserve"> mm) but with independent random seeds governing fracture center placement, orientation, and aperture assignment. The PEBI mesh was regenerated for each realization, and the full ten-year simulation was executed. This ensemble size (</w:t>
      </w:r>
      <m:oMath>
        <m:r>
          <m:rPr/>
          <w:rPr>
            <w:color w:val="auto"/>
          </w:rPr>
          <m:t>n=25</m:t>
        </m:r>
      </m:oMath>
      <w:r>
        <w:rPr>
          <w:color w:val="auto"/>
        </w:rPr>
        <w:t xml:space="preserve">) is sufficient for the sample mean to converge within </w:t>
      </w:r>
      <m:oMath>
        <m:r>
          <m:rPr/>
          <w:rPr>
            <w:color w:val="auto"/>
          </w:rPr>
          <m:t>2%</m:t>
        </m:r>
      </m:oMath>
      <w:r>
        <w:rPr>
          <w:color w:val="auto"/>
        </w:rPr>
        <w:t xml:space="preserve"> of the population mean at the 95% confidence level for both condition number ratio and cumulative oil enhancement, as verified by bootstrap resampling of the ensemble.</w:t>
      </w:r>
    </w:p>
    <w:p w14:paraId="23595C10">
      <w:pPr>
        <w:pStyle w:val="3"/>
        <w:spacing w:before="0" w:after="120"/>
        <w:ind w:firstLine="480" w:firstLineChars="200"/>
        <w:jc w:val="both"/>
        <w:rPr>
          <w:color w:val="auto"/>
        </w:rPr>
      </w:pPr>
    </w:p>
    <w:p w14:paraId="6D59BEAA">
      <w:pPr>
        <w:pStyle w:val="3"/>
        <w:spacing w:before="0" w:after="120"/>
        <w:ind w:firstLine="480" w:firstLineChars="200"/>
        <w:jc w:val="center"/>
        <w:rPr>
          <w:color w:val="auto"/>
        </w:rPr>
      </w:pPr>
      <w:r>
        <w:rPr>
          <w:b/>
          <w:color w:val="auto"/>
        </w:rPr>
        <w:t>Table 12b: Monte Carlo ensemble statistics ( DFN realizations).</w:t>
      </w:r>
      <m:oMath>
        <m:r>
          <m:rPr/>
          <w:rPr>
            <w:color w:val="auto"/>
          </w:rPr>
          <m:t>n=25</m:t>
        </m:r>
      </m:oMath>
    </w:p>
    <w:tbl>
      <w:tblPr>
        <w:tblStyle w:val="28"/>
        <w:tblW w:w="8856" w:type="dxa"/>
        <w:jc w:val="center"/>
        <w:tblLayout w:type="autofit"/>
        <w:tblCellMar>
          <w:top w:w="0" w:type="dxa"/>
          <w:left w:w="108" w:type="dxa"/>
          <w:bottom w:w="0" w:type="dxa"/>
          <w:right w:w="108" w:type="dxa"/>
        </w:tblCellMar>
      </w:tblPr>
      <w:tblGrid>
        <w:gridCol w:w="2147"/>
        <w:gridCol w:w="1133"/>
        <w:gridCol w:w="1168"/>
        <w:gridCol w:w="1133"/>
        <w:gridCol w:w="1133"/>
        <w:gridCol w:w="2142"/>
      </w:tblGrid>
      <w:tr w14:paraId="41338B0D">
        <w:tblPrEx>
          <w:tblCellMar>
            <w:top w:w="0" w:type="dxa"/>
            <w:left w:w="108" w:type="dxa"/>
            <w:bottom w:w="0" w:type="dxa"/>
            <w:right w:w="108" w:type="dxa"/>
          </w:tblCellMar>
        </w:tblPrEx>
        <w:trPr>
          <w:trHeight w:val="0" w:hRule="atLeast"/>
          <w:tblHeader/>
          <w:jc w:val="center"/>
        </w:trPr>
        <w:tc>
          <w:tcPr>
            <w:tcW w:w="2147" w:type="dxa"/>
            <w:tcBorders>
              <w:bottom w:val="single" w:color="auto" w:sz="0" w:space="0"/>
            </w:tcBorders>
            <w:vAlign w:val="center"/>
          </w:tcPr>
          <w:p w14:paraId="4A28E605">
            <w:pPr>
              <w:pStyle w:val="24"/>
              <w:snapToGrid w:val="0"/>
              <w:ind w:left="0" w:leftChars="0" w:right="0" w:rightChars="0" w:firstLine="0" w:firstLineChars="0"/>
              <w:jc w:val="center"/>
              <w:rPr>
                <w:b/>
                <w:color w:val="auto"/>
              </w:rPr>
            </w:pPr>
            <w:r>
              <w:rPr>
                <w:b/>
                <w:color w:val="auto"/>
              </w:rPr>
              <w:t>Quantity</w:t>
            </w:r>
          </w:p>
        </w:tc>
        <w:tc>
          <w:tcPr>
            <w:tcW w:w="1133" w:type="dxa"/>
            <w:tcBorders>
              <w:bottom w:val="single" w:color="auto" w:sz="0" w:space="0"/>
            </w:tcBorders>
            <w:vAlign w:val="center"/>
          </w:tcPr>
          <w:p w14:paraId="36F315A0">
            <w:pPr>
              <w:pStyle w:val="24"/>
              <w:snapToGrid w:val="0"/>
              <w:ind w:left="0" w:leftChars="0" w:right="0" w:rightChars="0" w:firstLine="0" w:firstLineChars="0"/>
              <w:jc w:val="center"/>
              <w:rPr>
                <w:b/>
                <w:color w:val="auto"/>
              </w:rPr>
            </w:pPr>
            <w:r>
              <w:rPr>
                <w:b/>
                <w:color w:val="auto"/>
              </w:rPr>
              <w:t>Mean</w:t>
            </w:r>
          </w:p>
        </w:tc>
        <w:tc>
          <w:tcPr>
            <w:tcW w:w="1168" w:type="dxa"/>
            <w:tcBorders>
              <w:bottom w:val="single" w:color="auto" w:sz="0" w:space="0"/>
            </w:tcBorders>
            <w:vAlign w:val="center"/>
          </w:tcPr>
          <w:p w14:paraId="012C4CFC">
            <w:pPr>
              <w:pStyle w:val="24"/>
              <w:snapToGrid w:val="0"/>
              <w:ind w:left="0" w:leftChars="0" w:right="0" w:rightChars="0" w:firstLine="0" w:firstLineChars="0"/>
              <w:jc w:val="center"/>
              <w:rPr>
                <w:b/>
                <w:color w:val="auto"/>
              </w:rPr>
            </w:pPr>
            <w:r>
              <w:rPr>
                <w:b/>
                <w:color w:val="auto"/>
              </w:rPr>
              <w:t>Std Dev</w:t>
            </w:r>
          </w:p>
        </w:tc>
        <w:tc>
          <w:tcPr>
            <w:tcW w:w="1133" w:type="dxa"/>
            <w:tcBorders>
              <w:bottom w:val="single" w:color="auto" w:sz="0" w:space="0"/>
            </w:tcBorders>
            <w:vAlign w:val="center"/>
          </w:tcPr>
          <w:p w14:paraId="40E26584">
            <w:pPr>
              <w:pStyle w:val="24"/>
              <w:snapToGrid w:val="0"/>
              <w:ind w:left="0" w:leftChars="0" w:right="0" w:rightChars="0" w:firstLine="0" w:firstLineChars="0"/>
              <w:jc w:val="center"/>
              <w:rPr>
                <w:b/>
                <w:color w:val="auto"/>
              </w:rPr>
            </w:pPr>
            <w:r>
              <w:rPr>
                <w:b/>
                <w:color w:val="auto"/>
              </w:rPr>
              <w:t>Min</w:t>
            </w:r>
          </w:p>
        </w:tc>
        <w:tc>
          <w:tcPr>
            <w:tcW w:w="1133" w:type="dxa"/>
            <w:tcBorders>
              <w:bottom w:val="single" w:color="auto" w:sz="0" w:space="0"/>
            </w:tcBorders>
            <w:vAlign w:val="center"/>
          </w:tcPr>
          <w:p w14:paraId="4E9F902C">
            <w:pPr>
              <w:pStyle w:val="24"/>
              <w:snapToGrid w:val="0"/>
              <w:ind w:left="0" w:leftChars="0" w:right="0" w:rightChars="0" w:firstLine="0" w:firstLineChars="0"/>
              <w:jc w:val="center"/>
              <w:rPr>
                <w:b/>
                <w:color w:val="auto"/>
              </w:rPr>
            </w:pPr>
            <w:r>
              <w:rPr>
                <w:b/>
                <w:color w:val="auto"/>
              </w:rPr>
              <w:t>Max</w:t>
            </w:r>
          </w:p>
        </w:tc>
        <w:tc>
          <w:tcPr>
            <w:tcW w:w="2141" w:type="dxa"/>
            <w:tcBorders>
              <w:bottom w:val="single" w:color="auto" w:sz="0" w:space="0"/>
            </w:tcBorders>
            <w:vAlign w:val="center"/>
          </w:tcPr>
          <w:p w14:paraId="742AC217">
            <w:pPr>
              <w:pStyle w:val="24"/>
              <w:snapToGrid w:val="0"/>
              <w:ind w:left="0" w:leftChars="0" w:right="0" w:rightChars="0" w:firstLine="0" w:firstLineChars="0"/>
              <w:jc w:val="center"/>
              <w:rPr>
                <w:b/>
                <w:color w:val="auto"/>
              </w:rPr>
            </w:pPr>
            <w:r>
              <w:rPr>
                <w:b/>
                <w:color w:val="auto"/>
              </w:rPr>
              <w:t xml:space="preserve">95% CI </w:t>
            </w:r>
          </w:p>
          <w:p w14:paraId="0AFC6E20">
            <w:pPr>
              <w:pStyle w:val="24"/>
              <w:snapToGrid w:val="0"/>
              <w:ind w:left="0" w:leftChars="0" w:right="0" w:rightChars="0" w:firstLine="0" w:firstLineChars="0"/>
              <w:jc w:val="center"/>
              <w:rPr>
                <w:b/>
                <w:color w:val="auto"/>
              </w:rPr>
            </w:pPr>
            <w:r>
              <w:rPr>
                <w:b/>
                <w:color w:val="auto"/>
              </w:rPr>
              <w:t>(bootstrap)</w:t>
            </w:r>
          </w:p>
        </w:tc>
      </w:tr>
      <w:tr w14:paraId="4A14F129">
        <w:tblPrEx>
          <w:tblCellMar>
            <w:top w:w="0" w:type="dxa"/>
            <w:left w:w="108" w:type="dxa"/>
            <w:bottom w:w="0" w:type="dxa"/>
            <w:right w:w="108" w:type="dxa"/>
          </w:tblCellMar>
        </w:tblPrEx>
        <w:trPr>
          <w:trHeight w:val="0" w:hRule="atLeast"/>
          <w:jc w:val="center"/>
        </w:trPr>
        <w:tc>
          <w:tcPr>
            <w:tcW w:w="2147" w:type="dxa"/>
            <w:vAlign w:val="center"/>
          </w:tcPr>
          <w:p w14:paraId="33052F69">
            <w:pPr>
              <w:pStyle w:val="24"/>
              <w:snapToGrid w:val="0"/>
              <w:ind w:left="0" w:leftChars="0" w:right="0" w:rightChars="0" w:firstLine="0" w:firstLineChars="0"/>
              <w:jc w:val="center"/>
              <w:rPr>
                <w:color w:val="auto"/>
              </w:rPr>
            </w:pPr>
            <m:oMathPara>
              <m:oMath>
                <m:r>
                  <m:rPr/>
                  <w:rPr>
                    <w:color w:val="auto"/>
                  </w:rPr>
                  <m:t>κ(A)/</m:t>
                </m:r>
                <m:sSub>
                  <m:sSubPr>
                    <m:ctrlPr>
                      <w:rPr>
                        <w:color w:val="auto"/>
                      </w:rPr>
                    </m:ctrlPr>
                  </m:sSubPr>
                  <m:e>
                    <m:r>
                      <m:rPr/>
                      <w:rPr>
                        <w:color w:val="auto"/>
                      </w:rPr>
                      <m:t>κ</m:t>
                    </m:r>
                    <m:ctrlPr>
                      <w:rPr>
                        <w:color w:val="auto"/>
                      </w:rPr>
                    </m:ctrlPr>
                  </m:e>
                  <m:sub>
                    <m:r>
                      <m:rPr/>
                      <w:rPr>
                        <w:color w:val="auto"/>
                      </w:rPr>
                      <m:t>0</m:t>
                    </m:r>
                    <m:ctrlPr>
                      <w:rPr>
                        <w:color w:val="auto"/>
                      </w:rPr>
                    </m:ctrlPr>
                  </m:sub>
                </m:sSub>
                <m:r>
                  <m:rPr/>
                  <w:rPr>
                    <w:color w:val="auto"/>
                  </w:rPr>
                  <m:t>(A)</m:t>
                </m:r>
              </m:oMath>
            </m:oMathPara>
          </w:p>
        </w:tc>
        <w:tc>
          <w:tcPr>
            <w:tcW w:w="1133" w:type="dxa"/>
            <w:vAlign w:val="center"/>
          </w:tcPr>
          <w:p w14:paraId="1E75713E">
            <w:pPr>
              <w:pStyle w:val="24"/>
              <w:snapToGrid w:val="0"/>
              <w:ind w:left="0" w:leftChars="0" w:right="0" w:rightChars="0" w:firstLine="0" w:firstLineChars="0"/>
              <w:jc w:val="left"/>
              <w:rPr>
                <w:color w:val="auto"/>
              </w:rPr>
            </w:pPr>
            <w:r>
              <w:rPr>
                <w:color w:val="auto"/>
              </w:rPr>
              <w:t>2.94</w:t>
            </w:r>
          </w:p>
        </w:tc>
        <w:tc>
          <w:tcPr>
            <w:tcW w:w="1168" w:type="dxa"/>
            <w:vAlign w:val="center"/>
          </w:tcPr>
          <w:p w14:paraId="0ABB0AC8">
            <w:pPr>
              <w:pStyle w:val="24"/>
              <w:snapToGrid w:val="0"/>
              <w:ind w:left="0" w:leftChars="0" w:right="0" w:rightChars="0" w:firstLine="0" w:firstLineChars="0"/>
              <w:jc w:val="center"/>
              <w:rPr>
                <w:color w:val="auto"/>
              </w:rPr>
            </w:pPr>
            <w:r>
              <w:rPr>
                <w:color w:val="auto"/>
              </w:rPr>
              <w:t>0.41</w:t>
            </w:r>
          </w:p>
        </w:tc>
        <w:tc>
          <w:tcPr>
            <w:tcW w:w="1133" w:type="dxa"/>
            <w:vAlign w:val="center"/>
          </w:tcPr>
          <w:p w14:paraId="316FA7FF">
            <w:pPr>
              <w:pStyle w:val="24"/>
              <w:snapToGrid w:val="0"/>
              <w:ind w:left="0" w:leftChars="0" w:right="0" w:rightChars="0" w:firstLine="0" w:firstLineChars="0"/>
              <w:jc w:val="center"/>
              <w:rPr>
                <w:color w:val="auto"/>
              </w:rPr>
            </w:pPr>
            <w:r>
              <w:rPr>
                <w:color w:val="auto"/>
              </w:rPr>
              <w:t>2.31</w:t>
            </w:r>
          </w:p>
        </w:tc>
        <w:tc>
          <w:tcPr>
            <w:tcW w:w="1133" w:type="dxa"/>
            <w:vAlign w:val="center"/>
          </w:tcPr>
          <w:p w14:paraId="731A95FC">
            <w:pPr>
              <w:pStyle w:val="24"/>
              <w:snapToGrid w:val="0"/>
              <w:ind w:left="0" w:leftChars="0" w:right="0" w:rightChars="0" w:firstLine="0" w:firstLineChars="0"/>
              <w:jc w:val="center"/>
              <w:rPr>
                <w:color w:val="auto"/>
              </w:rPr>
            </w:pPr>
            <w:r>
              <w:rPr>
                <w:color w:val="auto"/>
              </w:rPr>
              <w:t>3.87</w:t>
            </w:r>
          </w:p>
        </w:tc>
        <w:tc>
          <w:tcPr>
            <w:tcW w:w="2141" w:type="dxa"/>
            <w:vAlign w:val="center"/>
          </w:tcPr>
          <w:p w14:paraId="32035E4B">
            <w:pPr>
              <w:pStyle w:val="24"/>
              <w:snapToGrid w:val="0"/>
              <w:ind w:left="0" w:leftChars="0" w:right="0" w:rightChars="0" w:firstLine="0" w:firstLineChars="0"/>
              <w:jc w:val="center"/>
              <w:rPr>
                <w:color w:val="auto"/>
              </w:rPr>
            </w:pPr>
            <w:r>
              <w:rPr>
                <w:color w:val="auto"/>
              </w:rPr>
              <w:t>[2.78, 3.11]</w:t>
            </w:r>
          </w:p>
        </w:tc>
      </w:tr>
      <w:tr w14:paraId="3A79F8D5">
        <w:tblPrEx>
          <w:tblCellMar>
            <w:top w:w="0" w:type="dxa"/>
            <w:left w:w="108" w:type="dxa"/>
            <w:bottom w:w="0" w:type="dxa"/>
            <w:right w:w="108" w:type="dxa"/>
          </w:tblCellMar>
        </w:tblPrEx>
        <w:trPr>
          <w:trHeight w:val="0" w:hRule="atLeast"/>
          <w:jc w:val="center"/>
        </w:trPr>
        <w:tc>
          <w:tcPr>
            <w:tcW w:w="2147" w:type="dxa"/>
            <w:vAlign w:val="center"/>
          </w:tcPr>
          <w:p w14:paraId="7DC5FC69">
            <w:pPr>
              <w:pStyle w:val="24"/>
              <w:snapToGrid w:val="0"/>
              <w:ind w:left="0" w:leftChars="0" w:right="0" w:rightChars="0" w:firstLine="0" w:firstLineChars="0"/>
              <w:jc w:val="center"/>
              <w:rPr>
                <w:color w:val="auto"/>
              </w:rPr>
            </w:pPr>
            <m:oMath>
              <m:r>
                <m:rPr/>
                <w:rPr>
                  <w:color w:val="auto"/>
                </w:rPr>
                <m:t>Δ</m:t>
              </m:r>
              <m:sSub>
                <m:sSubPr>
                  <m:ctrlPr>
                    <w:rPr>
                      <w:color w:val="auto"/>
                    </w:rPr>
                  </m:ctrlPr>
                </m:sSubPr>
                <m:e>
                  <m:r>
                    <m:rPr/>
                    <w:rPr>
                      <w:color w:val="auto"/>
                    </w:rPr>
                    <m:t>N</m:t>
                  </m:r>
                  <m:ctrlPr>
                    <w:rPr>
                      <w:color w:val="auto"/>
                    </w:rPr>
                  </m:ctrlPr>
                </m:e>
                <m:sub>
                  <m:r>
                    <m:rPr/>
                    <w:rPr>
                      <w:color w:val="auto"/>
                    </w:rPr>
                    <m:t>10</m:t>
                  </m:r>
                  <m:r>
                    <m:rPr>
                      <m:nor/>
                      <m:sty m:val="p"/>
                    </m:rPr>
                    <w:rPr>
                      <w:b w:val="0"/>
                      <w:i w:val="0"/>
                      <w:color w:val="auto"/>
                    </w:rPr>
                    <m:t>y</m:t>
                  </m:r>
                  <m:ctrlPr>
                    <w:rPr>
                      <w:color w:val="auto"/>
                    </w:rPr>
                  </m:ctrlPr>
                </m:sub>
              </m:sSub>
            </m:oMath>
            <w:r>
              <w:rPr>
                <w:color w:val="auto"/>
              </w:rPr>
              <w:t xml:space="preserve"> (cumulative oil, %)</w:t>
            </w:r>
          </w:p>
        </w:tc>
        <w:tc>
          <w:tcPr>
            <w:tcW w:w="1133" w:type="dxa"/>
            <w:vAlign w:val="center"/>
          </w:tcPr>
          <w:p w14:paraId="6A4C9755">
            <w:pPr>
              <w:pStyle w:val="24"/>
              <w:snapToGrid w:val="0"/>
              <w:ind w:left="0" w:leftChars="0" w:right="0" w:rightChars="0" w:firstLine="0" w:firstLineChars="0"/>
              <w:jc w:val="left"/>
              <w:rPr>
                <w:color w:val="auto"/>
              </w:rPr>
            </w:pPr>
            <w:r>
              <w:rPr>
                <w:color w:val="auto"/>
              </w:rPr>
              <w:t>+21.8%</w:t>
            </w:r>
          </w:p>
        </w:tc>
        <w:tc>
          <w:tcPr>
            <w:tcW w:w="1168" w:type="dxa"/>
            <w:vAlign w:val="center"/>
          </w:tcPr>
          <w:p w14:paraId="307EE29F">
            <w:pPr>
              <w:pStyle w:val="24"/>
              <w:snapToGrid w:val="0"/>
              <w:ind w:left="0" w:leftChars="0" w:right="0" w:rightChars="0" w:firstLine="0" w:firstLineChars="0"/>
              <w:jc w:val="center"/>
              <w:rPr>
                <w:color w:val="auto"/>
              </w:rPr>
            </w:pPr>
            <w:r>
              <w:rPr>
                <w:color w:val="auto"/>
              </w:rPr>
              <w:t>4.3%</w:t>
            </w:r>
          </w:p>
        </w:tc>
        <w:tc>
          <w:tcPr>
            <w:tcW w:w="1133" w:type="dxa"/>
            <w:vAlign w:val="center"/>
          </w:tcPr>
          <w:p w14:paraId="261C97F1">
            <w:pPr>
              <w:pStyle w:val="24"/>
              <w:snapToGrid w:val="0"/>
              <w:ind w:left="0" w:leftChars="0" w:right="0" w:rightChars="0" w:firstLine="0" w:firstLineChars="0"/>
              <w:jc w:val="center"/>
              <w:rPr>
                <w:color w:val="auto"/>
              </w:rPr>
            </w:pPr>
            <w:r>
              <w:rPr>
                <w:color w:val="auto"/>
              </w:rPr>
              <w:t>+14.2%</w:t>
            </w:r>
          </w:p>
        </w:tc>
        <w:tc>
          <w:tcPr>
            <w:tcW w:w="1133" w:type="dxa"/>
            <w:vAlign w:val="center"/>
          </w:tcPr>
          <w:p w14:paraId="12C53622">
            <w:pPr>
              <w:pStyle w:val="24"/>
              <w:snapToGrid w:val="0"/>
              <w:ind w:left="0" w:leftChars="0" w:right="0" w:rightChars="0" w:firstLine="0" w:firstLineChars="0"/>
              <w:jc w:val="center"/>
              <w:rPr>
                <w:color w:val="auto"/>
              </w:rPr>
            </w:pPr>
            <w:r>
              <w:rPr>
                <w:color w:val="auto"/>
              </w:rPr>
              <w:t>+30.1%</w:t>
            </w:r>
          </w:p>
        </w:tc>
        <w:tc>
          <w:tcPr>
            <w:tcW w:w="2141" w:type="dxa"/>
            <w:vAlign w:val="center"/>
          </w:tcPr>
          <w:p w14:paraId="0ACA3587">
            <w:pPr>
              <w:pStyle w:val="24"/>
              <w:snapToGrid w:val="0"/>
              <w:ind w:left="0" w:leftChars="0" w:right="0" w:rightChars="0" w:firstLine="0" w:firstLineChars="0"/>
              <w:jc w:val="center"/>
              <w:rPr>
                <w:color w:val="auto"/>
              </w:rPr>
            </w:pPr>
            <w:r>
              <w:rPr>
                <w:color w:val="auto"/>
              </w:rPr>
              <w:t>[+20.1%, +23.6%]</w:t>
            </w:r>
          </w:p>
        </w:tc>
      </w:tr>
      <w:tr w14:paraId="6F68B04F">
        <w:tblPrEx>
          <w:tblCellMar>
            <w:top w:w="0" w:type="dxa"/>
            <w:left w:w="108" w:type="dxa"/>
            <w:bottom w:w="0" w:type="dxa"/>
            <w:right w:w="108" w:type="dxa"/>
          </w:tblCellMar>
        </w:tblPrEx>
        <w:trPr>
          <w:trHeight w:val="0" w:hRule="atLeast"/>
          <w:jc w:val="center"/>
        </w:trPr>
        <w:tc>
          <w:tcPr>
            <w:tcW w:w="2147" w:type="dxa"/>
            <w:vAlign w:val="center"/>
          </w:tcPr>
          <w:p w14:paraId="5F7A5EB5">
            <w:pPr>
              <w:pStyle w:val="24"/>
              <w:snapToGrid w:val="0"/>
              <w:ind w:left="0" w:leftChars="0" w:right="0" w:rightChars="0" w:firstLine="0" w:firstLineChars="0"/>
              <w:jc w:val="center"/>
              <w:rPr>
                <w:color w:val="auto"/>
              </w:rPr>
            </w:pPr>
            <w:r>
              <w:rPr>
                <w:color w:val="auto"/>
              </w:rPr>
              <w:t xml:space="preserve">Faces </w:t>
            </w:r>
            <m:oMath>
              <m:r>
                <m:rPr/>
                <w:rPr>
                  <w:color w:val="auto"/>
                </w:rPr>
                <m:t>θ≤</m:t>
              </m:r>
              <m:sSup>
                <m:sSupPr>
                  <m:ctrlPr>
                    <w:rPr>
                      <w:color w:val="auto"/>
                    </w:rPr>
                  </m:ctrlPr>
                </m:sSupPr>
                <m:e>
                  <m:r>
                    <m:rPr/>
                    <w:rPr>
                      <w:color w:val="auto"/>
                    </w:rPr>
                    <m:t>5</m:t>
                  </m:r>
                  <m:ctrlPr>
                    <w:rPr>
                      <w:color w:val="auto"/>
                    </w:rPr>
                  </m:ctrlPr>
                </m:e>
                <m:sup>
                  <m:r>
                    <m:rPr/>
                    <w:rPr>
                      <w:color w:val="auto"/>
                    </w:rPr>
                    <m:t>∘</m:t>
                  </m:r>
                  <m:ctrlPr>
                    <w:rPr>
                      <w:color w:val="auto"/>
                    </w:rPr>
                  </m:ctrlPr>
                </m:sup>
              </m:sSup>
            </m:oMath>
          </w:p>
        </w:tc>
        <w:tc>
          <w:tcPr>
            <w:tcW w:w="1133" w:type="dxa"/>
            <w:vAlign w:val="center"/>
          </w:tcPr>
          <w:p w14:paraId="79053DBD">
            <w:pPr>
              <w:pStyle w:val="24"/>
              <w:snapToGrid w:val="0"/>
              <w:ind w:left="0" w:leftChars="0" w:right="0" w:rightChars="0" w:firstLine="0" w:firstLineChars="0"/>
              <w:jc w:val="left"/>
              <w:rPr>
                <w:color w:val="auto"/>
              </w:rPr>
            </w:pPr>
            <w:r>
              <w:rPr>
                <w:color w:val="auto"/>
              </w:rPr>
              <w:t>95.1%</w:t>
            </w:r>
          </w:p>
        </w:tc>
        <w:tc>
          <w:tcPr>
            <w:tcW w:w="1168" w:type="dxa"/>
            <w:vAlign w:val="center"/>
          </w:tcPr>
          <w:p w14:paraId="148F02E3">
            <w:pPr>
              <w:pStyle w:val="24"/>
              <w:snapToGrid w:val="0"/>
              <w:ind w:left="0" w:leftChars="0" w:right="0" w:rightChars="0" w:firstLine="0" w:firstLineChars="0"/>
              <w:jc w:val="center"/>
              <w:rPr>
                <w:color w:val="auto"/>
              </w:rPr>
            </w:pPr>
            <w:r>
              <w:rPr>
                <w:color w:val="auto"/>
              </w:rPr>
              <w:t>0.8%</w:t>
            </w:r>
          </w:p>
        </w:tc>
        <w:tc>
          <w:tcPr>
            <w:tcW w:w="1133" w:type="dxa"/>
            <w:vAlign w:val="center"/>
          </w:tcPr>
          <w:p w14:paraId="614E1DC9">
            <w:pPr>
              <w:pStyle w:val="24"/>
              <w:snapToGrid w:val="0"/>
              <w:ind w:left="0" w:leftChars="0" w:right="0" w:rightChars="0" w:firstLine="0" w:firstLineChars="0"/>
              <w:jc w:val="center"/>
              <w:rPr>
                <w:color w:val="auto"/>
              </w:rPr>
            </w:pPr>
            <w:r>
              <w:rPr>
                <w:color w:val="auto"/>
              </w:rPr>
              <w:t>93.5%</w:t>
            </w:r>
          </w:p>
        </w:tc>
        <w:tc>
          <w:tcPr>
            <w:tcW w:w="1133" w:type="dxa"/>
            <w:vAlign w:val="center"/>
          </w:tcPr>
          <w:p w14:paraId="698F4221">
            <w:pPr>
              <w:pStyle w:val="24"/>
              <w:snapToGrid w:val="0"/>
              <w:ind w:left="0" w:leftChars="0" w:right="0" w:rightChars="0" w:firstLine="0" w:firstLineChars="0"/>
              <w:jc w:val="center"/>
              <w:rPr>
                <w:color w:val="auto"/>
              </w:rPr>
            </w:pPr>
            <w:r>
              <w:rPr>
                <w:color w:val="auto"/>
              </w:rPr>
              <w:t>96.4%</w:t>
            </w:r>
          </w:p>
        </w:tc>
        <w:tc>
          <w:tcPr>
            <w:tcW w:w="2141" w:type="dxa"/>
            <w:vAlign w:val="center"/>
          </w:tcPr>
          <w:p w14:paraId="267A1415">
            <w:pPr>
              <w:pStyle w:val="24"/>
              <w:snapToGrid w:val="0"/>
              <w:ind w:left="0" w:leftChars="0" w:right="0" w:rightChars="0" w:firstLine="0" w:firstLineChars="0"/>
              <w:jc w:val="center"/>
              <w:rPr>
                <w:color w:val="auto"/>
              </w:rPr>
            </w:pPr>
            <w:r>
              <w:rPr>
                <w:color w:val="auto"/>
              </w:rPr>
              <w:t>[94.7%, 95.4%]</w:t>
            </w:r>
          </w:p>
        </w:tc>
      </w:tr>
      <w:tr w14:paraId="37970C50">
        <w:tblPrEx>
          <w:tblCellMar>
            <w:top w:w="0" w:type="dxa"/>
            <w:left w:w="108" w:type="dxa"/>
            <w:bottom w:w="0" w:type="dxa"/>
            <w:right w:w="108" w:type="dxa"/>
          </w:tblCellMar>
        </w:tblPrEx>
        <w:trPr>
          <w:trHeight w:val="0" w:hRule="atLeast"/>
          <w:jc w:val="center"/>
        </w:trPr>
        <w:tc>
          <w:tcPr>
            <w:tcW w:w="2147" w:type="dxa"/>
            <w:vAlign w:val="center"/>
          </w:tcPr>
          <w:p w14:paraId="1DEE8E9B">
            <w:pPr>
              <w:pStyle w:val="24"/>
              <w:snapToGrid w:val="0"/>
              <w:ind w:left="0" w:leftChars="0" w:right="0" w:rightChars="0" w:firstLine="0" w:firstLineChars="0"/>
              <w:jc w:val="center"/>
              <w:rPr>
                <w:color w:val="auto"/>
              </w:rPr>
            </w:pPr>
            <w:r>
              <w:rPr>
                <w:color w:val="auto"/>
              </w:rPr>
              <w:t>GMRES iterations</w:t>
            </w:r>
          </w:p>
        </w:tc>
        <w:tc>
          <w:tcPr>
            <w:tcW w:w="1133" w:type="dxa"/>
            <w:vAlign w:val="center"/>
          </w:tcPr>
          <w:p w14:paraId="417FEA76">
            <w:pPr>
              <w:pStyle w:val="24"/>
              <w:snapToGrid w:val="0"/>
              <w:ind w:left="0" w:leftChars="0" w:right="0" w:rightChars="0" w:firstLine="0" w:firstLineChars="0"/>
              <w:jc w:val="left"/>
              <w:rPr>
                <w:color w:val="auto"/>
              </w:rPr>
            </w:pPr>
            <w:r>
              <w:rPr>
                <w:color w:val="auto"/>
              </w:rPr>
              <w:t>24.3</w:t>
            </w:r>
          </w:p>
        </w:tc>
        <w:tc>
          <w:tcPr>
            <w:tcW w:w="1168" w:type="dxa"/>
            <w:vAlign w:val="center"/>
          </w:tcPr>
          <w:p w14:paraId="4403FFEC">
            <w:pPr>
              <w:pStyle w:val="24"/>
              <w:snapToGrid w:val="0"/>
              <w:ind w:left="0" w:leftChars="0" w:right="0" w:rightChars="0" w:firstLine="0" w:firstLineChars="0"/>
              <w:jc w:val="center"/>
              <w:rPr>
                <w:color w:val="auto"/>
              </w:rPr>
            </w:pPr>
            <w:r>
              <w:rPr>
                <w:color w:val="auto"/>
              </w:rPr>
              <w:t>1.8</w:t>
            </w:r>
          </w:p>
        </w:tc>
        <w:tc>
          <w:tcPr>
            <w:tcW w:w="1133" w:type="dxa"/>
            <w:vAlign w:val="center"/>
          </w:tcPr>
          <w:p w14:paraId="536C2864">
            <w:pPr>
              <w:pStyle w:val="24"/>
              <w:snapToGrid w:val="0"/>
              <w:ind w:left="0" w:leftChars="0" w:right="0" w:rightChars="0" w:firstLine="0" w:firstLineChars="0"/>
              <w:jc w:val="center"/>
              <w:rPr>
                <w:color w:val="auto"/>
              </w:rPr>
            </w:pPr>
            <w:r>
              <w:rPr>
                <w:color w:val="auto"/>
              </w:rPr>
              <w:t>22</w:t>
            </w:r>
          </w:p>
        </w:tc>
        <w:tc>
          <w:tcPr>
            <w:tcW w:w="1133" w:type="dxa"/>
            <w:vAlign w:val="center"/>
          </w:tcPr>
          <w:p w14:paraId="51FD683A">
            <w:pPr>
              <w:pStyle w:val="24"/>
              <w:snapToGrid w:val="0"/>
              <w:ind w:left="0" w:leftChars="0" w:right="0" w:rightChars="0" w:firstLine="0" w:firstLineChars="0"/>
              <w:jc w:val="center"/>
              <w:rPr>
                <w:color w:val="auto"/>
              </w:rPr>
            </w:pPr>
            <w:r>
              <w:rPr>
                <w:color w:val="auto"/>
              </w:rPr>
              <w:t>28</w:t>
            </w:r>
          </w:p>
        </w:tc>
        <w:tc>
          <w:tcPr>
            <w:tcW w:w="2141" w:type="dxa"/>
            <w:vAlign w:val="center"/>
          </w:tcPr>
          <w:p w14:paraId="38571957">
            <w:pPr>
              <w:pStyle w:val="24"/>
              <w:snapToGrid w:val="0"/>
              <w:ind w:left="0" w:leftChars="0" w:right="0" w:rightChars="0" w:firstLine="0" w:firstLineChars="0"/>
              <w:jc w:val="center"/>
              <w:rPr>
                <w:color w:val="auto"/>
              </w:rPr>
            </w:pPr>
            <w:r>
              <w:rPr>
                <w:color w:val="auto"/>
              </w:rPr>
              <w:t>[23.6, 25.1]</w:t>
            </w:r>
          </w:p>
        </w:tc>
      </w:tr>
    </w:tbl>
    <w:p w14:paraId="09CD31D3">
      <w:pPr>
        <w:pStyle w:val="3"/>
        <w:spacing w:before="0" w:after="120"/>
        <w:ind w:firstLine="480" w:firstLineChars="200"/>
        <w:jc w:val="both"/>
        <w:rPr>
          <w:color w:val="auto"/>
        </w:rPr>
      </w:pPr>
      <w:r>
        <w:rPr>
          <w:color w:val="auto"/>
        </w:rPr>
        <w:t>The condition number ratio exhibits a coefficient of variation (CoV) of 14.0%, indicating moderate sensitivity to realization-specific fracture topology. The cumulative oil enhancement shows a CoV of 19.7%, whose larger dispersion reflects the compounding of geometric variability (fracture network connectivity) with physical sensitivity (matrix permeability contrast): realizations in which more natural fractures intersect the stimulated reservoir volume produce systematically larger recovery gains. Even the minimum-connectivity realization (14.2% enhancement) yields a statistically and physically significant recovery increase, confirming that the DFN contribution is a robust effect rather than an artifact of a particular geometric configuration.</w:t>
      </w:r>
    </w:p>
    <w:p w14:paraId="0CB719A9">
      <w:pPr>
        <w:pStyle w:val="3"/>
        <w:spacing w:before="0" w:after="120"/>
        <w:ind w:firstLine="480" w:firstLineChars="200"/>
        <w:jc w:val="both"/>
        <w:rPr>
          <w:color w:val="auto"/>
        </w:rPr>
      </w:pPr>
      <w:r>
        <w:rPr>
          <w:color w:val="auto"/>
        </w:rPr>
        <w:t>The ensemble-mean recovery enhancement of 21.8 ± 4.3% (mean ± 1σ) arises primarily from the 312 ± 47 natural fractures that intersect the stimulated reservoir volume, extending the effective drainage area beyond the hydraulic-fracture tips. Tracer tracking indicates that roughly two-thirds of the enhancement originates from fractures within 20 m of hydraulic-fracture tips, precisely where the pressure gradient is sharpest. The sensitivity analysis in Section 3.7 examines how this enhancement scales with natural-fracture permeability. Collectively, the ensemble statistics exclude the possibility that the DFN result is an artifact of a single favorable realization.</w:t>
      </w:r>
      <m:oMath>
        <m:r>
          <m:rPr/>
          <w:rPr>
            <w:color w:val="auto"/>
          </w:rPr>
          <m:t>21.8±4.3%</m:t>
        </m:r>
      </m:oMath>
      <m:oMath>
        <m:r>
          <m:rPr/>
          <w:rPr>
            <w:color w:val="auto"/>
          </w:rPr>
          <m:t>±</m:t>
        </m:r>
      </m:oMath>
      <m:oMath>
        <m:r>
          <m:rPr/>
          <w:rPr>
            <w:color w:val="auto"/>
          </w:rPr>
          <m:t>σ</m:t>
        </m:r>
      </m:oMath>
      <m:oMath>
        <m:r>
          <m:rPr/>
          <w:rPr>
            <w:color w:val="auto"/>
          </w:rPr>
          <m:t>±</m:t>
        </m:r>
      </m:oMath>
      <m:oMath>
        <m:r>
          <m:rPr/>
          <w:rPr>
            <w:color w:val="auto"/>
          </w:rPr>
          <m:t>±</m:t>
        </m:r>
      </m:oMath>
      <m:oMath>
        <m:r>
          <m:rPr/>
          <w:rPr>
            <w:color w:val="auto"/>
          </w:rPr>
          <m:t>σ</m:t>
        </m:r>
      </m:oMath>
      <m:oMath>
        <m:r>
          <m:rPr/>
          <w:rPr>
            <w:color w:val="auto"/>
          </w:rPr>
          <m:t>65±8%</m:t>
        </m:r>
      </m:oMath>
    </w:p>
    <w:p w14:paraId="4CB6AB10">
      <w:pPr>
        <w:pStyle w:val="5"/>
        <w:spacing w:before="360" w:after="120"/>
        <w:ind w:firstLine="0"/>
        <w:rPr>
          <w:color w:val="auto"/>
        </w:rPr>
      </w:pPr>
      <w:bookmarkStart w:id="20" w:name="sensitivity-analysis"/>
      <w:r>
        <w:rPr>
          <w:color w:val="auto"/>
        </w:rPr>
        <w:t>3.7 Sensitivity Analysis</w:t>
      </w:r>
      <w:bookmarkEnd w:id="20"/>
    </w:p>
    <w:p w14:paraId="3141D360">
      <w:pPr>
        <w:pStyle w:val="23"/>
        <w:spacing w:before="0" w:after="120"/>
        <w:ind w:firstLine="480" w:firstLineChars="200"/>
        <w:jc w:val="both"/>
        <w:rPr>
          <w:color w:val="auto"/>
        </w:rPr>
      </w:pPr>
      <w:r>
        <w:rPr>
          <w:color w:val="auto"/>
        </w:rPr>
        <w:t>A one-factor-at-a-time parametric study quantifies the sensitivity of ten-year cumulative oil production to six reservoir and completion variables, each perturbed by ±20% from its base value.</w:t>
      </w:r>
    </w:p>
    <w:p w14:paraId="484ABE0F">
      <w:pPr>
        <w:pStyle w:val="34"/>
        <w:rPr>
          <w:color w:val="auto"/>
        </w:rPr>
      </w:pPr>
      <w:r>
        <w:rPr>
          <w:color w:val="auto"/>
        </w:rPr>
        <w:drawing>
          <wp:inline distT="0" distB="0" distL="114300" distR="114300">
            <wp:extent cx="4554855" cy="2471420"/>
            <wp:effectExtent l="0" t="0" r="0" b="0"/>
            <wp:docPr id="12" name="Picture" descr="Fig. 12. Tornado chart illustrating parametric sensitivity (20% perturbation). Fracture half-length and matrix permeability exert the strongest control on ten-year cumulative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descr="Fig. 12. Tornado chart illustrating parametric sensitivity (20% perturbation). Fracture half-length and matrix permeability exert the strongest control on ten-year cumulative recovery."/>
                    <pic:cNvPicPr>
                      <a:picLocks noChangeAspect="1" noChangeArrowheads="1"/>
                    </pic:cNvPicPr>
                  </pic:nvPicPr>
                  <pic:blipFill>
                    <a:blip r:embed="rId16"/>
                    <a:stretch>
                      <a:fillRect/>
                    </a:stretch>
                  </pic:blipFill>
                  <pic:spPr>
                    <a:xfrm>
                      <a:off x="0" y="0"/>
                      <a:ext cx="4555298" cy="2471802"/>
                    </a:xfrm>
                    <a:prstGeom prst="rect">
                      <a:avLst/>
                    </a:prstGeom>
                    <a:noFill/>
                    <a:ln w="9525">
                      <a:noFill/>
                    </a:ln>
                  </pic:spPr>
                </pic:pic>
              </a:graphicData>
            </a:graphic>
          </wp:inline>
        </w:drawing>
      </w:r>
    </w:p>
    <w:p w14:paraId="29E63590">
      <w:pPr>
        <w:pStyle w:val="32"/>
        <w:jc w:val="center"/>
        <w:rPr>
          <w:color w:val="auto"/>
        </w:rPr>
      </w:pPr>
      <w:r>
        <w:rPr>
          <w:color w:val="auto"/>
        </w:rPr>
        <w:t>Fig. 12. Tornado chart illustrating parametric sensitivity (20% perturbation). Fracture half-length and matrix permeability exert the strongest control on ten-year cumulative recovery.</w:t>
      </w:r>
    </w:p>
    <w:p w14:paraId="7FA2607A">
      <w:pPr>
        <w:pStyle w:val="3"/>
        <w:spacing w:before="0" w:after="120"/>
        <w:ind w:firstLine="480" w:firstLineChars="200"/>
        <w:jc w:val="center"/>
        <w:rPr>
          <w:color w:val="auto"/>
        </w:rPr>
      </w:pPr>
      <w:r>
        <w:rPr>
          <w:b/>
          <w:color w:val="auto"/>
        </w:rPr>
        <w:t>Table 13: Sensitivity ranking for ten-year cumulative oil production.</w:t>
      </w:r>
    </w:p>
    <w:tbl>
      <w:tblPr>
        <w:tblStyle w:val="28"/>
        <w:tblW w:w="8856" w:type="dxa"/>
        <w:jc w:val="center"/>
        <w:tblLayout w:type="autofit"/>
        <w:tblCellMar>
          <w:top w:w="0" w:type="dxa"/>
          <w:left w:w="108" w:type="dxa"/>
          <w:bottom w:w="0" w:type="dxa"/>
          <w:right w:w="108" w:type="dxa"/>
        </w:tblCellMar>
      </w:tblPr>
      <w:tblGrid>
        <w:gridCol w:w="791"/>
        <w:gridCol w:w="3008"/>
        <w:gridCol w:w="2528"/>
        <w:gridCol w:w="2529"/>
      </w:tblGrid>
      <w:tr w14:paraId="3FBC1866">
        <w:tblPrEx>
          <w:tblCellMar>
            <w:top w:w="0" w:type="dxa"/>
            <w:left w:w="108" w:type="dxa"/>
            <w:bottom w:w="0" w:type="dxa"/>
            <w:right w:w="108" w:type="dxa"/>
          </w:tblCellMar>
        </w:tblPrEx>
        <w:trPr>
          <w:trHeight w:val="0" w:hRule="atLeast"/>
          <w:tblHeader/>
          <w:jc w:val="center"/>
        </w:trPr>
        <w:tc>
          <w:tcPr>
            <w:tcW w:w="0" w:type="auto"/>
            <w:tcBorders>
              <w:bottom w:val="single" w:color="auto" w:sz="0" w:space="0"/>
            </w:tcBorders>
            <w:vAlign w:val="center"/>
          </w:tcPr>
          <w:p w14:paraId="1A9C2F39">
            <w:pPr>
              <w:pStyle w:val="24"/>
              <w:snapToGrid w:val="0"/>
              <w:ind w:left="0" w:leftChars="0" w:right="0" w:rightChars="0" w:firstLine="0" w:firstLineChars="0"/>
              <w:jc w:val="center"/>
              <w:rPr>
                <w:b/>
                <w:color w:val="auto"/>
              </w:rPr>
            </w:pPr>
            <w:r>
              <w:rPr>
                <w:b/>
                <w:color w:val="auto"/>
              </w:rPr>
              <w:t>Rank</w:t>
            </w:r>
          </w:p>
        </w:tc>
        <w:tc>
          <w:tcPr>
            <w:tcW w:w="0" w:type="auto"/>
            <w:tcBorders>
              <w:bottom w:val="single" w:color="auto" w:sz="0" w:space="0"/>
            </w:tcBorders>
            <w:vAlign w:val="center"/>
          </w:tcPr>
          <w:p w14:paraId="16887747">
            <w:pPr>
              <w:pStyle w:val="24"/>
              <w:snapToGrid w:val="0"/>
              <w:ind w:left="0" w:leftChars="0" w:right="0" w:rightChars="0" w:firstLine="0" w:firstLineChars="0"/>
              <w:jc w:val="center"/>
              <w:rPr>
                <w:b/>
                <w:color w:val="auto"/>
              </w:rPr>
            </w:pPr>
            <w:r>
              <w:rPr>
                <w:b/>
                <w:color w:val="auto"/>
              </w:rPr>
              <w:t>Parameter</w:t>
            </w:r>
          </w:p>
        </w:tc>
        <w:tc>
          <w:tcPr>
            <w:tcW w:w="0" w:type="auto"/>
            <w:tcBorders>
              <w:bottom w:val="single" w:color="auto" w:sz="0" w:space="0"/>
            </w:tcBorders>
            <w:vAlign w:val="center"/>
          </w:tcPr>
          <w:p w14:paraId="795ADB06">
            <w:pPr>
              <w:pStyle w:val="24"/>
              <w:snapToGrid w:val="0"/>
              <w:ind w:left="0" w:leftChars="0" w:right="0" w:rightChars="0" w:firstLine="0" w:firstLineChars="0"/>
              <w:jc w:val="center"/>
              <w:rPr>
                <w:b/>
                <w:color w:val="auto"/>
              </w:rPr>
            </w:pPr>
            <m:oMath>
              <m:r>
                <m:rPr>
                  <m:sty m:val="bi"/>
                </m:rPr>
                <w:rPr>
                  <w:rFonts w:hint="default" w:ascii="Cambria Math" w:hAnsi="Cambria Math"/>
                  <w:color w:val="auto"/>
                </w:rPr>
                <m:t>Δ</m:t>
              </m:r>
            </m:oMath>
            <w:r>
              <w:rPr>
                <w:b/>
                <w:color w:val="auto"/>
              </w:rPr>
              <w:t xml:space="preserve"> Cumulative Oil (+20%)</w:t>
            </w:r>
          </w:p>
        </w:tc>
        <w:tc>
          <w:tcPr>
            <w:tcW w:w="2529" w:type="dxa"/>
            <w:tcBorders>
              <w:bottom w:val="single" w:color="auto" w:sz="0" w:space="0"/>
            </w:tcBorders>
            <w:vAlign w:val="center"/>
          </w:tcPr>
          <w:p w14:paraId="48985B36">
            <w:pPr>
              <w:pStyle w:val="24"/>
              <w:snapToGrid w:val="0"/>
              <w:ind w:left="0" w:leftChars="0" w:right="0" w:rightChars="0" w:firstLine="0" w:firstLineChars="0"/>
              <w:jc w:val="center"/>
              <w:rPr>
                <w:b/>
                <w:color w:val="auto"/>
              </w:rPr>
            </w:pPr>
            <m:oMath>
              <m:r>
                <m:rPr>
                  <m:sty m:val="bi"/>
                </m:rPr>
                <w:rPr>
                  <w:rFonts w:hint="default" w:ascii="Cambria Math" w:hAnsi="Cambria Math"/>
                  <w:color w:val="auto"/>
                </w:rPr>
                <m:t>Δ</m:t>
              </m:r>
            </m:oMath>
            <w:r>
              <w:rPr>
                <w:b/>
                <w:color w:val="auto"/>
              </w:rPr>
              <w:t xml:space="preserve"> Cumulative Oil (−20%)</w:t>
            </w:r>
          </w:p>
        </w:tc>
      </w:tr>
      <w:tr w14:paraId="52AEE76E">
        <w:tblPrEx>
          <w:tblCellMar>
            <w:top w:w="0" w:type="dxa"/>
            <w:left w:w="108" w:type="dxa"/>
            <w:bottom w:w="0" w:type="dxa"/>
            <w:right w:w="108" w:type="dxa"/>
          </w:tblCellMar>
        </w:tblPrEx>
        <w:trPr>
          <w:trHeight w:val="0" w:hRule="atLeast"/>
          <w:jc w:val="center"/>
        </w:trPr>
        <w:tc>
          <w:tcPr>
            <w:tcW w:w="0" w:type="auto"/>
            <w:vAlign w:val="center"/>
          </w:tcPr>
          <w:p w14:paraId="4B489FD3">
            <w:pPr>
              <w:pStyle w:val="24"/>
              <w:snapToGrid w:val="0"/>
              <w:ind w:left="0" w:leftChars="0" w:right="0" w:rightChars="0" w:firstLine="0" w:firstLineChars="0"/>
              <w:jc w:val="center"/>
              <w:rPr>
                <w:color w:val="auto"/>
              </w:rPr>
            </w:pPr>
            <w:r>
              <w:rPr>
                <w:color w:val="auto"/>
              </w:rPr>
              <w:t>1</w:t>
            </w:r>
          </w:p>
        </w:tc>
        <w:tc>
          <w:tcPr>
            <w:tcW w:w="0" w:type="auto"/>
            <w:vAlign w:val="center"/>
          </w:tcPr>
          <w:p w14:paraId="604B7CDF">
            <w:pPr>
              <w:pStyle w:val="24"/>
              <w:snapToGrid w:val="0"/>
              <w:ind w:left="0" w:leftChars="0" w:right="0" w:rightChars="0" w:firstLine="0" w:firstLineChars="0"/>
              <w:jc w:val="center"/>
              <w:rPr>
                <w:color w:val="auto"/>
              </w:rPr>
            </w:pPr>
            <w:r>
              <w:rPr>
                <w:color w:val="auto"/>
              </w:rPr>
              <w:t>Fracture half-length</w:t>
            </w:r>
          </w:p>
        </w:tc>
        <w:tc>
          <w:tcPr>
            <w:tcW w:w="0" w:type="auto"/>
            <w:vAlign w:val="center"/>
          </w:tcPr>
          <w:p w14:paraId="62295CAA">
            <w:pPr>
              <w:pStyle w:val="24"/>
              <w:snapToGrid w:val="0"/>
              <w:ind w:left="0" w:leftChars="0" w:right="0" w:rightChars="0" w:firstLine="0" w:firstLineChars="0"/>
              <w:jc w:val="left"/>
              <w:rPr>
                <w:color w:val="auto"/>
              </w:rPr>
            </w:pPr>
            <w:r>
              <w:rPr>
                <w:color w:val="auto"/>
              </w:rPr>
              <w:t>+8.7%</w:t>
            </w:r>
          </w:p>
        </w:tc>
        <w:tc>
          <w:tcPr>
            <w:tcW w:w="2529" w:type="dxa"/>
            <w:vAlign w:val="center"/>
          </w:tcPr>
          <w:p w14:paraId="497AC1DE">
            <w:pPr>
              <w:pStyle w:val="24"/>
              <w:snapToGrid w:val="0"/>
              <w:ind w:left="0" w:leftChars="0" w:right="0" w:rightChars="0" w:firstLine="0" w:firstLineChars="0"/>
              <w:jc w:val="right"/>
              <w:rPr>
                <w:color w:val="auto"/>
              </w:rPr>
            </w:pPr>
            <w:r>
              <w:rPr>
                <w:color w:val="auto"/>
              </w:rPr>
              <w:t>−9.3%</w:t>
            </w:r>
          </w:p>
        </w:tc>
      </w:tr>
      <w:tr w14:paraId="09A60A4D">
        <w:tblPrEx>
          <w:tblCellMar>
            <w:top w:w="0" w:type="dxa"/>
            <w:left w:w="108" w:type="dxa"/>
            <w:bottom w:w="0" w:type="dxa"/>
            <w:right w:w="108" w:type="dxa"/>
          </w:tblCellMar>
        </w:tblPrEx>
        <w:trPr>
          <w:trHeight w:val="0" w:hRule="atLeast"/>
          <w:jc w:val="center"/>
        </w:trPr>
        <w:tc>
          <w:tcPr>
            <w:tcW w:w="0" w:type="auto"/>
            <w:vAlign w:val="center"/>
          </w:tcPr>
          <w:p w14:paraId="50CB1724">
            <w:pPr>
              <w:pStyle w:val="24"/>
              <w:snapToGrid w:val="0"/>
              <w:ind w:left="0" w:leftChars="0" w:right="0" w:rightChars="0" w:firstLine="0" w:firstLineChars="0"/>
              <w:jc w:val="center"/>
              <w:rPr>
                <w:color w:val="auto"/>
              </w:rPr>
            </w:pPr>
            <w:r>
              <w:rPr>
                <w:color w:val="auto"/>
              </w:rPr>
              <w:t>2</w:t>
            </w:r>
          </w:p>
        </w:tc>
        <w:tc>
          <w:tcPr>
            <w:tcW w:w="0" w:type="auto"/>
            <w:vAlign w:val="center"/>
          </w:tcPr>
          <w:p w14:paraId="612B0430">
            <w:pPr>
              <w:pStyle w:val="24"/>
              <w:snapToGrid w:val="0"/>
              <w:ind w:left="0" w:leftChars="0" w:right="0" w:rightChars="0" w:firstLine="0" w:firstLineChars="0"/>
              <w:jc w:val="center"/>
              <w:rPr>
                <w:color w:val="auto"/>
              </w:rPr>
            </w:pPr>
            <w:r>
              <w:rPr>
                <w:color w:val="auto"/>
              </w:rPr>
              <w:t>Matrix permeability</w:t>
            </w:r>
          </w:p>
        </w:tc>
        <w:tc>
          <w:tcPr>
            <w:tcW w:w="0" w:type="auto"/>
            <w:vAlign w:val="center"/>
          </w:tcPr>
          <w:p w14:paraId="4753033F">
            <w:pPr>
              <w:pStyle w:val="24"/>
              <w:snapToGrid w:val="0"/>
              <w:ind w:left="0" w:leftChars="0" w:right="0" w:rightChars="0" w:firstLine="0" w:firstLineChars="0"/>
              <w:jc w:val="left"/>
              <w:rPr>
                <w:color w:val="auto"/>
              </w:rPr>
            </w:pPr>
            <w:r>
              <w:rPr>
                <w:color w:val="auto"/>
              </w:rPr>
              <w:t>+5.2%</w:t>
            </w:r>
          </w:p>
        </w:tc>
        <w:tc>
          <w:tcPr>
            <w:tcW w:w="2529" w:type="dxa"/>
            <w:vAlign w:val="center"/>
          </w:tcPr>
          <w:p w14:paraId="5BFB6301">
            <w:pPr>
              <w:pStyle w:val="24"/>
              <w:snapToGrid w:val="0"/>
              <w:ind w:left="0" w:leftChars="0" w:right="0" w:rightChars="0" w:firstLine="0" w:firstLineChars="0"/>
              <w:jc w:val="right"/>
              <w:rPr>
                <w:color w:val="auto"/>
              </w:rPr>
            </w:pPr>
            <w:r>
              <w:rPr>
                <w:color w:val="auto"/>
              </w:rPr>
              <w:t>−5.8%</w:t>
            </w:r>
          </w:p>
        </w:tc>
      </w:tr>
      <w:tr w14:paraId="2545D331">
        <w:tblPrEx>
          <w:tblCellMar>
            <w:top w:w="0" w:type="dxa"/>
            <w:left w:w="108" w:type="dxa"/>
            <w:bottom w:w="0" w:type="dxa"/>
            <w:right w:w="108" w:type="dxa"/>
          </w:tblCellMar>
        </w:tblPrEx>
        <w:trPr>
          <w:trHeight w:val="0" w:hRule="atLeast"/>
          <w:jc w:val="center"/>
        </w:trPr>
        <w:tc>
          <w:tcPr>
            <w:tcW w:w="0" w:type="auto"/>
            <w:vAlign w:val="center"/>
          </w:tcPr>
          <w:p w14:paraId="14A7001E">
            <w:pPr>
              <w:pStyle w:val="24"/>
              <w:snapToGrid w:val="0"/>
              <w:ind w:left="0" w:leftChars="0" w:right="0" w:rightChars="0" w:firstLine="0" w:firstLineChars="0"/>
              <w:jc w:val="center"/>
              <w:rPr>
                <w:color w:val="auto"/>
              </w:rPr>
            </w:pPr>
            <w:r>
              <w:rPr>
                <w:color w:val="auto"/>
              </w:rPr>
              <w:t>3</w:t>
            </w:r>
          </w:p>
        </w:tc>
        <w:tc>
          <w:tcPr>
            <w:tcW w:w="0" w:type="auto"/>
            <w:vAlign w:val="center"/>
          </w:tcPr>
          <w:p w14:paraId="3EA16FAF">
            <w:pPr>
              <w:pStyle w:val="24"/>
              <w:snapToGrid w:val="0"/>
              <w:ind w:left="0" w:leftChars="0" w:right="0" w:rightChars="0" w:firstLine="0" w:firstLineChars="0"/>
              <w:jc w:val="center"/>
              <w:rPr>
                <w:color w:val="auto"/>
              </w:rPr>
            </w:pPr>
            <w:r>
              <w:rPr>
                <w:color w:val="auto"/>
              </w:rPr>
              <w:t>Fracture conductivity</w:t>
            </w:r>
          </w:p>
        </w:tc>
        <w:tc>
          <w:tcPr>
            <w:tcW w:w="0" w:type="auto"/>
            <w:vAlign w:val="center"/>
          </w:tcPr>
          <w:p w14:paraId="72AF94EA">
            <w:pPr>
              <w:pStyle w:val="24"/>
              <w:snapToGrid w:val="0"/>
              <w:ind w:left="0" w:leftChars="0" w:right="0" w:rightChars="0" w:firstLine="0" w:firstLineChars="0"/>
              <w:jc w:val="left"/>
              <w:rPr>
                <w:color w:val="auto"/>
              </w:rPr>
            </w:pPr>
            <w:r>
              <w:rPr>
                <w:color w:val="auto"/>
              </w:rPr>
              <w:t>+3.1%</w:t>
            </w:r>
          </w:p>
        </w:tc>
        <w:tc>
          <w:tcPr>
            <w:tcW w:w="2529" w:type="dxa"/>
            <w:vAlign w:val="center"/>
          </w:tcPr>
          <w:p w14:paraId="13C91BCA">
            <w:pPr>
              <w:pStyle w:val="24"/>
              <w:snapToGrid w:val="0"/>
              <w:ind w:left="0" w:leftChars="0" w:right="0" w:rightChars="0" w:firstLine="0" w:firstLineChars="0"/>
              <w:jc w:val="right"/>
              <w:rPr>
                <w:color w:val="auto"/>
              </w:rPr>
            </w:pPr>
            <w:r>
              <w:rPr>
                <w:color w:val="auto"/>
              </w:rPr>
              <w:t>−3.4%</w:t>
            </w:r>
          </w:p>
        </w:tc>
      </w:tr>
      <w:tr w14:paraId="7A87A763">
        <w:tblPrEx>
          <w:tblCellMar>
            <w:top w:w="0" w:type="dxa"/>
            <w:left w:w="108" w:type="dxa"/>
            <w:bottom w:w="0" w:type="dxa"/>
            <w:right w:w="108" w:type="dxa"/>
          </w:tblCellMar>
        </w:tblPrEx>
        <w:trPr>
          <w:trHeight w:val="0" w:hRule="atLeast"/>
          <w:jc w:val="center"/>
        </w:trPr>
        <w:tc>
          <w:tcPr>
            <w:tcW w:w="0" w:type="auto"/>
            <w:vAlign w:val="center"/>
          </w:tcPr>
          <w:p w14:paraId="0487C28C">
            <w:pPr>
              <w:pStyle w:val="24"/>
              <w:snapToGrid w:val="0"/>
              <w:ind w:left="0" w:leftChars="0" w:right="0" w:rightChars="0" w:firstLine="0" w:firstLineChars="0"/>
              <w:jc w:val="center"/>
              <w:rPr>
                <w:color w:val="auto"/>
              </w:rPr>
            </w:pPr>
            <w:r>
              <w:rPr>
                <w:color w:val="auto"/>
              </w:rPr>
              <w:t>4</w:t>
            </w:r>
          </w:p>
        </w:tc>
        <w:tc>
          <w:tcPr>
            <w:tcW w:w="0" w:type="auto"/>
            <w:vAlign w:val="center"/>
          </w:tcPr>
          <w:p w14:paraId="72B0CB8D">
            <w:pPr>
              <w:pStyle w:val="24"/>
              <w:snapToGrid w:val="0"/>
              <w:ind w:left="0" w:leftChars="0" w:right="0" w:rightChars="0" w:firstLine="0" w:firstLineChars="0"/>
              <w:jc w:val="center"/>
              <w:rPr>
                <w:color w:val="auto"/>
              </w:rPr>
            </w:pPr>
            <w:r>
              <w:rPr>
                <w:color w:val="auto"/>
              </w:rPr>
              <w:t>Stage spacing</w:t>
            </w:r>
          </w:p>
        </w:tc>
        <w:tc>
          <w:tcPr>
            <w:tcW w:w="0" w:type="auto"/>
            <w:vAlign w:val="center"/>
          </w:tcPr>
          <w:p w14:paraId="598D429C">
            <w:pPr>
              <w:pStyle w:val="24"/>
              <w:snapToGrid w:val="0"/>
              <w:ind w:left="0" w:leftChars="0" w:right="0" w:rightChars="0" w:firstLine="0" w:firstLineChars="0"/>
              <w:jc w:val="left"/>
              <w:rPr>
                <w:color w:val="auto"/>
              </w:rPr>
            </w:pPr>
            <w:r>
              <w:rPr>
                <w:color w:val="auto"/>
              </w:rPr>
              <w:t>−2.4%</w:t>
            </w:r>
          </w:p>
        </w:tc>
        <w:tc>
          <w:tcPr>
            <w:tcW w:w="2529" w:type="dxa"/>
            <w:vAlign w:val="center"/>
          </w:tcPr>
          <w:p w14:paraId="035CC598">
            <w:pPr>
              <w:pStyle w:val="24"/>
              <w:snapToGrid w:val="0"/>
              <w:ind w:left="0" w:leftChars="0" w:right="0" w:rightChars="0" w:firstLine="0" w:firstLineChars="0"/>
              <w:jc w:val="right"/>
              <w:rPr>
                <w:color w:val="auto"/>
              </w:rPr>
            </w:pPr>
            <w:r>
              <w:rPr>
                <w:color w:val="auto"/>
              </w:rPr>
              <w:t>+2.8%</w:t>
            </w:r>
          </w:p>
        </w:tc>
      </w:tr>
      <w:tr w14:paraId="6D8B9AE0">
        <w:tblPrEx>
          <w:tblCellMar>
            <w:top w:w="0" w:type="dxa"/>
            <w:left w:w="108" w:type="dxa"/>
            <w:bottom w:w="0" w:type="dxa"/>
            <w:right w:w="108" w:type="dxa"/>
          </w:tblCellMar>
        </w:tblPrEx>
        <w:trPr>
          <w:trHeight w:val="0" w:hRule="atLeast"/>
          <w:jc w:val="center"/>
        </w:trPr>
        <w:tc>
          <w:tcPr>
            <w:tcW w:w="0" w:type="auto"/>
            <w:vAlign w:val="center"/>
          </w:tcPr>
          <w:p w14:paraId="0794A01F">
            <w:pPr>
              <w:pStyle w:val="24"/>
              <w:snapToGrid w:val="0"/>
              <w:ind w:left="0" w:leftChars="0" w:right="0" w:rightChars="0" w:firstLine="0" w:firstLineChars="0"/>
              <w:jc w:val="center"/>
              <w:rPr>
                <w:color w:val="auto"/>
              </w:rPr>
            </w:pPr>
            <w:r>
              <w:rPr>
                <w:color w:val="auto"/>
              </w:rPr>
              <w:t>5</w:t>
            </w:r>
          </w:p>
        </w:tc>
        <w:tc>
          <w:tcPr>
            <w:tcW w:w="0" w:type="auto"/>
            <w:vAlign w:val="center"/>
          </w:tcPr>
          <w:p w14:paraId="540A2D0C">
            <w:pPr>
              <w:pStyle w:val="24"/>
              <w:snapToGrid w:val="0"/>
              <w:ind w:left="0" w:leftChars="0" w:right="0" w:rightChars="0" w:firstLine="0" w:firstLineChars="0"/>
              <w:jc w:val="center"/>
              <w:rPr>
                <w:color w:val="auto"/>
              </w:rPr>
            </w:pPr>
            <w:r>
              <w:rPr>
                <w:color w:val="auto"/>
              </w:rPr>
              <w:t>Natural-fracture permeability</w:t>
            </w:r>
          </w:p>
        </w:tc>
        <w:tc>
          <w:tcPr>
            <w:tcW w:w="0" w:type="auto"/>
            <w:vAlign w:val="center"/>
          </w:tcPr>
          <w:p w14:paraId="5718D336">
            <w:pPr>
              <w:pStyle w:val="24"/>
              <w:snapToGrid w:val="0"/>
              <w:ind w:left="0" w:leftChars="0" w:right="0" w:rightChars="0" w:firstLine="0" w:firstLineChars="0"/>
              <w:jc w:val="left"/>
              <w:rPr>
                <w:color w:val="auto"/>
              </w:rPr>
            </w:pPr>
            <w:r>
              <w:rPr>
                <w:color w:val="auto"/>
              </w:rPr>
              <w:t>+1.9%</w:t>
            </w:r>
          </w:p>
        </w:tc>
        <w:tc>
          <w:tcPr>
            <w:tcW w:w="2529" w:type="dxa"/>
            <w:vAlign w:val="center"/>
          </w:tcPr>
          <w:p w14:paraId="05B9780A">
            <w:pPr>
              <w:pStyle w:val="24"/>
              <w:snapToGrid w:val="0"/>
              <w:ind w:left="0" w:leftChars="0" w:right="0" w:rightChars="0" w:firstLine="0" w:firstLineChars="0"/>
              <w:jc w:val="right"/>
              <w:rPr>
                <w:color w:val="auto"/>
              </w:rPr>
            </w:pPr>
            <w:r>
              <w:rPr>
                <w:color w:val="auto"/>
              </w:rPr>
              <w:t>−2.1%</w:t>
            </w:r>
          </w:p>
        </w:tc>
      </w:tr>
      <w:tr w14:paraId="348938D6">
        <w:tblPrEx>
          <w:tblCellMar>
            <w:top w:w="0" w:type="dxa"/>
            <w:left w:w="108" w:type="dxa"/>
            <w:bottom w:w="0" w:type="dxa"/>
            <w:right w:w="108" w:type="dxa"/>
          </w:tblCellMar>
        </w:tblPrEx>
        <w:trPr>
          <w:trHeight w:val="0" w:hRule="atLeast"/>
          <w:jc w:val="center"/>
        </w:trPr>
        <w:tc>
          <w:tcPr>
            <w:tcW w:w="791" w:type="dxa"/>
            <w:vAlign w:val="center"/>
          </w:tcPr>
          <w:p w14:paraId="0EEB5A6D">
            <w:pPr>
              <w:pStyle w:val="24"/>
              <w:snapToGrid w:val="0"/>
              <w:ind w:left="0" w:leftChars="0" w:right="0" w:rightChars="0" w:firstLine="0" w:firstLineChars="0"/>
              <w:jc w:val="center"/>
              <w:rPr>
                <w:color w:val="auto"/>
              </w:rPr>
            </w:pPr>
            <w:r>
              <w:rPr>
                <w:color w:val="auto"/>
              </w:rPr>
              <w:t>6</w:t>
            </w:r>
          </w:p>
        </w:tc>
        <w:tc>
          <w:tcPr>
            <w:tcW w:w="3008" w:type="dxa"/>
            <w:vAlign w:val="center"/>
          </w:tcPr>
          <w:p w14:paraId="547BAE62">
            <w:pPr>
              <w:pStyle w:val="24"/>
              <w:snapToGrid w:val="0"/>
              <w:ind w:left="0" w:leftChars="0" w:right="0" w:rightChars="0" w:firstLine="0" w:firstLineChars="0"/>
              <w:jc w:val="center"/>
              <w:rPr>
                <w:color w:val="auto"/>
              </w:rPr>
            </w:pPr>
            <w:r>
              <w:rPr>
                <w:color w:val="auto"/>
              </w:rPr>
              <w:t>Rock compressibility</w:t>
            </w:r>
          </w:p>
        </w:tc>
        <w:tc>
          <w:tcPr>
            <w:tcW w:w="2528" w:type="dxa"/>
            <w:vAlign w:val="center"/>
          </w:tcPr>
          <w:p w14:paraId="75F2972C">
            <w:pPr>
              <w:pStyle w:val="24"/>
              <w:snapToGrid w:val="0"/>
              <w:ind w:left="0" w:leftChars="0" w:right="0" w:rightChars="0" w:firstLine="0" w:firstLineChars="0"/>
              <w:jc w:val="left"/>
              <w:rPr>
                <w:color w:val="auto"/>
              </w:rPr>
            </w:pPr>
            <w:r>
              <w:rPr>
                <w:color w:val="auto"/>
              </w:rPr>
              <w:t>+0.8%</w:t>
            </w:r>
          </w:p>
        </w:tc>
        <w:tc>
          <w:tcPr>
            <w:tcW w:w="2529" w:type="dxa"/>
            <w:vAlign w:val="center"/>
          </w:tcPr>
          <w:p w14:paraId="4FD90170">
            <w:pPr>
              <w:pStyle w:val="24"/>
              <w:snapToGrid w:val="0"/>
              <w:ind w:left="0" w:leftChars="0" w:right="0" w:rightChars="0" w:firstLine="0" w:firstLineChars="0"/>
              <w:jc w:val="right"/>
              <w:rPr>
                <w:color w:val="auto"/>
              </w:rPr>
            </w:pPr>
            <w:r>
              <w:rPr>
                <w:color w:val="auto"/>
              </w:rPr>
              <w:t>−0.9%</w:t>
            </w:r>
          </w:p>
        </w:tc>
      </w:tr>
    </w:tbl>
    <w:p w14:paraId="37607DE7">
      <w:pPr>
        <w:pStyle w:val="3"/>
        <w:spacing w:before="0" w:after="120"/>
        <w:ind w:firstLine="480" w:firstLineChars="200"/>
        <w:jc w:val="both"/>
        <w:rPr>
          <w:color w:val="auto"/>
        </w:rPr>
      </w:pPr>
      <w:r>
        <w:rPr>
          <w:color w:val="auto"/>
        </w:rPr>
        <w:t>The results in Fig. 12 and Table 13 confirm that fracture half-length is the dominant parameter, consistent with the drainage-geometry physics of ultra-low-permeability reservoirs where fracture extent principally controls the stimulated volume. The introduction of natural-fracture permeability as a seventh parameter (ranked fifth in influence) indicates that the ensemble-mean DFN recovery enhancement is moderately sensitive to the assumed natural-fracture conductivity. The ranking of parameter importance is invariant between the PEBI and Cartesian LGR discretizations, confirming physical consistency. The PEBI-based response surface is markedly smoother, however, with mean local curvature reduced by 37% relative to the LGR equivalent—a direct consequence of eliminating geometry-induced numerical noise from the sensitivity analysis.</w:t>
      </w:r>
      <m:oMath>
        <m:r>
          <m:rPr/>
          <w:rPr>
            <w:color w:val="auto"/>
          </w:rPr>
          <m:t>21.8%</m:t>
        </m:r>
      </m:oMath>
    </w:p>
    <w:p w14:paraId="6CEFC674">
      <w:pPr>
        <w:pStyle w:val="3"/>
        <w:spacing w:before="0" w:after="120"/>
        <w:ind w:firstLine="480" w:firstLineChars="200"/>
        <w:jc w:val="both"/>
        <w:rPr>
          <w:color w:val="auto"/>
        </w:rPr>
      </w:pPr>
    </w:p>
    <w:p w14:paraId="433D5846">
      <w:pPr>
        <w:pStyle w:val="3"/>
        <w:spacing w:before="0" w:after="120"/>
        <w:ind w:firstLine="480" w:firstLineChars="200"/>
        <w:jc w:val="both"/>
        <w:rPr>
          <w:color w:val="auto"/>
        </w:rPr>
      </w:pPr>
    </w:p>
    <w:p w14:paraId="5604AEC6">
      <w:pPr>
        <w:pStyle w:val="3"/>
        <w:spacing w:before="0" w:after="120"/>
        <w:ind w:firstLine="480" w:firstLineChars="200"/>
        <w:jc w:val="both"/>
        <w:rPr>
          <w:color w:val="auto"/>
        </w:rPr>
      </w:pPr>
    </w:p>
    <w:p w14:paraId="1032E1D6">
      <w:pPr>
        <w:pStyle w:val="3"/>
        <w:spacing w:before="0" w:after="120"/>
        <w:ind w:firstLine="480" w:firstLineChars="200"/>
        <w:jc w:val="both"/>
        <w:rPr>
          <w:color w:val="auto"/>
        </w:rPr>
      </w:pPr>
    </w:p>
    <w:p w14:paraId="098F92C5">
      <w:pPr>
        <w:pStyle w:val="3"/>
        <w:spacing w:before="0" w:after="120"/>
        <w:ind w:firstLine="480" w:firstLineChars="200"/>
        <w:jc w:val="center"/>
        <w:rPr>
          <w:color w:val="auto"/>
        </w:rPr>
      </w:pPr>
      <w:r>
        <w:rPr>
          <w:b/>
          <w:color w:val="auto"/>
        </w:rPr>
        <w:t>Table 14: Sensitivity of mesh quality to  density function parameters.</w:t>
      </w:r>
      <m:oMath>
        <m:r>
          <m:rPr>
            <m:nor/>
            <m:sty m:val="p"/>
          </m:rPr>
          <w:rPr>
            <w:b w:val="0"/>
            <w:i w:val="0"/>
            <w:color w:val="auto"/>
          </w:rPr>
          <m:t>tanh</m:t>
        </m:r>
      </m:oMath>
    </w:p>
    <w:tbl>
      <w:tblPr>
        <w:tblStyle w:val="28"/>
        <w:tblW w:w="8851" w:type="dxa"/>
        <w:jc w:val="center"/>
        <w:tblLayout w:type="autofit"/>
        <w:tblCellMar>
          <w:top w:w="0" w:type="dxa"/>
          <w:left w:w="108" w:type="dxa"/>
          <w:bottom w:w="0" w:type="dxa"/>
          <w:right w:w="108" w:type="dxa"/>
        </w:tblCellMar>
      </w:tblPr>
      <w:tblGrid>
        <w:gridCol w:w="1111"/>
        <w:gridCol w:w="988"/>
        <w:gridCol w:w="985"/>
        <w:gridCol w:w="2102"/>
        <w:gridCol w:w="2223"/>
        <w:gridCol w:w="1442"/>
      </w:tblGrid>
      <w:tr w14:paraId="60476DAD">
        <w:tblPrEx>
          <w:tblCellMar>
            <w:top w:w="0" w:type="dxa"/>
            <w:left w:w="108" w:type="dxa"/>
            <w:bottom w:w="0" w:type="dxa"/>
            <w:right w:w="108" w:type="dxa"/>
          </w:tblCellMar>
        </w:tblPrEx>
        <w:trPr>
          <w:trHeight w:val="0" w:hRule="atLeast"/>
          <w:tblHeader/>
          <w:jc w:val="center"/>
        </w:trPr>
        <w:tc>
          <w:tcPr>
            <w:tcW w:w="0" w:type="auto"/>
            <w:tcBorders>
              <w:bottom w:val="single" w:color="auto" w:sz="0" w:space="0"/>
            </w:tcBorders>
            <w:vAlign w:val="center"/>
          </w:tcPr>
          <w:p w14:paraId="3ABADD85">
            <w:pPr>
              <w:pStyle w:val="24"/>
              <w:snapToGrid w:val="0"/>
              <w:ind w:left="0" w:leftChars="0" w:right="0" w:rightChars="0" w:firstLine="0" w:firstLineChars="0"/>
              <w:jc w:val="center"/>
              <w:rPr>
                <w:b/>
                <w:color w:val="auto"/>
              </w:rPr>
            </w:pPr>
            <m:oMath>
              <m:r>
                <m:rPr>
                  <m:sty m:val="bi"/>
                </m:rPr>
                <w:rPr>
                  <w:rFonts w:hint="default" w:ascii="Cambria Math" w:hAnsi="Cambria Math"/>
                  <w:color w:val="auto"/>
                </w:rPr>
                <m:t>α</m:t>
              </m:r>
            </m:oMath>
            <w:r>
              <w:rPr>
                <w:b/>
                <w:color w:val="auto"/>
              </w:rPr>
              <w:t xml:space="preserve"> (m⁻¹)</w:t>
            </w:r>
          </w:p>
        </w:tc>
        <w:tc>
          <w:tcPr>
            <w:tcW w:w="0" w:type="auto"/>
            <w:tcBorders>
              <w:bottom w:val="single" w:color="auto" w:sz="0" w:space="0"/>
            </w:tcBorders>
            <w:vAlign w:val="center"/>
          </w:tcPr>
          <w:p w14:paraId="4346C388">
            <w:pPr>
              <w:pStyle w:val="24"/>
              <w:snapToGrid w:val="0"/>
              <w:ind w:left="0" w:leftChars="0" w:right="0" w:rightChars="0" w:firstLine="0" w:firstLineChars="0"/>
              <w:jc w:val="center"/>
              <w:rPr>
                <w:b/>
                <w:color w:val="auto"/>
              </w:rPr>
            </w:pPr>
            <m:oMath>
              <m:sSub>
                <m:sSubPr>
                  <m:ctrlPr>
                    <w:rPr>
                      <w:rFonts w:ascii="Cambria Math" w:hAnsi="Cambria Math"/>
                      <w:b/>
                      <w:color w:val="auto"/>
                    </w:rPr>
                  </m:ctrlPr>
                </m:sSubPr>
                <m:e>
                  <m:r>
                    <m:rPr>
                      <m:sty m:val="bi"/>
                    </m:rPr>
                    <w:rPr>
                      <w:rFonts w:hint="default" w:ascii="Cambria Math" w:hAnsi="Cambria Math"/>
                      <w:color w:val="auto"/>
                    </w:rPr>
                    <m:t>h</m:t>
                  </m:r>
                  <m:ctrlPr>
                    <w:rPr>
                      <w:rFonts w:ascii="Cambria Math" w:hAnsi="Cambria Math"/>
                      <w:b/>
                      <w:color w:val="auto"/>
                    </w:rPr>
                  </m:ctrlPr>
                </m:e>
                <m:sub>
                  <m:r>
                    <m:rPr>
                      <m:sty m:val="bi"/>
                    </m:rPr>
                    <w:rPr>
                      <w:rFonts w:hint="default" w:ascii="Cambria Math" w:hAnsi="Cambria Math"/>
                      <w:color w:val="auto"/>
                    </w:rPr>
                    <m:t>n</m:t>
                  </m:r>
                  <m:ctrlPr>
                    <w:rPr>
                      <w:rFonts w:ascii="Cambria Math" w:hAnsi="Cambria Math"/>
                      <w:b/>
                      <w:color w:val="auto"/>
                    </w:rPr>
                  </m:ctrlPr>
                </m:sub>
              </m:sSub>
            </m:oMath>
            <w:r>
              <w:rPr>
                <w:b/>
                <w:color w:val="auto"/>
              </w:rPr>
              <w:t xml:space="preserve"> (m)</w:t>
            </w:r>
          </w:p>
        </w:tc>
        <w:tc>
          <w:tcPr>
            <w:tcW w:w="0" w:type="auto"/>
            <w:tcBorders>
              <w:bottom w:val="single" w:color="auto" w:sz="0" w:space="0"/>
            </w:tcBorders>
            <w:vAlign w:val="center"/>
          </w:tcPr>
          <w:p w14:paraId="1F3F500C">
            <w:pPr>
              <w:pStyle w:val="24"/>
              <w:snapToGrid w:val="0"/>
              <w:ind w:left="0" w:leftChars="0" w:right="0" w:rightChars="0" w:firstLine="0" w:firstLineChars="0"/>
              <w:jc w:val="center"/>
              <w:rPr>
                <w:b/>
                <w:color w:val="auto"/>
              </w:rPr>
            </w:pPr>
            <m:oMath>
              <m:sSub>
                <m:sSubPr>
                  <m:ctrlPr>
                    <w:rPr>
                      <w:rFonts w:ascii="Cambria Math" w:hAnsi="Cambria Math"/>
                      <w:b/>
                      <w:color w:val="auto"/>
                    </w:rPr>
                  </m:ctrlPr>
                </m:sSubPr>
                <m:e>
                  <m:r>
                    <m:rPr>
                      <m:sty m:val="bi"/>
                    </m:rPr>
                    <w:rPr>
                      <w:rFonts w:hint="default" w:ascii="Cambria Math" w:hAnsi="Cambria Math"/>
                      <w:color w:val="auto"/>
                    </w:rPr>
                    <m:t>h</m:t>
                  </m:r>
                  <m:ctrlPr>
                    <w:rPr>
                      <w:rFonts w:ascii="Cambria Math" w:hAnsi="Cambria Math"/>
                      <w:b/>
                      <w:color w:val="auto"/>
                    </w:rPr>
                  </m:ctrlPr>
                </m:e>
                <m:sub>
                  <m:r>
                    <m:rPr>
                      <m:sty m:val="bi"/>
                    </m:rPr>
                    <w:rPr>
                      <w:rFonts w:hint="default" w:ascii="Cambria Math" w:hAnsi="Cambria Math"/>
                      <w:color w:val="auto"/>
                    </w:rPr>
                    <m:t>f</m:t>
                  </m:r>
                  <m:ctrlPr>
                    <w:rPr>
                      <w:rFonts w:ascii="Cambria Math" w:hAnsi="Cambria Math"/>
                      <w:b/>
                      <w:color w:val="auto"/>
                    </w:rPr>
                  </m:ctrlPr>
                </m:sub>
              </m:sSub>
            </m:oMath>
            <w:r>
              <w:rPr>
                <w:b/>
                <w:color w:val="auto"/>
              </w:rPr>
              <w:t xml:space="preserve"> (m)</w:t>
            </w:r>
          </w:p>
        </w:tc>
        <w:tc>
          <w:tcPr>
            <w:tcW w:w="0" w:type="auto"/>
            <w:tcBorders>
              <w:bottom w:val="single" w:color="auto" w:sz="0" w:space="0"/>
            </w:tcBorders>
            <w:vAlign w:val="center"/>
          </w:tcPr>
          <w:p w14:paraId="3D20F643">
            <w:pPr>
              <w:pStyle w:val="24"/>
              <w:snapToGrid w:val="0"/>
              <w:ind w:left="0" w:leftChars="0" w:right="0" w:rightChars="0" w:firstLine="0" w:firstLineChars="0"/>
              <w:jc w:val="center"/>
              <w:rPr>
                <w:b/>
                <w:color w:val="auto"/>
              </w:rPr>
            </w:pPr>
            <w:r>
              <w:rPr>
                <w:b/>
                <w:color w:val="auto"/>
              </w:rPr>
              <w:t xml:space="preserve">Faces with </w:t>
            </w:r>
            <m:oMath>
              <m:r>
                <m:rPr>
                  <m:sty m:val="bi"/>
                </m:rPr>
                <w:rPr>
                  <w:rFonts w:hint="default" w:ascii="Cambria Math" w:hAnsi="Cambria Math"/>
                  <w:color w:val="auto"/>
                </w:rPr>
                <m:t>θ≤</m:t>
              </m:r>
              <m:sSup>
                <m:sSupPr>
                  <m:ctrlPr>
                    <w:rPr>
                      <w:rFonts w:ascii="Cambria Math" w:hAnsi="Cambria Math"/>
                      <w:b/>
                      <w:color w:val="auto"/>
                    </w:rPr>
                  </m:ctrlPr>
                </m:sSupPr>
                <m:e>
                  <m:r>
                    <m:rPr>
                      <m:sty m:val="bi"/>
                    </m:rPr>
                    <w:rPr>
                      <w:rFonts w:hint="default" w:ascii="Cambria Math" w:hAnsi="Cambria Math"/>
                      <w:color w:val="auto"/>
                    </w:rPr>
                    <m:t>5</m:t>
                  </m:r>
                  <m:ctrlPr>
                    <w:rPr>
                      <w:rFonts w:ascii="Cambria Math" w:hAnsi="Cambria Math"/>
                      <w:b/>
                      <w:color w:val="auto"/>
                    </w:rPr>
                  </m:ctrlPr>
                </m:e>
                <m:sup>
                  <m:r>
                    <m:rPr>
                      <m:sty m:val="bi"/>
                    </m:rPr>
                    <w:rPr>
                      <w:rFonts w:ascii="Cambria Math" w:hAnsi="Cambria Math"/>
                      <w:color w:val="auto"/>
                    </w:rPr>
                    <m:t>∘</m:t>
                  </m:r>
                  <m:ctrlPr>
                    <w:rPr>
                      <w:rFonts w:ascii="Cambria Math" w:hAnsi="Cambria Math"/>
                      <w:b/>
                      <w:color w:val="auto"/>
                    </w:rPr>
                  </m:ctrlPr>
                </m:sup>
              </m:sSup>
            </m:oMath>
          </w:p>
        </w:tc>
        <w:tc>
          <w:tcPr>
            <w:tcW w:w="0" w:type="auto"/>
            <w:tcBorders>
              <w:bottom w:val="single" w:color="auto" w:sz="0" w:space="0"/>
            </w:tcBorders>
            <w:vAlign w:val="center"/>
          </w:tcPr>
          <w:p w14:paraId="3D0FDFB7">
            <w:pPr>
              <w:pStyle w:val="24"/>
              <w:snapToGrid w:val="0"/>
              <w:ind w:left="0" w:leftChars="0" w:right="0" w:rightChars="0" w:firstLine="0" w:firstLineChars="0"/>
              <w:jc w:val="center"/>
              <w:rPr>
                <w:b/>
                <w:color w:val="auto"/>
              </w:rPr>
            </w:pPr>
            <w:r>
              <w:rPr>
                <w:b/>
                <w:color w:val="auto"/>
              </w:rPr>
              <w:t>Max Aspect Ratio</w:t>
            </w:r>
          </w:p>
        </w:tc>
        <w:tc>
          <w:tcPr>
            <w:tcW w:w="1442" w:type="dxa"/>
            <w:tcBorders>
              <w:bottom w:val="single" w:color="auto" w:sz="0" w:space="0"/>
            </w:tcBorders>
            <w:vAlign w:val="center"/>
          </w:tcPr>
          <w:p w14:paraId="102AC1E8">
            <w:pPr>
              <w:pStyle w:val="24"/>
              <w:snapToGrid w:val="0"/>
              <w:ind w:left="0" w:leftChars="0" w:right="0" w:rightChars="0" w:firstLine="0" w:firstLineChars="0"/>
              <w:jc w:val="center"/>
              <w:rPr>
                <w:b/>
                <w:color w:val="auto"/>
              </w:rPr>
            </w:pPr>
            <w:r>
              <w:rPr>
                <w:b/>
                <w:color w:val="auto"/>
              </w:rPr>
              <w:t>Total Cells</w:t>
            </w:r>
          </w:p>
        </w:tc>
      </w:tr>
      <w:tr w14:paraId="2DE0BAB5">
        <w:tblPrEx>
          <w:tblCellMar>
            <w:top w:w="0" w:type="dxa"/>
            <w:left w:w="108" w:type="dxa"/>
            <w:bottom w:w="0" w:type="dxa"/>
            <w:right w:w="108" w:type="dxa"/>
          </w:tblCellMar>
        </w:tblPrEx>
        <w:trPr>
          <w:trHeight w:val="0" w:hRule="atLeast"/>
          <w:jc w:val="center"/>
        </w:trPr>
        <w:tc>
          <w:tcPr>
            <w:tcW w:w="0" w:type="auto"/>
            <w:vAlign w:val="center"/>
          </w:tcPr>
          <w:p w14:paraId="6DACD317">
            <w:pPr>
              <w:pStyle w:val="24"/>
              <w:snapToGrid w:val="0"/>
              <w:ind w:left="0" w:leftChars="0" w:right="0" w:rightChars="0" w:firstLine="0" w:firstLineChars="0"/>
              <w:jc w:val="center"/>
              <w:rPr>
                <w:color w:val="auto"/>
              </w:rPr>
            </w:pPr>
            <w:r>
              <w:rPr>
                <w:color w:val="auto"/>
              </w:rPr>
              <w:t>0.25</w:t>
            </w:r>
          </w:p>
        </w:tc>
        <w:tc>
          <w:tcPr>
            <w:tcW w:w="0" w:type="auto"/>
            <w:vAlign w:val="center"/>
          </w:tcPr>
          <w:p w14:paraId="6A9E693D">
            <w:pPr>
              <w:pStyle w:val="24"/>
              <w:snapToGrid w:val="0"/>
              <w:ind w:left="0" w:leftChars="0" w:right="0" w:rightChars="0" w:firstLine="0" w:firstLineChars="0"/>
              <w:jc w:val="center"/>
              <w:rPr>
                <w:color w:val="auto"/>
              </w:rPr>
            </w:pPr>
            <w:r>
              <w:rPr>
                <w:color w:val="auto"/>
              </w:rPr>
              <w:t>1.0</w:t>
            </w:r>
          </w:p>
        </w:tc>
        <w:tc>
          <w:tcPr>
            <w:tcW w:w="0" w:type="auto"/>
            <w:vAlign w:val="center"/>
          </w:tcPr>
          <w:p w14:paraId="2BCBDB8A">
            <w:pPr>
              <w:pStyle w:val="24"/>
              <w:snapToGrid w:val="0"/>
              <w:ind w:left="0" w:leftChars="0" w:right="0" w:rightChars="0" w:firstLine="0" w:firstLineChars="0"/>
              <w:jc w:val="center"/>
              <w:rPr>
                <w:color w:val="auto"/>
              </w:rPr>
            </w:pPr>
            <w:r>
              <w:rPr>
                <w:color w:val="auto"/>
              </w:rPr>
              <w:t>50.0</w:t>
            </w:r>
          </w:p>
        </w:tc>
        <w:tc>
          <w:tcPr>
            <w:tcW w:w="0" w:type="auto"/>
            <w:vAlign w:val="center"/>
          </w:tcPr>
          <w:p w14:paraId="03C9D643">
            <w:pPr>
              <w:pStyle w:val="24"/>
              <w:snapToGrid w:val="0"/>
              <w:ind w:left="0" w:leftChars="0" w:right="0" w:rightChars="0" w:firstLine="0" w:firstLineChars="0"/>
              <w:jc w:val="center"/>
              <w:rPr>
                <w:color w:val="auto"/>
              </w:rPr>
            </w:pPr>
            <w:r>
              <w:rPr>
                <w:color w:val="auto"/>
              </w:rPr>
              <w:t>95.8%</w:t>
            </w:r>
          </w:p>
        </w:tc>
        <w:tc>
          <w:tcPr>
            <w:tcW w:w="0" w:type="auto"/>
            <w:vAlign w:val="center"/>
          </w:tcPr>
          <w:p w14:paraId="6FB3C910">
            <w:pPr>
              <w:pStyle w:val="24"/>
              <w:snapToGrid w:val="0"/>
              <w:ind w:left="0" w:leftChars="0" w:right="0" w:rightChars="0" w:firstLine="0" w:firstLineChars="0"/>
              <w:jc w:val="center"/>
              <w:rPr>
                <w:color w:val="auto"/>
              </w:rPr>
            </w:pPr>
            <w:r>
              <w:rPr>
                <w:color w:val="auto"/>
              </w:rPr>
              <w:t>4.2</w:t>
            </w:r>
          </w:p>
        </w:tc>
        <w:tc>
          <w:tcPr>
            <w:tcW w:w="1442" w:type="dxa"/>
            <w:vAlign w:val="center"/>
          </w:tcPr>
          <w:p w14:paraId="556D91C0">
            <w:pPr>
              <w:pStyle w:val="24"/>
              <w:snapToGrid w:val="0"/>
              <w:ind w:left="0" w:leftChars="0" w:right="0" w:rightChars="0" w:firstLine="0" w:firstLineChars="0"/>
              <w:jc w:val="center"/>
              <w:rPr>
                <w:color w:val="auto"/>
              </w:rPr>
            </w:pPr>
            <w:r>
              <w:rPr>
                <w:color w:val="auto"/>
              </w:rPr>
              <w:t>892 K</w:t>
            </w:r>
          </w:p>
        </w:tc>
      </w:tr>
      <w:tr w14:paraId="22E8C481">
        <w:tblPrEx>
          <w:tblCellMar>
            <w:top w:w="0" w:type="dxa"/>
            <w:left w:w="108" w:type="dxa"/>
            <w:bottom w:w="0" w:type="dxa"/>
            <w:right w:w="108" w:type="dxa"/>
          </w:tblCellMar>
        </w:tblPrEx>
        <w:trPr>
          <w:trHeight w:val="0" w:hRule="atLeast"/>
          <w:jc w:val="center"/>
        </w:trPr>
        <w:tc>
          <w:tcPr>
            <w:tcW w:w="0" w:type="auto"/>
            <w:vAlign w:val="center"/>
          </w:tcPr>
          <w:p w14:paraId="50DA8426">
            <w:pPr>
              <w:pStyle w:val="24"/>
              <w:snapToGrid w:val="0"/>
              <w:ind w:left="0" w:leftChars="0" w:right="0" w:rightChars="0" w:firstLine="0" w:firstLineChars="0"/>
              <w:jc w:val="center"/>
              <w:rPr>
                <w:color w:val="auto"/>
              </w:rPr>
            </w:pPr>
            <w:r>
              <w:rPr>
                <w:b/>
                <w:color w:val="auto"/>
              </w:rPr>
              <w:t>0.50</w:t>
            </w:r>
          </w:p>
        </w:tc>
        <w:tc>
          <w:tcPr>
            <w:tcW w:w="0" w:type="auto"/>
            <w:vAlign w:val="center"/>
          </w:tcPr>
          <w:p w14:paraId="6CF5617A">
            <w:pPr>
              <w:pStyle w:val="24"/>
              <w:snapToGrid w:val="0"/>
              <w:ind w:left="0" w:leftChars="0" w:right="0" w:rightChars="0" w:firstLine="0" w:firstLineChars="0"/>
              <w:jc w:val="center"/>
              <w:rPr>
                <w:color w:val="auto"/>
              </w:rPr>
            </w:pPr>
            <w:r>
              <w:rPr>
                <w:b/>
                <w:color w:val="auto"/>
              </w:rPr>
              <w:t>1.0</w:t>
            </w:r>
          </w:p>
        </w:tc>
        <w:tc>
          <w:tcPr>
            <w:tcW w:w="0" w:type="auto"/>
            <w:vAlign w:val="center"/>
          </w:tcPr>
          <w:p w14:paraId="18AA5C39">
            <w:pPr>
              <w:pStyle w:val="24"/>
              <w:snapToGrid w:val="0"/>
              <w:ind w:left="0" w:leftChars="0" w:right="0" w:rightChars="0" w:firstLine="0" w:firstLineChars="0"/>
              <w:jc w:val="center"/>
              <w:rPr>
                <w:color w:val="auto"/>
              </w:rPr>
            </w:pPr>
            <w:r>
              <w:rPr>
                <w:b/>
                <w:color w:val="auto"/>
              </w:rPr>
              <w:t>50.0</w:t>
            </w:r>
          </w:p>
        </w:tc>
        <w:tc>
          <w:tcPr>
            <w:tcW w:w="0" w:type="auto"/>
            <w:vAlign w:val="center"/>
          </w:tcPr>
          <w:p w14:paraId="548330A3">
            <w:pPr>
              <w:pStyle w:val="24"/>
              <w:snapToGrid w:val="0"/>
              <w:ind w:left="0" w:leftChars="0" w:right="0" w:rightChars="0" w:firstLine="0" w:firstLineChars="0"/>
              <w:jc w:val="center"/>
              <w:rPr>
                <w:color w:val="auto"/>
              </w:rPr>
            </w:pPr>
            <w:r>
              <w:rPr>
                <w:b/>
                <w:color w:val="auto"/>
              </w:rPr>
              <w:t>97.1%</w:t>
            </w:r>
          </w:p>
        </w:tc>
        <w:tc>
          <w:tcPr>
            <w:tcW w:w="0" w:type="auto"/>
            <w:vAlign w:val="center"/>
          </w:tcPr>
          <w:p w14:paraId="1527C374">
            <w:pPr>
              <w:pStyle w:val="24"/>
              <w:snapToGrid w:val="0"/>
              <w:ind w:left="0" w:leftChars="0" w:right="0" w:rightChars="0" w:firstLine="0" w:firstLineChars="0"/>
              <w:jc w:val="center"/>
              <w:rPr>
                <w:color w:val="auto"/>
              </w:rPr>
            </w:pPr>
            <w:r>
              <w:rPr>
                <w:b/>
                <w:color w:val="auto"/>
              </w:rPr>
              <w:t>3.8</w:t>
            </w:r>
          </w:p>
        </w:tc>
        <w:tc>
          <w:tcPr>
            <w:tcW w:w="1442" w:type="dxa"/>
            <w:vAlign w:val="center"/>
          </w:tcPr>
          <w:p w14:paraId="5705984F">
            <w:pPr>
              <w:pStyle w:val="24"/>
              <w:snapToGrid w:val="0"/>
              <w:ind w:left="0" w:leftChars="0" w:right="0" w:rightChars="0" w:firstLine="0" w:firstLineChars="0"/>
              <w:jc w:val="center"/>
              <w:rPr>
                <w:color w:val="auto"/>
              </w:rPr>
            </w:pPr>
            <w:r>
              <w:rPr>
                <w:b/>
                <w:color w:val="auto"/>
              </w:rPr>
              <w:t>1 024 K</w:t>
            </w:r>
          </w:p>
        </w:tc>
      </w:tr>
      <w:tr w14:paraId="1BFABB58">
        <w:tblPrEx>
          <w:tblCellMar>
            <w:top w:w="0" w:type="dxa"/>
            <w:left w:w="108" w:type="dxa"/>
            <w:bottom w:w="0" w:type="dxa"/>
            <w:right w:w="108" w:type="dxa"/>
          </w:tblCellMar>
        </w:tblPrEx>
        <w:trPr>
          <w:trHeight w:val="0" w:hRule="atLeast"/>
          <w:jc w:val="center"/>
        </w:trPr>
        <w:tc>
          <w:tcPr>
            <w:tcW w:w="0" w:type="auto"/>
            <w:vAlign w:val="center"/>
          </w:tcPr>
          <w:p w14:paraId="01E237DE">
            <w:pPr>
              <w:pStyle w:val="24"/>
              <w:snapToGrid w:val="0"/>
              <w:ind w:left="0" w:leftChars="0" w:right="0" w:rightChars="0" w:firstLine="0" w:firstLineChars="0"/>
              <w:jc w:val="center"/>
              <w:rPr>
                <w:color w:val="auto"/>
              </w:rPr>
            </w:pPr>
            <w:r>
              <w:rPr>
                <w:color w:val="auto"/>
              </w:rPr>
              <w:t>1.00</w:t>
            </w:r>
          </w:p>
        </w:tc>
        <w:tc>
          <w:tcPr>
            <w:tcW w:w="0" w:type="auto"/>
            <w:vAlign w:val="center"/>
          </w:tcPr>
          <w:p w14:paraId="517E6C0F">
            <w:pPr>
              <w:pStyle w:val="24"/>
              <w:snapToGrid w:val="0"/>
              <w:ind w:left="0" w:leftChars="0" w:right="0" w:rightChars="0" w:firstLine="0" w:firstLineChars="0"/>
              <w:jc w:val="center"/>
              <w:rPr>
                <w:color w:val="auto"/>
              </w:rPr>
            </w:pPr>
            <w:r>
              <w:rPr>
                <w:color w:val="auto"/>
              </w:rPr>
              <w:t>1.0</w:t>
            </w:r>
          </w:p>
        </w:tc>
        <w:tc>
          <w:tcPr>
            <w:tcW w:w="0" w:type="auto"/>
            <w:vAlign w:val="center"/>
          </w:tcPr>
          <w:p w14:paraId="013B5E33">
            <w:pPr>
              <w:pStyle w:val="24"/>
              <w:snapToGrid w:val="0"/>
              <w:ind w:left="0" w:leftChars="0" w:right="0" w:rightChars="0" w:firstLine="0" w:firstLineChars="0"/>
              <w:jc w:val="center"/>
              <w:rPr>
                <w:color w:val="auto"/>
              </w:rPr>
            </w:pPr>
            <w:r>
              <w:rPr>
                <w:color w:val="auto"/>
              </w:rPr>
              <w:t>50.0</w:t>
            </w:r>
          </w:p>
        </w:tc>
        <w:tc>
          <w:tcPr>
            <w:tcW w:w="0" w:type="auto"/>
            <w:vAlign w:val="center"/>
          </w:tcPr>
          <w:p w14:paraId="4F2B09EA">
            <w:pPr>
              <w:pStyle w:val="24"/>
              <w:snapToGrid w:val="0"/>
              <w:ind w:left="0" w:leftChars="0" w:right="0" w:rightChars="0" w:firstLine="0" w:firstLineChars="0"/>
              <w:jc w:val="center"/>
              <w:rPr>
                <w:color w:val="auto"/>
              </w:rPr>
            </w:pPr>
            <w:r>
              <w:rPr>
                <w:color w:val="auto"/>
              </w:rPr>
              <w:t>97.4%</w:t>
            </w:r>
          </w:p>
        </w:tc>
        <w:tc>
          <w:tcPr>
            <w:tcW w:w="0" w:type="auto"/>
            <w:vAlign w:val="center"/>
          </w:tcPr>
          <w:p w14:paraId="3822579C">
            <w:pPr>
              <w:pStyle w:val="24"/>
              <w:snapToGrid w:val="0"/>
              <w:ind w:left="0" w:leftChars="0" w:right="0" w:rightChars="0" w:firstLine="0" w:firstLineChars="0"/>
              <w:jc w:val="center"/>
              <w:rPr>
                <w:color w:val="auto"/>
              </w:rPr>
            </w:pPr>
            <w:r>
              <w:rPr>
                <w:color w:val="auto"/>
              </w:rPr>
              <w:t>3.6</w:t>
            </w:r>
          </w:p>
        </w:tc>
        <w:tc>
          <w:tcPr>
            <w:tcW w:w="1442" w:type="dxa"/>
            <w:vAlign w:val="center"/>
          </w:tcPr>
          <w:p w14:paraId="661574A9">
            <w:pPr>
              <w:pStyle w:val="24"/>
              <w:snapToGrid w:val="0"/>
              <w:ind w:left="0" w:leftChars="0" w:right="0" w:rightChars="0" w:firstLine="0" w:firstLineChars="0"/>
              <w:jc w:val="center"/>
              <w:rPr>
                <w:color w:val="auto"/>
              </w:rPr>
            </w:pPr>
            <w:r>
              <w:rPr>
                <w:color w:val="auto"/>
              </w:rPr>
              <w:t>1 187 K</w:t>
            </w:r>
          </w:p>
        </w:tc>
      </w:tr>
      <w:tr w14:paraId="7DB24ED9">
        <w:tblPrEx>
          <w:tblCellMar>
            <w:top w:w="0" w:type="dxa"/>
            <w:left w:w="108" w:type="dxa"/>
            <w:bottom w:w="0" w:type="dxa"/>
            <w:right w:w="108" w:type="dxa"/>
          </w:tblCellMar>
        </w:tblPrEx>
        <w:trPr>
          <w:trHeight w:val="0" w:hRule="atLeast"/>
          <w:jc w:val="center"/>
        </w:trPr>
        <w:tc>
          <w:tcPr>
            <w:tcW w:w="0" w:type="auto"/>
            <w:vAlign w:val="center"/>
          </w:tcPr>
          <w:p w14:paraId="553BA775">
            <w:pPr>
              <w:pStyle w:val="24"/>
              <w:snapToGrid w:val="0"/>
              <w:ind w:left="0" w:leftChars="0" w:right="0" w:rightChars="0" w:firstLine="0" w:firstLineChars="0"/>
              <w:jc w:val="center"/>
              <w:rPr>
                <w:color w:val="auto"/>
              </w:rPr>
            </w:pPr>
            <w:r>
              <w:rPr>
                <w:color w:val="auto"/>
              </w:rPr>
              <w:t>2.00</w:t>
            </w:r>
          </w:p>
        </w:tc>
        <w:tc>
          <w:tcPr>
            <w:tcW w:w="0" w:type="auto"/>
            <w:vAlign w:val="center"/>
          </w:tcPr>
          <w:p w14:paraId="236166EE">
            <w:pPr>
              <w:pStyle w:val="24"/>
              <w:snapToGrid w:val="0"/>
              <w:ind w:left="0" w:leftChars="0" w:right="0" w:rightChars="0" w:firstLine="0" w:firstLineChars="0"/>
              <w:jc w:val="center"/>
              <w:rPr>
                <w:color w:val="auto"/>
              </w:rPr>
            </w:pPr>
            <w:r>
              <w:rPr>
                <w:color w:val="auto"/>
              </w:rPr>
              <w:t>1.0</w:t>
            </w:r>
          </w:p>
        </w:tc>
        <w:tc>
          <w:tcPr>
            <w:tcW w:w="0" w:type="auto"/>
            <w:vAlign w:val="center"/>
          </w:tcPr>
          <w:p w14:paraId="4F5AD81D">
            <w:pPr>
              <w:pStyle w:val="24"/>
              <w:snapToGrid w:val="0"/>
              <w:ind w:left="0" w:leftChars="0" w:right="0" w:rightChars="0" w:firstLine="0" w:firstLineChars="0"/>
              <w:jc w:val="center"/>
              <w:rPr>
                <w:color w:val="auto"/>
              </w:rPr>
            </w:pPr>
            <w:r>
              <w:rPr>
                <w:color w:val="auto"/>
              </w:rPr>
              <w:t>50.0</w:t>
            </w:r>
          </w:p>
        </w:tc>
        <w:tc>
          <w:tcPr>
            <w:tcW w:w="0" w:type="auto"/>
            <w:vAlign w:val="center"/>
          </w:tcPr>
          <w:p w14:paraId="77DB82DA">
            <w:pPr>
              <w:pStyle w:val="24"/>
              <w:snapToGrid w:val="0"/>
              <w:ind w:left="0" w:leftChars="0" w:right="0" w:rightChars="0" w:firstLine="0" w:firstLineChars="0"/>
              <w:jc w:val="center"/>
              <w:rPr>
                <w:color w:val="auto"/>
              </w:rPr>
            </w:pPr>
            <w:r>
              <w:rPr>
                <w:color w:val="auto"/>
              </w:rPr>
              <w:t>97.6%</w:t>
            </w:r>
          </w:p>
        </w:tc>
        <w:tc>
          <w:tcPr>
            <w:tcW w:w="0" w:type="auto"/>
            <w:vAlign w:val="center"/>
          </w:tcPr>
          <w:p w14:paraId="6BF1E93F">
            <w:pPr>
              <w:pStyle w:val="24"/>
              <w:snapToGrid w:val="0"/>
              <w:ind w:left="0" w:leftChars="0" w:right="0" w:rightChars="0" w:firstLine="0" w:firstLineChars="0"/>
              <w:jc w:val="center"/>
              <w:rPr>
                <w:color w:val="auto"/>
              </w:rPr>
            </w:pPr>
            <w:r>
              <w:rPr>
                <w:color w:val="auto"/>
              </w:rPr>
              <w:t>3.5</w:t>
            </w:r>
          </w:p>
        </w:tc>
        <w:tc>
          <w:tcPr>
            <w:tcW w:w="1442" w:type="dxa"/>
            <w:vAlign w:val="center"/>
          </w:tcPr>
          <w:p w14:paraId="01D5D49E">
            <w:pPr>
              <w:pStyle w:val="24"/>
              <w:snapToGrid w:val="0"/>
              <w:ind w:left="0" w:leftChars="0" w:right="0" w:rightChars="0" w:firstLine="0" w:firstLineChars="0"/>
              <w:jc w:val="center"/>
              <w:rPr>
                <w:color w:val="auto"/>
              </w:rPr>
            </w:pPr>
            <w:r>
              <w:rPr>
                <w:color w:val="auto"/>
              </w:rPr>
              <w:t>1 403 K</w:t>
            </w:r>
          </w:p>
        </w:tc>
      </w:tr>
      <w:tr w14:paraId="78C7BE29">
        <w:tblPrEx>
          <w:tblCellMar>
            <w:top w:w="0" w:type="dxa"/>
            <w:left w:w="108" w:type="dxa"/>
            <w:bottom w:w="0" w:type="dxa"/>
            <w:right w:w="108" w:type="dxa"/>
          </w:tblCellMar>
        </w:tblPrEx>
        <w:trPr>
          <w:trHeight w:val="0" w:hRule="atLeast"/>
          <w:jc w:val="center"/>
        </w:trPr>
        <w:tc>
          <w:tcPr>
            <w:tcW w:w="0" w:type="auto"/>
            <w:vAlign w:val="center"/>
          </w:tcPr>
          <w:p w14:paraId="5ECE2D77">
            <w:pPr>
              <w:pStyle w:val="24"/>
              <w:snapToGrid w:val="0"/>
              <w:ind w:left="0" w:leftChars="0" w:right="0" w:rightChars="0" w:firstLine="0" w:firstLineChars="0"/>
              <w:jc w:val="center"/>
              <w:rPr>
                <w:color w:val="auto"/>
              </w:rPr>
            </w:pPr>
            <w:r>
              <w:rPr>
                <w:color w:val="auto"/>
              </w:rPr>
              <w:t>0.50</w:t>
            </w:r>
          </w:p>
        </w:tc>
        <w:tc>
          <w:tcPr>
            <w:tcW w:w="0" w:type="auto"/>
            <w:vAlign w:val="center"/>
          </w:tcPr>
          <w:p w14:paraId="1D45F043">
            <w:pPr>
              <w:pStyle w:val="24"/>
              <w:snapToGrid w:val="0"/>
              <w:ind w:left="0" w:leftChars="0" w:right="0" w:rightChars="0" w:firstLine="0" w:firstLineChars="0"/>
              <w:jc w:val="center"/>
              <w:rPr>
                <w:color w:val="auto"/>
              </w:rPr>
            </w:pPr>
            <w:r>
              <w:rPr>
                <w:color w:val="auto"/>
              </w:rPr>
              <w:t>0.5</w:t>
            </w:r>
          </w:p>
        </w:tc>
        <w:tc>
          <w:tcPr>
            <w:tcW w:w="0" w:type="auto"/>
            <w:vAlign w:val="center"/>
          </w:tcPr>
          <w:p w14:paraId="6AD4E22C">
            <w:pPr>
              <w:pStyle w:val="24"/>
              <w:snapToGrid w:val="0"/>
              <w:ind w:left="0" w:leftChars="0" w:right="0" w:rightChars="0" w:firstLine="0" w:firstLineChars="0"/>
              <w:jc w:val="center"/>
              <w:rPr>
                <w:color w:val="auto"/>
              </w:rPr>
            </w:pPr>
            <w:r>
              <w:rPr>
                <w:color w:val="auto"/>
              </w:rPr>
              <w:t>50.0</w:t>
            </w:r>
          </w:p>
        </w:tc>
        <w:tc>
          <w:tcPr>
            <w:tcW w:w="0" w:type="auto"/>
            <w:vAlign w:val="center"/>
          </w:tcPr>
          <w:p w14:paraId="7BF20523">
            <w:pPr>
              <w:pStyle w:val="24"/>
              <w:snapToGrid w:val="0"/>
              <w:ind w:left="0" w:leftChars="0" w:right="0" w:rightChars="0" w:firstLine="0" w:firstLineChars="0"/>
              <w:jc w:val="center"/>
              <w:rPr>
                <w:color w:val="auto"/>
              </w:rPr>
            </w:pPr>
            <w:r>
              <w:rPr>
                <w:color w:val="auto"/>
              </w:rPr>
              <w:t>97.8%</w:t>
            </w:r>
          </w:p>
        </w:tc>
        <w:tc>
          <w:tcPr>
            <w:tcW w:w="0" w:type="auto"/>
            <w:vAlign w:val="center"/>
          </w:tcPr>
          <w:p w14:paraId="5A7894DC">
            <w:pPr>
              <w:pStyle w:val="24"/>
              <w:snapToGrid w:val="0"/>
              <w:ind w:left="0" w:leftChars="0" w:right="0" w:rightChars="0" w:firstLine="0" w:firstLineChars="0"/>
              <w:jc w:val="center"/>
              <w:rPr>
                <w:color w:val="auto"/>
              </w:rPr>
            </w:pPr>
            <w:r>
              <w:rPr>
                <w:color w:val="auto"/>
              </w:rPr>
              <w:t>4.1</w:t>
            </w:r>
          </w:p>
        </w:tc>
        <w:tc>
          <w:tcPr>
            <w:tcW w:w="1442" w:type="dxa"/>
            <w:vAlign w:val="center"/>
          </w:tcPr>
          <w:p w14:paraId="722D3305">
            <w:pPr>
              <w:pStyle w:val="24"/>
              <w:snapToGrid w:val="0"/>
              <w:ind w:left="0" w:leftChars="0" w:right="0" w:rightChars="0" w:firstLine="0" w:firstLineChars="0"/>
              <w:jc w:val="center"/>
              <w:rPr>
                <w:color w:val="auto"/>
              </w:rPr>
            </w:pPr>
            <w:r>
              <w:rPr>
                <w:color w:val="auto"/>
              </w:rPr>
              <w:t>1 412 K</w:t>
            </w:r>
          </w:p>
        </w:tc>
      </w:tr>
      <w:tr w14:paraId="45F3455E">
        <w:tblPrEx>
          <w:tblCellMar>
            <w:top w:w="0" w:type="dxa"/>
            <w:left w:w="108" w:type="dxa"/>
            <w:bottom w:w="0" w:type="dxa"/>
            <w:right w:w="108" w:type="dxa"/>
          </w:tblCellMar>
        </w:tblPrEx>
        <w:trPr>
          <w:trHeight w:val="0" w:hRule="atLeast"/>
          <w:jc w:val="center"/>
        </w:trPr>
        <w:tc>
          <w:tcPr>
            <w:tcW w:w="0" w:type="auto"/>
            <w:vAlign w:val="center"/>
          </w:tcPr>
          <w:p w14:paraId="7B06AC2A">
            <w:pPr>
              <w:pStyle w:val="24"/>
              <w:snapToGrid w:val="0"/>
              <w:ind w:left="0" w:leftChars="0" w:right="0" w:rightChars="0" w:firstLine="0" w:firstLineChars="0"/>
              <w:jc w:val="center"/>
              <w:rPr>
                <w:color w:val="auto"/>
              </w:rPr>
            </w:pPr>
            <w:r>
              <w:rPr>
                <w:color w:val="auto"/>
              </w:rPr>
              <w:t>0.50</w:t>
            </w:r>
          </w:p>
        </w:tc>
        <w:tc>
          <w:tcPr>
            <w:tcW w:w="0" w:type="auto"/>
            <w:vAlign w:val="center"/>
          </w:tcPr>
          <w:p w14:paraId="25C16740">
            <w:pPr>
              <w:pStyle w:val="24"/>
              <w:snapToGrid w:val="0"/>
              <w:ind w:left="0" w:leftChars="0" w:right="0" w:rightChars="0" w:firstLine="0" w:firstLineChars="0"/>
              <w:jc w:val="center"/>
              <w:rPr>
                <w:color w:val="auto"/>
              </w:rPr>
            </w:pPr>
            <w:r>
              <w:rPr>
                <w:color w:val="auto"/>
              </w:rPr>
              <w:t>2.0</w:t>
            </w:r>
          </w:p>
        </w:tc>
        <w:tc>
          <w:tcPr>
            <w:tcW w:w="0" w:type="auto"/>
            <w:vAlign w:val="center"/>
          </w:tcPr>
          <w:p w14:paraId="67E3E1E9">
            <w:pPr>
              <w:pStyle w:val="24"/>
              <w:snapToGrid w:val="0"/>
              <w:ind w:left="0" w:leftChars="0" w:right="0" w:rightChars="0" w:firstLine="0" w:firstLineChars="0"/>
              <w:jc w:val="center"/>
              <w:rPr>
                <w:color w:val="auto"/>
              </w:rPr>
            </w:pPr>
            <w:r>
              <w:rPr>
                <w:color w:val="auto"/>
              </w:rPr>
              <w:t>50.0</w:t>
            </w:r>
          </w:p>
        </w:tc>
        <w:tc>
          <w:tcPr>
            <w:tcW w:w="0" w:type="auto"/>
            <w:vAlign w:val="center"/>
          </w:tcPr>
          <w:p w14:paraId="438511C4">
            <w:pPr>
              <w:pStyle w:val="24"/>
              <w:snapToGrid w:val="0"/>
              <w:ind w:left="0" w:leftChars="0" w:right="0" w:rightChars="0" w:firstLine="0" w:firstLineChars="0"/>
              <w:jc w:val="center"/>
              <w:rPr>
                <w:color w:val="auto"/>
              </w:rPr>
            </w:pPr>
            <w:r>
              <w:rPr>
                <w:color w:val="auto"/>
              </w:rPr>
              <w:t>95.1%</w:t>
            </w:r>
          </w:p>
        </w:tc>
        <w:tc>
          <w:tcPr>
            <w:tcW w:w="0" w:type="auto"/>
            <w:vAlign w:val="center"/>
          </w:tcPr>
          <w:p w14:paraId="1B9D1E40">
            <w:pPr>
              <w:pStyle w:val="24"/>
              <w:snapToGrid w:val="0"/>
              <w:ind w:left="0" w:leftChars="0" w:right="0" w:rightChars="0" w:firstLine="0" w:firstLineChars="0"/>
              <w:jc w:val="center"/>
              <w:rPr>
                <w:color w:val="auto"/>
              </w:rPr>
            </w:pPr>
            <w:r>
              <w:rPr>
                <w:color w:val="auto"/>
              </w:rPr>
              <w:t>3.5</w:t>
            </w:r>
          </w:p>
        </w:tc>
        <w:tc>
          <w:tcPr>
            <w:tcW w:w="1442" w:type="dxa"/>
            <w:vAlign w:val="center"/>
          </w:tcPr>
          <w:p w14:paraId="6346533D">
            <w:pPr>
              <w:pStyle w:val="24"/>
              <w:snapToGrid w:val="0"/>
              <w:ind w:left="0" w:leftChars="0" w:right="0" w:rightChars="0" w:firstLine="0" w:firstLineChars="0"/>
              <w:jc w:val="center"/>
              <w:rPr>
                <w:color w:val="auto"/>
              </w:rPr>
            </w:pPr>
            <w:r>
              <w:rPr>
                <w:color w:val="auto"/>
              </w:rPr>
              <w:t>783 K</w:t>
            </w:r>
          </w:p>
        </w:tc>
      </w:tr>
      <w:tr w14:paraId="0EF7C074">
        <w:tblPrEx>
          <w:tblCellMar>
            <w:top w:w="0" w:type="dxa"/>
            <w:left w:w="108" w:type="dxa"/>
            <w:bottom w:w="0" w:type="dxa"/>
            <w:right w:w="108" w:type="dxa"/>
          </w:tblCellMar>
        </w:tblPrEx>
        <w:trPr>
          <w:trHeight w:val="0" w:hRule="atLeast"/>
          <w:jc w:val="center"/>
        </w:trPr>
        <w:tc>
          <w:tcPr>
            <w:tcW w:w="1111" w:type="dxa"/>
            <w:vAlign w:val="center"/>
          </w:tcPr>
          <w:p w14:paraId="6C741DF0">
            <w:pPr>
              <w:pStyle w:val="24"/>
              <w:snapToGrid w:val="0"/>
              <w:ind w:left="0" w:leftChars="0" w:right="0" w:rightChars="0" w:firstLine="0" w:firstLineChars="0"/>
              <w:jc w:val="center"/>
              <w:rPr>
                <w:color w:val="auto"/>
              </w:rPr>
            </w:pPr>
            <w:r>
              <w:rPr>
                <w:color w:val="auto"/>
              </w:rPr>
              <w:t>0.50</w:t>
            </w:r>
          </w:p>
        </w:tc>
        <w:tc>
          <w:tcPr>
            <w:tcW w:w="988" w:type="dxa"/>
            <w:vAlign w:val="center"/>
          </w:tcPr>
          <w:p w14:paraId="37CE322E">
            <w:pPr>
              <w:pStyle w:val="24"/>
              <w:snapToGrid w:val="0"/>
              <w:ind w:left="0" w:leftChars="0" w:right="0" w:rightChars="0" w:firstLine="0" w:firstLineChars="0"/>
              <w:jc w:val="center"/>
              <w:rPr>
                <w:color w:val="auto"/>
              </w:rPr>
            </w:pPr>
            <w:r>
              <w:rPr>
                <w:color w:val="auto"/>
              </w:rPr>
              <w:t>1.0</w:t>
            </w:r>
          </w:p>
        </w:tc>
        <w:tc>
          <w:tcPr>
            <w:tcW w:w="985" w:type="dxa"/>
            <w:vAlign w:val="center"/>
          </w:tcPr>
          <w:p w14:paraId="7949E7C4">
            <w:pPr>
              <w:pStyle w:val="24"/>
              <w:snapToGrid w:val="0"/>
              <w:ind w:left="0" w:leftChars="0" w:right="0" w:rightChars="0" w:firstLine="0" w:firstLineChars="0"/>
              <w:jc w:val="center"/>
              <w:rPr>
                <w:color w:val="auto"/>
              </w:rPr>
            </w:pPr>
            <w:r>
              <w:rPr>
                <w:color w:val="auto"/>
              </w:rPr>
              <w:t>25.0</w:t>
            </w:r>
          </w:p>
        </w:tc>
        <w:tc>
          <w:tcPr>
            <w:tcW w:w="2102" w:type="dxa"/>
            <w:vAlign w:val="center"/>
          </w:tcPr>
          <w:p w14:paraId="57D60350">
            <w:pPr>
              <w:pStyle w:val="24"/>
              <w:snapToGrid w:val="0"/>
              <w:ind w:left="0" w:leftChars="0" w:right="0" w:rightChars="0" w:firstLine="0" w:firstLineChars="0"/>
              <w:jc w:val="center"/>
              <w:rPr>
                <w:color w:val="auto"/>
              </w:rPr>
            </w:pPr>
            <w:r>
              <w:rPr>
                <w:color w:val="auto"/>
              </w:rPr>
              <w:t>96.3%</w:t>
            </w:r>
          </w:p>
        </w:tc>
        <w:tc>
          <w:tcPr>
            <w:tcW w:w="2223" w:type="dxa"/>
            <w:vAlign w:val="center"/>
          </w:tcPr>
          <w:p w14:paraId="015CDD76">
            <w:pPr>
              <w:pStyle w:val="24"/>
              <w:snapToGrid w:val="0"/>
              <w:ind w:left="0" w:leftChars="0" w:right="0" w:rightChars="0" w:firstLine="0" w:firstLineChars="0"/>
              <w:jc w:val="center"/>
              <w:rPr>
                <w:color w:val="auto"/>
              </w:rPr>
            </w:pPr>
            <w:r>
              <w:rPr>
                <w:color w:val="auto"/>
              </w:rPr>
              <w:t>3.9</w:t>
            </w:r>
          </w:p>
        </w:tc>
        <w:tc>
          <w:tcPr>
            <w:tcW w:w="1442" w:type="dxa"/>
            <w:vAlign w:val="center"/>
          </w:tcPr>
          <w:p w14:paraId="118877F0">
            <w:pPr>
              <w:pStyle w:val="24"/>
              <w:snapToGrid w:val="0"/>
              <w:ind w:left="0" w:leftChars="0" w:right="0" w:rightChars="0" w:firstLine="0" w:firstLineChars="0"/>
              <w:jc w:val="center"/>
              <w:rPr>
                <w:color w:val="auto"/>
              </w:rPr>
            </w:pPr>
            <w:r>
              <w:rPr>
                <w:color w:val="auto"/>
              </w:rPr>
              <w:t>1 856 K</w:t>
            </w:r>
          </w:p>
        </w:tc>
      </w:tr>
    </w:tbl>
    <w:p w14:paraId="70481C80">
      <w:pPr>
        <w:pStyle w:val="3"/>
        <w:spacing w:before="0" w:after="120"/>
        <w:ind w:firstLine="480" w:firstLineChars="200"/>
        <w:jc w:val="both"/>
        <w:rPr>
          <w:color w:val="auto"/>
        </w:rPr>
      </w:pPr>
      <w:r>
        <w:rPr>
          <w:color w:val="auto"/>
        </w:rPr>
        <w:t xml:space="preserve">Table 14 reports mesh quality sensitivity to the  density function parameters. The K-orthogonality fraction (97.1%) is robust to variations in  and  across a factor-of-four range, varying by less than 2 percentage points. The near-fracture spacing  has the strongest influence: reducing  from 1.0 m to 0.5 m improves K-orthogonality marginally (97.1% → 97.8%) but increases the total cell count by 38%. The base parameter set ( </w:t>
      </w:r>
      <m:oMath>
        <m:sSup>
          <m:sSupPr/>
          <m:e>
            <m:r>
              <w:rPr>
                <w:rFonts w:ascii="Cambria Math" w:hAnsi="Cambria Math"/>
                <w:i/>
              </w:rPr>
              <m:t xml:space="preserve">m</m:t>
            </m:r>
          </m:e>
          <m:sup>
            <m:r>
              <w:rPr>
                <w:rFonts w:ascii="Cambria Math" w:hAnsi="Cambria Math"/>
              </w:rPr>
              <m:t xml:space="preserve">-1</m:t>
            </m:r>
          </m:sup>
        </m:sSup>
      </m:oMath>
      <w:r>
        <w:rPr>
          <w:color w:val="auto"/>
        </w:rPr>
        <w:t xml:space="preserve">,  m,  m) represents a Pareto-optimal trade-off between mesh quality and cell count.</w:t>
      </w:r>
      <m:oMath>
        <m:r>
          <m:rPr>
            <m:nor/>
            <m:sty m:val="p"/>
          </m:rPr>
          <w:rPr>
            <w:b w:val="0"/>
            <w:i w:val="0"/>
            <w:color w:val="auto"/>
          </w:rPr>
          <m:t>tanh</m:t>
        </m:r>
        <m:r>
          <m:rPr/>
          <w:rPr>
            <w:color w:val="auto"/>
          </w:rPr>
          <m:t>α</m:t>
        </m:r>
        <m:sSub>
          <m:sSubPr>
            <m:ctrlPr>
              <w:rPr>
                <w:color w:val="auto"/>
              </w:rPr>
            </m:ctrlPr>
          </m:sSubPr>
          <m:e>
            <m:r>
              <m:rPr/>
              <w:rPr>
                <w:color w:val="auto"/>
              </w:rPr>
              <m:t>h</m:t>
            </m:r>
            <m:ctrlPr>
              <w:rPr>
                <w:color w:val="auto"/>
              </w:rPr>
            </m:ctrlPr>
          </m:e>
          <m:sub>
            <m:r>
              <m:rPr/>
              <w:rPr>
                <w:color w:val="auto"/>
              </w:rPr>
              <m:t>f</m:t>
            </m:r>
            <m:ctrlPr>
              <w:rPr>
                <w:color w:val="auto"/>
              </w:rPr>
            </m:ctrlPr>
          </m:sub>
        </m:sSub>
        <m:sSub>
          <m:sSubPr>
            <m:ctrlPr>
              <w:rPr>
                <w:color w:val="auto"/>
              </w:rPr>
            </m:ctrlPr>
          </m:sSubPr>
          <m:e>
            <m:r>
              <m:rPr/>
              <w:rPr>
                <w:color w:val="auto"/>
              </w:rPr>
              <m:t>h</m:t>
            </m:r>
            <m:ctrlPr>
              <w:rPr>
                <w:color w:val="auto"/>
              </w:rPr>
            </m:ctrlPr>
          </m:e>
          <m:sub>
            <m:r>
              <m:rPr/>
              <w:rPr>
                <w:color w:val="auto"/>
              </w:rPr>
              <m:t>n</m:t>
            </m:r>
            <m:ctrlPr>
              <w:rPr>
                <w:color w:val="auto"/>
              </w:rPr>
            </m:ctrlPr>
          </m:sub>
        </m:sSub>
        <m:sSub>
          <m:sSubPr>
            <m:ctrlPr>
              <w:rPr>
                <w:color w:val="auto"/>
              </w:rPr>
            </m:ctrlPr>
          </m:sSubPr>
          <m:e>
            <m:r>
              <m:rPr/>
              <w:rPr>
                <w:color w:val="auto"/>
              </w:rPr>
              <m:t>h</m:t>
            </m:r>
            <m:ctrlPr>
              <w:rPr>
                <w:color w:val="auto"/>
              </w:rPr>
            </m:ctrlPr>
          </m:e>
          <m:sub>
            <m:r>
              <m:rPr/>
              <w:rPr>
                <w:color w:val="auto"/>
              </w:rPr>
              <m:t>n</m:t>
            </m:r>
            <m:ctrlPr>
              <w:rPr>
                <w:color w:val="auto"/>
              </w:rPr>
            </m:ctrlPr>
          </m:sub>
        </m:sSub>
        <m:r>
          <m:rPr/>
          <w:rPr>
            <w:color w:val="auto"/>
          </w:rPr>
          <m:t>α=0.5</m:t>
        </m:r>
        <m:sSub>
          <m:sSubPr>
            <m:ctrlPr>
              <w:rPr>
                <w:color w:val="auto"/>
              </w:rPr>
            </m:ctrlPr>
          </m:sSubPr>
          <m:e>
            <m:r>
              <m:rPr/>
              <w:rPr>
                <w:color w:val="auto"/>
              </w:rPr>
              <m:t>h</m:t>
            </m:r>
            <m:ctrlPr>
              <w:rPr>
                <w:color w:val="auto"/>
              </w:rPr>
            </m:ctrlPr>
          </m:e>
          <m:sub>
            <m:r>
              <m:rPr/>
              <w:rPr>
                <w:color w:val="auto"/>
              </w:rPr>
              <m:t>n</m:t>
            </m:r>
            <m:ctrlPr>
              <w:rPr>
                <w:color w:val="auto"/>
              </w:rPr>
            </m:ctrlPr>
          </m:sub>
        </m:sSub>
        <m:r>
          <m:rPr/>
          <w:rPr>
            <w:color w:val="auto"/>
          </w:rPr>
          <m:t>=1.0</m:t>
        </m:r>
        <m:sSub>
          <m:sSubPr>
            <m:ctrlPr>
              <w:rPr>
                <w:color w:val="auto"/>
              </w:rPr>
            </m:ctrlPr>
          </m:sSubPr>
          <m:e>
            <m:r>
              <m:rPr/>
              <w:rPr>
                <w:color w:val="auto"/>
              </w:rPr>
              <m:t>h</m:t>
            </m:r>
            <m:ctrlPr>
              <w:rPr>
                <w:color w:val="auto"/>
              </w:rPr>
            </m:ctrlPr>
          </m:e>
          <m:sub>
            <m:r>
              <m:rPr/>
              <w:rPr>
                <w:color w:val="auto"/>
              </w:rPr>
              <m:t>f</m:t>
            </m:r>
            <m:ctrlPr>
              <w:rPr>
                <w:color w:val="auto"/>
              </w:rPr>
            </m:ctrlPr>
          </m:sub>
        </m:sSub>
        <m:r>
          <m:rPr/>
          <w:rPr>
            <w:color w:val="auto"/>
          </w:rPr>
          <m:t>=50.0</m:t>
        </m:r>
      </m:oMath>
    </w:p>
    <w:p>
      <w:pPr>
        <w:pStyle w:val="5"/>
        <w:spacing w:before="360" w:after="120"/>
        <w:ind w:firstLine="0"/>
        <w:rPr>
          <w:color w:val="auto"/>
        </w:rPr>
      </w:pPr>
      <w:r>
        <w:rPr>
          <w:rFonts w:ascii="Times New Roman" w:hAnsi="Times New Roman"/>
          <w:sz w:val="22"/>
        </w:rPr>
        <w:t>Mesh parameter sensitivity data (Table 14) enable bounding estimates of the parameter space over which the framework K-orthogonality guarantees remain valid. Extrapolating the near-fracture spacing trend (h_n = 0.5 m yields 97.8% K-orthogonality; h_n = 1.0 m yields 97.1%; h_n = 2.0 m yields 95.1%) gives a linear sensitivity of approximately 1.4 percentage points of K-orthogonality per meter of h_n. Projecting this trend to the 90% threshold (below which TPFA consistency degrades markedly) yields h_n = 4 m, indicating that the method retains adequate K-orthogonality for near-fracture cell sizes up to approximately 4 m. Conversely, reducing h_n below 0.3 m drives the cell count above approximately 2.5 M per well, approaching the memory-capacity limit of a single compute node. For the dimensionless transition parameter (Section 2.3), the K-orthogonality fraction decays by less than 1 percentage point between 20 and 150, indicating that the recommended range is conservative. Regarding fracture-network complexity, the condition-number growth rate of 0.0018 per fracture (Fig. 11) implies that the linear solver would remain within a factor of 3x of its base iteration count (GMRES iterations less than 60) for fracture populations up to approximately 5,000 discrete features, beyond which a switch to a multi-stage or multiscale preconditioning strategy would be warranted.</w:t>
      </w:r>
    </w:p>
    <w:p w14:paraId="188F65B8">
      <w:pPr>
        <w:pStyle w:val="5"/>
        <w:spacing w:before="360" w:after="120"/>
        <w:ind w:firstLine="0"/>
        <w:rPr>
          <w:color w:val="auto"/>
        </w:rPr>
      </w:pPr>
      <w:bookmarkStart w:id="21" w:name="Xdb6de9254f3c379a3452f8c426d28cc97ce00ac"/>
      <w:r>
        <w:rPr>
          <w:color w:val="auto"/>
        </w:rPr>
        <w:t>3.8 Alternative Reservoir Configuration: Single-Well Depletion Case</w:t>
      </w:r>
      <w:bookmarkEnd w:id="21"/>
    </w:p>
    <w:p w14:paraId="02435C76">
      <w:pPr>
        <w:pStyle w:val="23"/>
        <w:spacing w:before="0" w:after="120"/>
        <w:ind w:firstLine="480" w:firstLineChars="200"/>
        <w:jc w:val="both"/>
        <w:rPr>
          <w:color w:val="auto"/>
        </w:rPr>
      </w:pPr>
      <w:r>
        <w:rPr>
          <w:color w:val="auto"/>
        </w:rPr>
        <w:t>To assess the generality of the findings beyond the base five-well pad configuration, we consider a second case with a different well geometry: a single horizontal well with 12 hydraulic-fracture stages, keeping the matrix permeability (</w:t>
      </w:r>
      <m:oMath>
        <m:sSub>
          <m:sSubPr>
            <m:ctrlPr>
              <w:rPr>
                <w:color w:val="auto"/>
              </w:rPr>
            </m:ctrlPr>
          </m:sSubPr>
          <m:e>
            <m:r>
              <m:rPr/>
              <w:rPr>
                <w:color w:val="auto"/>
              </w:rPr>
              <m:t>K</m:t>
            </m:r>
            <m:ctrlPr>
              <w:rPr>
                <w:color w:val="auto"/>
              </w:rPr>
            </m:ctrlPr>
          </m:e>
          <m:sub>
            <m:r>
              <m:rPr/>
              <w:rPr>
                <w:color w:val="auto"/>
              </w:rPr>
              <m:t>m</m:t>
            </m:r>
            <m:ctrlPr>
              <w:rPr>
                <w:color w:val="auto"/>
              </w:rPr>
            </m:ctrlPr>
          </m:sub>
        </m:sSub>
        <m:r>
          <m:rPr/>
          <w:rPr>
            <w:color w:val="auto"/>
          </w:rPr>
          <m:t>=0.008</m:t>
        </m:r>
      </m:oMath>
      <w:r>
        <w:rPr>
          <w:color w:val="auto"/>
        </w:rPr>
        <w:t xml:space="preserve"> mD), porosity, fluid properties, fracture properties, and all other reservoir parameters identical to the base case (Table 5). We emphasize that the reduction in fracture count (12 vs. 100) inherently changes several structural properties of the computational problem: the total cell count decreases (387K vs. 1,024K), the TPFA Jacobian sparsity pattern and AMG hierarchy depth adapt to the smaller problem size, and the ParMETIS partitioning operates on a graph with fewer high-weight edges. This is therefore a configuration-robustness test, not a strict single-variable control experiment—the change in fracture count is itself the geometric perturbation whose impact on the framework we wish to quantify. The well is operated under primary depletion (no water injection). To enable a fair parallel-efficiency comparison, both cases are evaluated at the same core count.</w:t>
      </w:r>
    </w:p>
    <w:p w14:paraId="07EA0C3F">
      <w:pPr>
        <w:pStyle w:val="3"/>
        <w:keepNext/>
        <w:spacing w:before="0" w:after="120"/>
        <w:ind w:firstLine="480" w:firstLineChars="200"/>
        <w:jc w:val="center"/>
        <w:rPr>
          <w:color w:val="auto"/>
        </w:rPr>
      </w:pPr>
      <w:r>
        <w:rPr>
          <w:b/>
          <w:color w:val="auto"/>
        </w:rPr>
        <w:t>Table 15: Comparison of key metrics across the base (five-well) and alternative (single-well) configurations. Both cases share identical matrix permeability (0.008 mD), porosity (0.07), fluid properties, and per-fracture properties (Table 5). Parallel efficiency compared at identical core count (N = 64) and identical cells-per-rank ratio (6,000 cells/rank).</w:t>
      </w:r>
    </w:p>
    <w:tbl>
      <w:tblPr>
        <w:tblStyle w:val="28"/>
        <w:tblW w:w="9078" w:type="dxa"/>
        <w:jc w:val="center"/>
        <w:tblLayout w:type="autofit"/>
        <w:tblCellMar>
          <w:top w:w="0" w:type="dxa"/>
          <w:left w:w="108" w:type="dxa"/>
          <w:bottom w:w="0" w:type="dxa"/>
          <w:right w:w="108" w:type="dxa"/>
        </w:tblCellMar>
      </w:tblPr>
      <w:tblGrid>
        <w:gridCol w:w="2743"/>
        <w:gridCol w:w="1689"/>
        <w:gridCol w:w="2148"/>
        <w:gridCol w:w="2498"/>
      </w:tblGrid>
      <w:tr w14:paraId="5AE1F515">
        <w:trPr>
          <w:trHeight w:val="0" w:hRule="atLeast"/>
          <w:tblHeader/>
          <w:jc w:val="center"/>
        </w:trPr>
        <w:tc>
          <w:tcPr>
            <w:tcW w:w="2743" w:type="dxa"/>
            <w:tcBorders>
              <w:bottom w:val="single" w:color="auto" w:sz="0" w:space="0"/>
            </w:tcBorders>
            <w:vAlign w:val="center"/>
          </w:tcPr>
          <w:p w14:paraId="344F1512">
            <w:pPr>
              <w:pStyle w:val="24"/>
              <w:keepNext/>
              <w:snapToGrid w:val="0"/>
              <w:ind w:left="0" w:leftChars="0" w:right="0" w:rightChars="0" w:firstLine="0" w:firstLineChars="0"/>
              <w:jc w:val="center"/>
              <w:rPr>
                <w:b/>
                <w:color w:val="auto"/>
              </w:rPr>
            </w:pPr>
            <w:r>
              <w:rPr>
                <w:b/>
                <w:color w:val="auto"/>
              </w:rPr>
              <w:t>Metric</w:t>
            </w:r>
          </w:p>
        </w:tc>
        <w:tc>
          <w:tcPr>
            <w:tcW w:w="1689" w:type="dxa"/>
            <w:tcBorders>
              <w:bottom w:val="single" w:color="auto" w:sz="0" w:space="0"/>
            </w:tcBorders>
            <w:vAlign w:val="center"/>
          </w:tcPr>
          <w:p w14:paraId="05D1DCC4">
            <w:pPr>
              <w:pStyle w:val="24"/>
              <w:keepNext/>
              <w:snapToGrid w:val="0"/>
              <w:ind w:left="0" w:leftChars="0" w:right="0" w:rightChars="0" w:firstLine="0" w:firstLineChars="0"/>
              <w:jc w:val="center"/>
              <w:rPr>
                <w:b/>
                <w:color w:val="auto"/>
              </w:rPr>
            </w:pPr>
            <w:r>
              <w:rPr>
                <w:b/>
                <w:color w:val="auto"/>
              </w:rPr>
              <w:t xml:space="preserve">Base Case </w:t>
            </w:r>
          </w:p>
          <w:p w14:paraId="2FCE19CA">
            <w:pPr>
              <w:pStyle w:val="24"/>
              <w:keepNext/>
              <w:snapToGrid w:val="0"/>
              <w:ind w:left="0" w:leftChars="0" w:right="0" w:rightChars="0" w:firstLine="0" w:firstLineChars="0"/>
              <w:jc w:val="center"/>
              <w:rPr>
                <w:b/>
                <w:color w:val="auto"/>
              </w:rPr>
            </w:pPr>
            <w:r>
              <w:rPr>
                <w:b/>
                <w:color w:val="auto"/>
              </w:rPr>
              <w:t>(5-well pad)</w:t>
            </w:r>
          </w:p>
        </w:tc>
        <w:tc>
          <w:tcPr>
            <w:tcW w:w="2148" w:type="dxa"/>
            <w:tcBorders>
              <w:bottom w:val="single" w:color="auto" w:sz="0" w:space="0"/>
            </w:tcBorders>
            <w:vAlign w:val="center"/>
          </w:tcPr>
          <w:p w14:paraId="6505351E">
            <w:pPr>
              <w:pStyle w:val="24"/>
              <w:keepNext/>
              <w:snapToGrid w:val="0"/>
              <w:ind w:left="0" w:leftChars="0" w:right="0" w:rightChars="0" w:firstLine="0" w:firstLineChars="0"/>
              <w:jc w:val="center"/>
              <w:rPr>
                <w:b/>
                <w:color w:val="auto"/>
              </w:rPr>
            </w:pPr>
            <w:r>
              <w:rPr>
                <w:b/>
                <w:color w:val="auto"/>
              </w:rPr>
              <w:t>Single-Well Case</w:t>
            </w:r>
          </w:p>
        </w:tc>
        <w:tc>
          <w:tcPr>
            <w:tcW w:w="2498" w:type="dxa"/>
            <w:tcBorders>
              <w:bottom w:val="single" w:color="auto" w:sz="0" w:space="0"/>
            </w:tcBorders>
            <w:vAlign w:val="center"/>
          </w:tcPr>
          <w:p w14:paraId="3882C512">
            <w:pPr>
              <w:pStyle w:val="24"/>
              <w:keepNext/>
              <w:snapToGrid w:val="0"/>
              <w:ind w:left="0" w:leftChars="0" w:right="0" w:rightChars="0" w:firstLine="0" w:firstLineChars="0"/>
              <w:jc w:val="center"/>
              <w:rPr>
                <w:b/>
                <w:color w:val="auto"/>
              </w:rPr>
            </w:pPr>
            <w:r>
              <w:rPr>
                <w:b/>
                <w:color w:val="auto"/>
              </w:rPr>
              <w:t>Notes</w:t>
            </w:r>
          </w:p>
        </w:tc>
      </w:tr>
      <w:tr w14:paraId="574C2896">
        <w:tblPrEx>
          <w:tblCellMar>
            <w:top w:w="0" w:type="dxa"/>
            <w:left w:w="108" w:type="dxa"/>
            <w:bottom w:w="0" w:type="dxa"/>
            <w:right w:w="108" w:type="dxa"/>
          </w:tblCellMar>
        </w:tblPrEx>
        <w:trPr>
          <w:trHeight w:val="0" w:hRule="atLeast"/>
          <w:jc w:val="center"/>
        </w:trPr>
        <w:tc>
          <w:tcPr>
            <w:tcW w:w="2743" w:type="dxa"/>
            <w:vAlign w:val="center"/>
          </w:tcPr>
          <w:p w14:paraId="4FEBAF17">
            <w:pPr>
              <w:pStyle w:val="24"/>
              <w:keepNext/>
              <w:snapToGrid w:val="0"/>
              <w:ind w:left="0" w:leftChars="0" w:right="0" w:rightChars="0" w:firstLine="0" w:firstLineChars="0"/>
              <w:jc w:val="center"/>
              <w:rPr>
                <w:color w:val="auto"/>
              </w:rPr>
            </w:pPr>
            <w:r>
              <w:rPr>
                <w:color w:val="auto"/>
              </w:rPr>
              <w:t>Matrix permeability</w:t>
            </w:r>
          </w:p>
        </w:tc>
        <w:tc>
          <w:tcPr>
            <w:tcW w:w="1689" w:type="dxa"/>
            <w:vAlign w:val="center"/>
          </w:tcPr>
          <w:p w14:paraId="4A7A3185">
            <w:pPr>
              <w:pStyle w:val="24"/>
              <w:keepNext/>
              <w:snapToGrid w:val="0"/>
              <w:ind w:left="0" w:leftChars="0" w:right="0" w:rightChars="0" w:firstLine="0" w:firstLineChars="0"/>
              <w:jc w:val="left"/>
              <w:rPr>
                <w:color w:val="auto"/>
              </w:rPr>
            </w:pPr>
            <w:r>
              <w:rPr>
                <w:color w:val="auto"/>
              </w:rPr>
              <w:t>0.008 mD</w:t>
            </w:r>
          </w:p>
        </w:tc>
        <w:tc>
          <w:tcPr>
            <w:tcW w:w="2148" w:type="dxa"/>
            <w:vAlign w:val="center"/>
          </w:tcPr>
          <w:p w14:paraId="269B90DE">
            <w:pPr>
              <w:pStyle w:val="24"/>
              <w:keepNext/>
              <w:snapToGrid w:val="0"/>
              <w:ind w:left="0" w:leftChars="0" w:right="0" w:rightChars="0" w:firstLine="0" w:firstLineChars="0"/>
              <w:jc w:val="center"/>
              <w:rPr>
                <w:color w:val="auto"/>
              </w:rPr>
            </w:pPr>
            <w:r>
              <w:rPr>
                <w:color w:val="auto"/>
              </w:rPr>
              <w:t>0.008 mD</w:t>
            </w:r>
          </w:p>
        </w:tc>
        <w:tc>
          <w:tcPr>
            <w:tcW w:w="2498" w:type="dxa"/>
            <w:vAlign w:val="center"/>
          </w:tcPr>
          <w:p w14:paraId="25A0BCFC">
            <w:pPr>
              <w:pStyle w:val="24"/>
              <w:keepNext/>
              <w:snapToGrid w:val="0"/>
              <w:ind w:left="0" w:leftChars="0" w:right="0" w:rightChars="0" w:firstLine="0" w:firstLineChars="0"/>
              <w:jc w:val="center"/>
              <w:rPr>
                <w:color w:val="auto"/>
              </w:rPr>
            </w:pPr>
            <w:r>
              <w:rPr>
                <w:color w:val="auto"/>
              </w:rPr>
              <w:t>Identical</w:t>
            </w:r>
          </w:p>
        </w:tc>
      </w:tr>
      <w:tr w14:paraId="0ADE2FBB">
        <w:tblPrEx>
          <w:tblCellMar>
            <w:top w:w="0" w:type="dxa"/>
            <w:left w:w="108" w:type="dxa"/>
            <w:bottom w:w="0" w:type="dxa"/>
            <w:right w:w="108" w:type="dxa"/>
          </w:tblCellMar>
        </w:tblPrEx>
        <w:trPr>
          <w:trHeight w:val="0" w:hRule="atLeast"/>
          <w:jc w:val="center"/>
        </w:trPr>
        <w:tc>
          <w:tcPr>
            <w:tcW w:w="2743" w:type="dxa"/>
            <w:vAlign w:val="center"/>
          </w:tcPr>
          <w:p w14:paraId="7562711C">
            <w:pPr>
              <w:pStyle w:val="24"/>
              <w:keepNext/>
              <w:snapToGrid w:val="0"/>
              <w:ind w:left="0" w:leftChars="0" w:right="0" w:rightChars="0" w:firstLine="0" w:firstLineChars="0"/>
              <w:jc w:val="center"/>
              <w:rPr>
                <w:color w:val="auto"/>
              </w:rPr>
            </w:pPr>
            <w:r>
              <w:rPr>
                <w:color w:val="auto"/>
              </w:rPr>
              <w:t>Active fractures</w:t>
            </w:r>
          </w:p>
        </w:tc>
        <w:tc>
          <w:tcPr>
            <w:tcW w:w="1689" w:type="dxa"/>
            <w:vAlign w:val="center"/>
          </w:tcPr>
          <w:p w14:paraId="0FD3EC84">
            <w:pPr>
              <w:pStyle w:val="24"/>
              <w:keepNext/>
              <w:snapToGrid w:val="0"/>
              <w:ind w:left="0" w:leftChars="0" w:right="0" w:rightChars="0" w:firstLine="0" w:firstLineChars="0"/>
              <w:jc w:val="left"/>
              <w:rPr>
                <w:color w:val="auto"/>
              </w:rPr>
            </w:pPr>
            <w:r>
              <w:rPr>
                <w:color w:val="auto"/>
              </w:rPr>
              <w:t>100 (5 × 20)</w:t>
            </w:r>
          </w:p>
        </w:tc>
        <w:tc>
          <w:tcPr>
            <w:tcW w:w="2148" w:type="dxa"/>
            <w:vAlign w:val="center"/>
          </w:tcPr>
          <w:p w14:paraId="02860F26">
            <w:pPr>
              <w:pStyle w:val="24"/>
              <w:keepNext/>
              <w:snapToGrid w:val="0"/>
              <w:ind w:left="0" w:leftChars="0" w:right="0" w:rightChars="0" w:firstLine="0" w:firstLineChars="0"/>
              <w:jc w:val="center"/>
              <w:rPr>
                <w:color w:val="auto"/>
              </w:rPr>
            </w:pPr>
            <w:r>
              <w:rPr>
                <w:color w:val="auto"/>
              </w:rPr>
              <w:t>12 (1 × 12)</w:t>
            </w:r>
          </w:p>
        </w:tc>
        <w:tc>
          <w:tcPr>
            <w:tcW w:w="2498" w:type="dxa"/>
            <w:vAlign w:val="center"/>
          </w:tcPr>
          <w:p w14:paraId="146A7522">
            <w:pPr>
              <w:pStyle w:val="24"/>
              <w:keepNext/>
              <w:snapToGrid w:val="0"/>
              <w:ind w:left="0" w:leftChars="0" w:right="0" w:rightChars="0" w:firstLine="0" w:firstLineChars="0"/>
              <w:jc w:val="center"/>
              <w:rPr>
                <w:color w:val="auto"/>
              </w:rPr>
            </w:pPr>
            <w:r>
              <w:rPr>
                <w:color w:val="auto"/>
              </w:rPr>
              <w:t>8.3× fewer</w:t>
            </w:r>
          </w:p>
        </w:tc>
      </w:tr>
      <w:tr w14:paraId="7ED0338D">
        <w:tblPrEx>
          <w:tblCellMar>
            <w:top w:w="0" w:type="dxa"/>
            <w:left w:w="108" w:type="dxa"/>
            <w:bottom w:w="0" w:type="dxa"/>
            <w:right w:w="108" w:type="dxa"/>
          </w:tblCellMar>
        </w:tblPrEx>
        <w:trPr>
          <w:trHeight w:val="0" w:hRule="atLeast"/>
          <w:jc w:val="center"/>
        </w:trPr>
        <w:tc>
          <w:tcPr>
            <w:tcW w:w="2743" w:type="dxa"/>
            <w:vAlign w:val="center"/>
          </w:tcPr>
          <w:p w14:paraId="0081BA69">
            <w:pPr>
              <w:pStyle w:val="24"/>
              <w:keepNext/>
              <w:snapToGrid w:val="0"/>
              <w:ind w:left="0" w:leftChars="0" w:right="0" w:rightChars="0" w:firstLine="0" w:firstLineChars="0"/>
              <w:jc w:val="center"/>
              <w:rPr>
                <w:color w:val="auto"/>
              </w:rPr>
            </w:pPr>
            <w:r>
              <w:rPr>
                <w:color w:val="auto"/>
              </w:rPr>
              <w:t>Total cells (PEBI)</w:t>
            </w:r>
          </w:p>
        </w:tc>
        <w:tc>
          <w:tcPr>
            <w:tcW w:w="1689" w:type="dxa"/>
            <w:vAlign w:val="center"/>
          </w:tcPr>
          <w:p w14:paraId="063FAF46">
            <w:pPr>
              <w:pStyle w:val="24"/>
              <w:keepNext/>
              <w:snapToGrid w:val="0"/>
              <w:ind w:left="0" w:leftChars="0" w:right="0" w:rightChars="0" w:firstLine="0" w:firstLineChars="0"/>
              <w:jc w:val="left"/>
              <w:rPr>
                <w:color w:val="auto"/>
              </w:rPr>
            </w:pPr>
            <w:r>
              <w:rPr>
                <w:color w:val="auto"/>
              </w:rPr>
              <w:t>1 024 000</w:t>
            </w:r>
          </w:p>
        </w:tc>
        <w:tc>
          <w:tcPr>
            <w:tcW w:w="2148" w:type="dxa"/>
            <w:vAlign w:val="center"/>
          </w:tcPr>
          <w:p w14:paraId="4B722E30">
            <w:pPr>
              <w:pStyle w:val="24"/>
              <w:keepNext/>
              <w:snapToGrid w:val="0"/>
              <w:ind w:left="0" w:leftChars="0" w:right="0" w:rightChars="0" w:firstLine="0" w:firstLineChars="0"/>
              <w:jc w:val="center"/>
              <w:rPr>
                <w:color w:val="auto"/>
              </w:rPr>
            </w:pPr>
            <w:r>
              <w:rPr>
                <w:color w:val="auto"/>
              </w:rPr>
              <w:t>387 000</w:t>
            </w:r>
          </w:p>
        </w:tc>
        <w:tc>
          <w:tcPr>
            <w:tcW w:w="2498" w:type="dxa"/>
            <w:vAlign w:val="center"/>
          </w:tcPr>
          <w:p w14:paraId="4274760A">
            <w:pPr>
              <w:pStyle w:val="24"/>
              <w:keepNext/>
              <w:snapToGrid w:val="0"/>
              <w:ind w:left="0" w:leftChars="0" w:right="0" w:rightChars="0" w:firstLine="0" w:firstLineChars="0"/>
              <w:jc w:val="center"/>
              <w:rPr>
                <w:color w:val="auto"/>
              </w:rPr>
            </w:pPr>
            <w:r>
              <w:rPr>
                <w:color w:val="auto"/>
              </w:rPr>
              <w:t>Scales with fracture count</w:t>
            </w:r>
          </w:p>
        </w:tc>
      </w:tr>
      <w:tr w14:paraId="396857C4">
        <w:trPr>
          <w:trHeight w:val="0" w:hRule="atLeast"/>
          <w:jc w:val="center"/>
        </w:trPr>
        <w:tc>
          <w:tcPr>
            <w:tcW w:w="2743" w:type="dxa"/>
            <w:vAlign w:val="center"/>
          </w:tcPr>
          <w:p w14:paraId="0511D813">
            <w:pPr>
              <w:pStyle w:val="24"/>
              <w:keepNext/>
              <w:snapToGrid w:val="0"/>
              <w:ind w:left="0" w:leftChars="0" w:right="0" w:rightChars="0" w:firstLine="0" w:firstLineChars="0"/>
              <w:jc w:val="center"/>
              <w:rPr>
                <w:color w:val="auto"/>
              </w:rPr>
            </w:pPr>
            <w:r>
              <w:rPr>
                <w:color w:val="auto"/>
              </w:rPr>
              <w:t xml:space="preserve">Faces with </w:t>
            </w:r>
            <m:oMath>
              <m:r>
                <m:rPr/>
                <w:rPr>
                  <w:color w:val="auto"/>
                </w:rPr>
                <m:t>θ≤</m:t>
              </m:r>
              <m:sSup>
                <m:sSupPr>
                  <m:ctrlPr>
                    <w:rPr>
                      <w:color w:val="auto"/>
                    </w:rPr>
                  </m:ctrlPr>
                </m:sSupPr>
                <m:e>
                  <m:r>
                    <m:rPr/>
                    <w:rPr>
                      <w:color w:val="auto"/>
                    </w:rPr>
                    <m:t>5</m:t>
                  </m:r>
                  <m:ctrlPr>
                    <w:rPr>
                      <w:color w:val="auto"/>
                    </w:rPr>
                  </m:ctrlPr>
                </m:e>
                <m:sup>
                  <m:r>
                    <m:rPr/>
                    <w:rPr>
                      <w:color w:val="auto"/>
                    </w:rPr>
                    <m:t>∘</m:t>
                  </m:r>
                  <m:ctrlPr>
                    <w:rPr>
                      <w:color w:val="auto"/>
                    </w:rPr>
                  </m:ctrlPr>
                </m:sup>
              </m:sSup>
            </m:oMath>
          </w:p>
        </w:tc>
        <w:tc>
          <w:tcPr>
            <w:tcW w:w="1689" w:type="dxa"/>
            <w:vAlign w:val="center"/>
          </w:tcPr>
          <w:p w14:paraId="66B2CD6C">
            <w:pPr>
              <w:pStyle w:val="24"/>
              <w:keepNext/>
              <w:snapToGrid w:val="0"/>
              <w:ind w:left="0" w:leftChars="0" w:right="0" w:rightChars="0" w:firstLine="0" w:firstLineChars="0"/>
              <w:jc w:val="left"/>
              <w:rPr>
                <w:color w:val="auto"/>
              </w:rPr>
            </w:pPr>
            <w:r>
              <w:rPr>
                <w:color w:val="auto"/>
              </w:rPr>
              <w:t>97.1%</w:t>
            </w:r>
          </w:p>
        </w:tc>
        <w:tc>
          <w:tcPr>
            <w:tcW w:w="2148" w:type="dxa"/>
            <w:vAlign w:val="center"/>
          </w:tcPr>
          <w:p w14:paraId="4E810ACF">
            <w:pPr>
              <w:pStyle w:val="24"/>
              <w:keepNext/>
              <w:snapToGrid w:val="0"/>
              <w:ind w:left="0" w:leftChars="0" w:right="0" w:rightChars="0" w:firstLine="0" w:firstLineChars="0"/>
              <w:jc w:val="center"/>
              <w:rPr>
                <w:color w:val="auto"/>
              </w:rPr>
            </w:pPr>
            <w:r>
              <w:rPr>
                <w:color w:val="auto"/>
              </w:rPr>
              <w:t>96.8%</w:t>
            </w:r>
          </w:p>
        </w:tc>
        <w:tc>
          <w:tcPr>
            <w:tcW w:w="2498" w:type="dxa"/>
            <w:vAlign w:val="center"/>
          </w:tcPr>
          <w:p w14:paraId="0E7237B0">
            <w:pPr>
              <w:pStyle w:val="24"/>
              <w:keepNext/>
              <w:snapToGrid w:val="0"/>
              <w:ind w:left="0" w:leftChars="0" w:right="0" w:rightChars="0" w:firstLine="0" w:firstLineChars="0"/>
              <w:jc w:val="center"/>
              <w:rPr>
                <w:color w:val="auto"/>
              </w:rPr>
            </w:pPr>
            <w:r>
              <w:rPr>
                <w:color w:val="auto"/>
              </w:rPr>
              <w:t>Within 0.3 points</w:t>
            </w:r>
          </w:p>
        </w:tc>
      </w:tr>
      <w:tr w14:paraId="0FEE3896">
        <w:tblPrEx>
          <w:tblCellMar>
            <w:top w:w="0" w:type="dxa"/>
            <w:left w:w="108" w:type="dxa"/>
            <w:bottom w:w="0" w:type="dxa"/>
            <w:right w:w="108" w:type="dxa"/>
          </w:tblCellMar>
        </w:tblPrEx>
        <w:trPr>
          <w:trHeight w:val="0" w:hRule="atLeast"/>
          <w:jc w:val="center"/>
        </w:trPr>
        <w:tc>
          <w:tcPr>
            <w:tcW w:w="2743" w:type="dxa"/>
            <w:vAlign w:val="center"/>
          </w:tcPr>
          <w:p w14:paraId="54806FE6">
            <w:pPr>
              <w:pStyle w:val="24"/>
              <w:keepNext/>
              <w:snapToGrid w:val="0"/>
              <w:ind w:left="0" w:leftChars="0" w:right="0" w:rightChars="0" w:firstLine="0" w:firstLineChars="0"/>
              <w:jc w:val="center"/>
              <w:rPr>
                <w:color w:val="auto"/>
              </w:rPr>
            </w:pPr>
            <m:oMath>
              <m:r>
                <m:rPr/>
                <w:rPr>
                  <w:color w:val="auto"/>
                </w:rPr>
                <m:t>κ(A)</m:t>
              </m:r>
            </m:oMath>
            <w:r>
              <w:rPr>
                <w:color w:val="auto"/>
              </w:rPr>
              <w:t xml:space="preserve"> (Arnoldi estimate)</w:t>
            </w:r>
          </w:p>
        </w:tc>
        <w:tc>
          <w:tcPr>
            <w:tcW w:w="1689" w:type="dxa"/>
            <w:vAlign w:val="center"/>
          </w:tcPr>
          <w:p w14:paraId="46BB553D">
            <w:pPr>
              <w:pStyle w:val="24"/>
              <w:keepNext/>
              <w:snapToGrid w:val="0"/>
              <w:ind w:left="0" w:leftChars="0" w:right="0" w:rightChars="0" w:firstLine="0" w:firstLineChars="0"/>
              <w:jc w:val="left"/>
              <w:rPr>
                <w:color w:val="auto"/>
              </w:rPr>
            </w:pPr>
            <m:oMathPara>
              <m:oMath>
                <m:r>
                  <m:rPr/>
                  <w:rPr>
                    <w:color w:val="auto"/>
                  </w:rPr>
                  <m:t>3.7×</m:t>
                </m:r>
                <m:sSup>
                  <m:sSupPr>
                    <m:ctrlPr>
                      <w:rPr>
                        <w:color w:val="auto"/>
                      </w:rPr>
                    </m:ctrlPr>
                  </m:sSupPr>
                  <m:e>
                    <m:r>
                      <m:rPr/>
                      <w:rPr>
                        <w:color w:val="auto"/>
                      </w:rPr>
                      <m:t>10</m:t>
                    </m:r>
                    <m:ctrlPr>
                      <w:rPr>
                        <w:color w:val="auto"/>
                      </w:rPr>
                    </m:ctrlPr>
                  </m:e>
                  <m:sup>
                    <m:r>
                      <m:rPr/>
                      <w:rPr>
                        <w:color w:val="auto"/>
                      </w:rPr>
                      <m:t>6</m:t>
                    </m:r>
                    <m:ctrlPr>
                      <w:rPr>
                        <w:color w:val="auto"/>
                      </w:rPr>
                    </m:ctrlPr>
                  </m:sup>
                </m:sSup>
              </m:oMath>
            </m:oMathPara>
          </w:p>
        </w:tc>
        <w:tc>
          <w:tcPr>
            <w:tcW w:w="2148" w:type="dxa"/>
            <w:vAlign w:val="center"/>
          </w:tcPr>
          <w:p w14:paraId="676DC3DB">
            <w:pPr>
              <w:pStyle w:val="24"/>
              <w:keepNext/>
              <w:snapToGrid w:val="0"/>
              <w:ind w:left="0" w:leftChars="0" w:right="0" w:rightChars="0" w:firstLine="0" w:firstLineChars="0"/>
              <w:jc w:val="center"/>
              <w:rPr>
                <w:color w:val="auto"/>
              </w:rPr>
            </w:pPr>
            <m:oMathPara>
              <m:oMath>
                <m:r>
                  <m:rPr/>
                  <w:rPr>
                    <w:color w:val="auto"/>
                  </w:rPr>
                  <m:t>3.2×</m:t>
                </m:r>
                <m:sSup>
                  <m:sSupPr>
                    <m:ctrlPr>
                      <w:rPr>
                        <w:color w:val="auto"/>
                      </w:rPr>
                    </m:ctrlPr>
                  </m:sSupPr>
                  <m:e>
                    <m:r>
                      <m:rPr/>
                      <w:rPr>
                        <w:color w:val="auto"/>
                      </w:rPr>
                      <m:t>10</m:t>
                    </m:r>
                    <m:ctrlPr>
                      <w:rPr>
                        <w:color w:val="auto"/>
                      </w:rPr>
                    </m:ctrlPr>
                  </m:e>
                  <m:sup>
                    <m:r>
                      <m:rPr/>
                      <w:rPr>
                        <w:color w:val="auto"/>
                      </w:rPr>
                      <m:t>6</m:t>
                    </m:r>
                    <m:ctrlPr>
                      <w:rPr>
                        <w:color w:val="auto"/>
                      </w:rPr>
                    </m:ctrlPr>
                  </m:sup>
                </m:sSup>
              </m:oMath>
            </m:oMathPara>
          </w:p>
        </w:tc>
        <w:tc>
          <w:tcPr>
            <w:tcW w:w="2498" w:type="dxa"/>
            <w:vAlign w:val="center"/>
          </w:tcPr>
          <w:p w14:paraId="0A3CE17E">
            <w:pPr>
              <w:pStyle w:val="24"/>
              <w:keepNext/>
              <w:snapToGrid w:val="0"/>
              <w:ind w:left="0" w:leftChars="0" w:right="0" w:rightChars="0" w:firstLine="0" w:firstLineChars="0"/>
              <w:jc w:val="center"/>
              <w:rPr>
                <w:color w:val="auto"/>
              </w:rPr>
            </w:pPr>
            <w:r>
              <w:rPr>
                <w:color w:val="auto"/>
              </w:rPr>
              <w:t>Lower due to fewer fractures</w:t>
            </w:r>
          </w:p>
        </w:tc>
      </w:tr>
      <w:tr w14:paraId="0F80CE45">
        <w:tblPrEx>
          <w:tblCellMar>
            <w:top w:w="0" w:type="dxa"/>
            <w:left w:w="108" w:type="dxa"/>
            <w:bottom w:w="0" w:type="dxa"/>
            <w:right w:w="108" w:type="dxa"/>
          </w:tblCellMar>
        </w:tblPrEx>
        <w:trPr>
          <w:trHeight w:val="0" w:hRule="atLeast"/>
          <w:jc w:val="center"/>
        </w:trPr>
        <w:tc>
          <w:tcPr>
            <w:tcW w:w="2743" w:type="dxa"/>
            <w:vAlign w:val="center"/>
          </w:tcPr>
          <w:p w14:paraId="11313AC3">
            <w:pPr>
              <w:pStyle w:val="24"/>
              <w:keepNext/>
              <w:snapToGrid w:val="0"/>
              <w:ind w:left="0" w:leftChars="0" w:right="0" w:rightChars="0" w:firstLine="0" w:firstLineChars="0"/>
              <w:jc w:val="center"/>
              <w:rPr>
                <w:color w:val="auto"/>
              </w:rPr>
            </w:pPr>
            <w:r>
              <w:rPr>
                <w:color w:val="auto"/>
              </w:rPr>
              <w:t>GMRES iterations (CPR–SA-AMG)</w:t>
            </w:r>
          </w:p>
        </w:tc>
        <w:tc>
          <w:tcPr>
            <w:tcW w:w="1689" w:type="dxa"/>
            <w:vAlign w:val="center"/>
          </w:tcPr>
          <w:p w14:paraId="1A32D7B8">
            <w:pPr>
              <w:pStyle w:val="24"/>
              <w:keepNext/>
              <w:snapToGrid w:val="0"/>
              <w:ind w:left="0" w:leftChars="0" w:right="0" w:rightChars="0" w:firstLine="0" w:firstLineChars="0"/>
              <w:jc w:val="left"/>
              <w:rPr>
                <w:color w:val="auto"/>
              </w:rPr>
            </w:pPr>
            <w:r>
              <w:rPr>
                <w:color w:val="auto"/>
              </w:rPr>
              <w:t>21</w:t>
            </w:r>
          </w:p>
        </w:tc>
        <w:tc>
          <w:tcPr>
            <w:tcW w:w="2148" w:type="dxa"/>
            <w:vAlign w:val="center"/>
          </w:tcPr>
          <w:p w14:paraId="686C565A">
            <w:pPr>
              <w:pStyle w:val="24"/>
              <w:keepNext/>
              <w:snapToGrid w:val="0"/>
              <w:ind w:left="0" w:leftChars="0" w:right="0" w:rightChars="0" w:firstLine="0" w:firstLineChars="0"/>
              <w:jc w:val="center"/>
              <w:rPr>
                <w:color w:val="auto"/>
              </w:rPr>
            </w:pPr>
            <w:r>
              <w:rPr>
                <w:color w:val="auto"/>
              </w:rPr>
              <w:t>22</w:t>
            </w:r>
          </w:p>
        </w:tc>
        <w:tc>
          <w:tcPr>
            <w:tcW w:w="2498" w:type="dxa"/>
            <w:vAlign w:val="center"/>
          </w:tcPr>
          <w:p w14:paraId="1563042F">
            <w:pPr>
              <w:pStyle w:val="24"/>
              <w:keepNext/>
              <w:snapToGrid w:val="0"/>
              <w:ind w:left="0" w:leftChars="0" w:right="0" w:rightChars="0" w:firstLine="0" w:firstLineChars="0"/>
              <w:jc w:val="center"/>
              <w:rPr>
                <w:color w:val="auto"/>
              </w:rPr>
            </w:pPr>
            <w:r>
              <w:rPr>
                <w:color w:val="auto"/>
              </w:rPr>
              <w:t>At matched cells/rank</w:t>
            </w:r>
          </w:p>
        </w:tc>
      </w:tr>
      <w:tr w14:paraId="4FCB0E30">
        <w:tblPrEx>
          <w:tblCellMar>
            <w:top w:w="0" w:type="dxa"/>
            <w:left w:w="108" w:type="dxa"/>
            <w:bottom w:w="0" w:type="dxa"/>
            <w:right w:w="108" w:type="dxa"/>
          </w:tblCellMar>
        </w:tblPrEx>
        <w:trPr>
          <w:trHeight w:val="0" w:hRule="atLeast"/>
          <w:jc w:val="center"/>
        </w:trPr>
        <w:tc>
          <w:tcPr>
            <w:tcW w:w="2743" w:type="dxa"/>
            <w:vAlign w:val="center"/>
          </w:tcPr>
          <w:p w14:paraId="215713D7">
            <w:pPr>
              <w:pStyle w:val="24"/>
              <w:keepNext/>
              <w:snapToGrid w:val="0"/>
              <w:ind w:left="0" w:leftChars="0" w:right="0" w:rightChars="0" w:firstLine="0" w:firstLineChars="0"/>
              <w:jc w:val="center"/>
              <w:rPr>
                <w:color w:val="auto"/>
              </w:rPr>
            </w:pPr>
            <w:r>
              <w:rPr>
                <w:color w:val="auto"/>
              </w:rPr>
              <w:t>Parallel efficiency (64 cores)</w:t>
            </w:r>
          </w:p>
        </w:tc>
        <w:tc>
          <w:tcPr>
            <w:tcW w:w="1689" w:type="dxa"/>
            <w:vAlign w:val="center"/>
          </w:tcPr>
          <w:p w14:paraId="64F5AD77">
            <w:pPr>
              <w:pStyle w:val="24"/>
              <w:keepNext/>
              <w:snapToGrid w:val="0"/>
              <w:ind w:left="0" w:leftChars="0" w:right="0" w:rightChars="0" w:firstLine="0" w:firstLineChars="0"/>
              <w:jc w:val="left"/>
              <w:rPr>
                <w:color w:val="auto"/>
              </w:rPr>
            </w:pPr>
            <w:r>
              <w:rPr>
                <w:color w:val="auto"/>
              </w:rPr>
              <w:t>96.2%</w:t>
            </w:r>
          </w:p>
        </w:tc>
        <w:tc>
          <w:tcPr>
            <w:tcW w:w="2148" w:type="dxa"/>
            <w:vAlign w:val="center"/>
          </w:tcPr>
          <w:p w14:paraId="4A92E1AB">
            <w:pPr>
              <w:pStyle w:val="24"/>
              <w:keepNext/>
              <w:snapToGrid w:val="0"/>
              <w:ind w:left="0" w:leftChars="0" w:right="0" w:rightChars="0" w:firstLine="0" w:firstLineChars="0"/>
              <w:jc w:val="center"/>
              <w:rPr>
                <w:color w:val="auto"/>
              </w:rPr>
            </w:pPr>
            <w:r>
              <w:rPr>
                <w:color w:val="auto"/>
              </w:rPr>
              <w:t>95.4%</w:t>
            </w:r>
          </w:p>
        </w:tc>
        <w:tc>
          <w:tcPr>
            <w:tcW w:w="2498" w:type="dxa"/>
            <w:vAlign w:val="center"/>
          </w:tcPr>
          <w:p w14:paraId="0D0E8526">
            <w:pPr>
              <w:pStyle w:val="24"/>
              <w:keepNext/>
              <w:snapToGrid w:val="0"/>
              <w:ind w:left="0" w:leftChars="0" w:right="0" w:rightChars="0" w:firstLine="0" w:firstLineChars="0"/>
              <w:jc w:val="center"/>
              <w:rPr>
                <w:color w:val="auto"/>
              </w:rPr>
            </w:pPr>
            <w:r>
              <w:rPr>
                <w:color w:val="auto"/>
              </w:rPr>
              <w:t>At identical core count</w:t>
            </w:r>
          </w:p>
        </w:tc>
      </w:tr>
      <w:tr w14:paraId="36AD9D46">
        <w:tblPrEx>
          <w:tblCellMar>
            <w:top w:w="0" w:type="dxa"/>
            <w:left w:w="108" w:type="dxa"/>
            <w:bottom w:w="0" w:type="dxa"/>
            <w:right w:w="108" w:type="dxa"/>
          </w:tblCellMar>
        </w:tblPrEx>
        <w:trPr>
          <w:trHeight w:val="0" w:hRule="atLeast"/>
          <w:jc w:val="center"/>
        </w:trPr>
        <w:tc>
          <w:tcPr>
            <w:tcW w:w="2743" w:type="dxa"/>
            <w:vAlign w:val="center"/>
          </w:tcPr>
          <w:p w14:paraId="1C5E1A34">
            <w:pPr>
              <w:pStyle w:val="24"/>
              <w:keepNext/>
              <w:snapToGrid w:val="0"/>
              <w:ind w:left="0" w:leftChars="0" w:right="0" w:rightChars="0" w:firstLine="0" w:firstLineChars="0"/>
              <w:jc w:val="center"/>
              <w:rPr>
                <w:color w:val="auto"/>
              </w:rPr>
            </w:pPr>
            <w:r>
              <w:rPr>
                <w:color w:val="auto"/>
              </w:rPr>
              <w:t xml:space="preserve">Overlap efficiency </w:t>
            </w:r>
            <m:oMath>
              <m:r>
                <m:rPr/>
                <w:rPr>
                  <w:color w:val="auto"/>
                </w:rPr>
                <m:t>η</m:t>
              </m:r>
            </m:oMath>
            <w:r>
              <w:rPr>
                <w:color w:val="auto"/>
              </w:rPr>
              <w:t xml:space="preserve"> (64 cores)</w:t>
            </w:r>
          </w:p>
        </w:tc>
        <w:tc>
          <w:tcPr>
            <w:tcW w:w="1689" w:type="dxa"/>
            <w:vAlign w:val="center"/>
          </w:tcPr>
          <w:p w14:paraId="052B363E">
            <w:pPr>
              <w:pStyle w:val="24"/>
              <w:keepNext/>
              <w:snapToGrid w:val="0"/>
              <w:ind w:left="0" w:leftChars="0" w:right="0" w:rightChars="0" w:firstLine="0" w:firstLineChars="0"/>
              <w:jc w:val="left"/>
              <w:rPr>
                <w:color w:val="auto"/>
              </w:rPr>
            </w:pPr>
            <w:r>
              <w:rPr>
                <w:color w:val="auto"/>
              </w:rPr>
              <w:t>0.73</w:t>
            </w:r>
          </w:p>
        </w:tc>
        <w:tc>
          <w:tcPr>
            <w:tcW w:w="2148" w:type="dxa"/>
            <w:vAlign w:val="center"/>
          </w:tcPr>
          <w:p w14:paraId="0EB0EFDA">
            <w:pPr>
              <w:pStyle w:val="24"/>
              <w:keepNext/>
              <w:snapToGrid w:val="0"/>
              <w:ind w:left="0" w:leftChars="0" w:right="0" w:rightChars="0" w:firstLine="0" w:firstLineChars="0"/>
              <w:jc w:val="center"/>
              <w:rPr>
                <w:color w:val="auto"/>
              </w:rPr>
            </w:pPr>
            <w:r>
              <w:rPr>
                <w:color w:val="auto"/>
              </w:rPr>
              <w:t>0.71</w:t>
            </w:r>
          </w:p>
        </w:tc>
        <w:tc>
          <w:tcPr>
            <w:tcW w:w="2498" w:type="dxa"/>
            <w:vAlign w:val="center"/>
          </w:tcPr>
          <w:p w14:paraId="68222562">
            <w:pPr>
              <w:pStyle w:val="24"/>
              <w:keepNext/>
              <w:snapToGrid w:val="0"/>
              <w:ind w:left="0" w:leftChars="0" w:right="0" w:rightChars="0" w:firstLine="0" w:firstLineChars="0"/>
              <w:jc w:val="center"/>
              <w:rPr>
                <w:color w:val="auto"/>
              </w:rPr>
            </w:pPr>
            <w:r>
              <w:rPr>
                <w:color w:val="auto"/>
              </w:rPr>
              <w:t>Slight reduction</w:t>
            </w:r>
          </w:p>
        </w:tc>
      </w:tr>
    </w:tbl>
    <w:p w14:paraId="56177ADD">
      <w:pPr>
        <w:pStyle w:val="3"/>
        <w:spacing w:before="0" w:after="120"/>
        <w:ind w:firstLine="480" w:firstLineChars="200"/>
        <w:jc w:val="both"/>
        <w:rPr>
          <w:color w:val="auto"/>
        </w:rPr>
      </w:pPr>
      <w:r>
        <w:rPr>
          <w:color w:val="auto"/>
        </w:rPr>
        <w:t xml:space="preserve">The PEBI mesh generator achieves 96.8% K-orthogonality on the single-well configuration, within 0.3 percentage points of the five-well base case (97.1%), demonstrating that the mesh generation pipeline is insensitive to the number and spatial density of fracture stages. The median </w:t>
      </w:r>
      <m:oMath>
        <m:r>
          <m:rPr/>
          <w:rPr>
            <w:color w:val="auto"/>
          </w:rPr>
          <m:t>θ</m:t>
        </m:r>
      </m:oMath>
      <w:r>
        <w:rPr>
          <w:color w:val="auto"/>
        </w:rPr>
        <w:t xml:space="preserve"> (1.3° vs. 1.2°) and maximum aspect ratio (3.9 vs. 3.8) are likewise stable. The GMRES iteration count (22 vs. 21, at matched 6,000 cells/rank) and the parallel efficiency (95.4% vs. 96.2%, compared at identical 64-core count) differ by less than 1 percentage point, confirming that the per-core performance is not sensitive to the fracture count or domain size. The slightly lower condition number (</w:t>
      </w:r>
      <m:oMath>
        <m:r>
          <m:rPr/>
          <w:rPr>
            <w:color w:val="auto"/>
          </w:rPr>
          <m:t>3.2×</m:t>
        </m:r>
        <m:sSup>
          <m:sSupPr>
            <m:ctrlPr>
              <w:rPr>
                <w:color w:val="auto"/>
              </w:rPr>
            </m:ctrlPr>
          </m:sSupPr>
          <m:e>
            <m:r>
              <m:rPr/>
              <w:rPr>
                <w:color w:val="auto"/>
              </w:rPr>
              <m:t>10</m:t>
            </m:r>
            <m:ctrlPr>
              <w:rPr>
                <w:color w:val="auto"/>
              </w:rPr>
            </m:ctrlPr>
          </m:e>
          <m:sup>
            <m:r>
              <m:rPr/>
              <w:rPr>
                <w:color w:val="auto"/>
              </w:rPr>
              <m:t>6</m:t>
            </m:r>
            <m:ctrlPr>
              <w:rPr>
                <w:color w:val="auto"/>
              </w:rPr>
            </m:ctrlPr>
          </m:sup>
        </m:sSup>
      </m:oMath>
      <w:r>
        <w:rPr>
          <w:color w:val="auto"/>
        </w:rPr>
        <w:t xml:space="preserve"> vs. </w:t>
      </w:r>
      <m:oMath>
        <m:r>
          <m:rPr/>
          <w:rPr>
            <w:color w:val="auto"/>
          </w:rPr>
          <m:t>3.7×</m:t>
        </m:r>
        <m:sSup>
          <m:sSupPr>
            <m:ctrlPr>
              <w:rPr>
                <w:color w:val="auto"/>
              </w:rPr>
            </m:ctrlPr>
          </m:sSupPr>
          <m:e>
            <m:r>
              <m:rPr/>
              <w:rPr>
                <w:color w:val="auto"/>
              </w:rPr>
              <m:t>10</m:t>
            </m:r>
            <m:ctrlPr>
              <w:rPr>
                <w:color w:val="auto"/>
              </w:rPr>
            </m:ctrlPr>
          </m:e>
          <m:sup>
            <m:r>
              <m:rPr/>
              <w:rPr>
                <w:color w:val="auto"/>
              </w:rPr>
              <m:t>6</m:t>
            </m:r>
            <m:ctrlPr>
              <w:rPr>
                <w:color w:val="auto"/>
              </w:rPr>
            </m:ctrlPr>
          </m:sup>
        </m:sSup>
      </m:oMath>
      <w:r>
        <w:rPr>
          <w:color w:val="auto"/>
        </w:rPr>
        <w:t>) reflects the reduced number of fracture–matrix conductivity contrasts (12 vs. 100) and is an expected scaling of the physical problem, not a numerical artifact.</w:t>
      </w:r>
    </w:p>
    <w:p w14:paraId="50A96846">
      <w:pPr>
        <w:pStyle w:val="3"/>
        <w:spacing w:before="0" w:after="120"/>
        <w:ind w:firstLine="480" w:firstLineChars="200"/>
        <w:jc w:val="both"/>
        <w:rPr>
          <w:color w:val="auto"/>
        </w:rPr>
      </w:pPr>
      <w:r>
        <w:rPr>
          <w:color w:val="auto"/>
        </w:rPr>
        <w:t>These results indicate that the proposed framework’s key performance characteristics—K-orthogonality maintenance, solver convergence, and per-core parallel efficiency—are robust to well-pattern variation. While the change in fracture count inevitably alters the absolute problem size, mesh topology, and AMG hierarchy depth, the per-cell and per-rank metrics remain stable, supporting the generalizability of the conclusions beyond the specific five-well pad configuration studied in the base case.</w:t>
      </w:r>
    </w:p>
    <w:p w14:paraId="4E30D484">
      <w:pPr>
        <w:pStyle w:val="4"/>
        <w:spacing w:before="360" w:after="120"/>
        <w:ind w:firstLine="0"/>
        <w:rPr>
          <w:color w:val="auto"/>
        </w:rPr>
      </w:pPr>
      <w:bookmarkStart w:id="22" w:name="discussion"/>
      <w:r>
        <w:rPr>
          <w:color w:val="auto"/>
        </w:rPr>
        <w:t>4 Discussion</w:t>
      </w:r>
      <w:bookmarkEnd w:id="22"/>
    </w:p>
    <w:p w14:paraId="541F877E">
      <w:pPr>
        <w:pStyle w:val="5"/>
        <w:spacing w:before="360" w:after="120"/>
        <w:ind w:firstLine="0"/>
        <w:rPr>
          <w:color w:val="auto"/>
        </w:rPr>
      </w:pPr>
      <w:bookmarkStart w:id="23" w:name="the-geometryalgebraconcurrency-triad"/>
      <w:r>
        <w:rPr>
          <w:color w:val="auto"/>
        </w:rPr>
        <w:t>4.1 The Geometry–Algebra–Concurrency Triad</w:t>
      </w:r>
      <w:bookmarkEnd w:id="23"/>
    </w:p>
    <w:p w14:paraId="069B1659">
      <w:pPr>
        <w:pStyle w:val="23"/>
        <w:spacing w:before="0" w:after="120"/>
        <w:ind w:firstLine="480" w:firstLineChars="200"/>
        <w:jc w:val="both"/>
        <w:rPr>
          <w:color w:val="auto"/>
        </w:rPr>
      </w:pPr>
      <w:r>
        <w:rPr>
          <w:color w:val="auto"/>
        </w:rPr>
        <w:t>The central finding of this work is that mesh conformity, algebraic conditioning, and parallel concurrency form a causal chain—the Geometry–Algebra–Concurrency Triad—rather than a collection of independent tuning parameters. When a non-conforming Cartesian grid represents an oblique fracture, artificially large off-diagonal coefficients appear in the discrete flux operator to maintain global mass conservation through geometric correction. These spurious entries erode the diagonal dominance of the Jacobian matrix (reducing the mean δ from 2.18 to 1.43) and degrade AMG aggregation quality by introducing weak connections that force the aggregation algorithm either to create excessively large aggregates or to leave orphan nodes. By enforcing strict K-orthogonality across 97.1% of faces, the PEBI mesh ensures that the discrete operator faithfully represents the elliptic character of the governing PDEs. This geometric alignment enables SA-AMG to construct efficient coarse-grid hierarchies with improved V-cycle convergence factors (0.31 vs. 0.45), collapsing the Krylov iteration count from 38 iterations (Cartesian LGR with CPR–SA-AMG) to 21 (PEBI with CPR–SA-AMG). Fewer iterations translate directly into fewer global synchronization barriers—each GMRES iteration requires at least two MPI_Allreduce operations for the inner product and normalization—thereby widening the temporal window available for effective non-blocking communication overlap (η = 0.73).</w:t>
      </w:r>
      <m:oMath>
        <m:r>
          <m:rPr/>
          <w:rPr>
            <w:color w:val="auto"/>
          </w:rPr>
          <m:t>A</m:t>
        </m:r>
        <m:sSub>
          <m:sSubPr>
            <m:ctrlPr>
              <w:rPr>
                <w:color w:val="auto"/>
              </w:rPr>
            </m:ctrlPr>
          </m:sSubPr>
          <m:e>
            <m:acc>
              <m:accPr>
                <m:chr m:val="‾"/>
                <m:ctrlPr>
                  <w:rPr>
                    <w:color w:val="auto"/>
                  </w:rPr>
                </m:ctrlPr>
              </m:accPr>
              <m:e>
                <m:r>
                  <m:rPr/>
                  <w:rPr>
                    <w:color w:val="auto"/>
                  </w:rPr>
                  <m:t>δ</m:t>
                </m:r>
                <m:ctrlPr>
                  <w:rPr>
                    <w:color w:val="auto"/>
                  </w:rPr>
                </m:ctrlPr>
              </m:e>
            </m:acc>
            <m:ctrlPr>
              <w:rPr>
                <w:color w:val="auto"/>
              </w:rPr>
            </m:ctrlPr>
          </m:e>
          <m:sub>
            <m:r>
              <m:rPr/>
              <w:rPr>
                <w:color w:val="auto"/>
              </w:rPr>
              <m:t>i</m:t>
            </m:r>
            <m:ctrlPr>
              <w:rPr>
                <w:color w:val="auto"/>
              </w:rPr>
            </m:ctrlPr>
          </m:sub>
        </m:sSub>
        <m:r>
          <m:rPr/>
          <w:rPr>
            <w:color w:val="auto"/>
          </w:rPr>
          <m:t>η=0.73</m:t>
        </m:r>
      </m:oMath>
    </w:p>
    <w:p w14:paraId="7CA82791">
      <w:pPr>
        <w:pStyle w:val="3"/>
        <w:spacing w:before="0" w:after="120"/>
        <w:ind w:firstLine="480" w:firstLineChars="200"/>
        <w:jc w:val="both"/>
        <w:rPr>
          <w:color w:val="auto"/>
        </w:rPr>
      </w:pPr>
      <w:r>
        <w:rPr>
          <w:color w:val="auto"/>
        </w:rPr>
        <w:t>The controlled experiment reported in Section 3.4—running CPR–SA-AMG on the Cartesian LGR grid and obtaining 38 GMRES iterations vs. 21 on the PEBI grid—provides direct experimental evidence for the mesh-to-algebra link in this causal chain, isolating the mesh effect from the preconditioner. The downstream links from algebra to concurrency follow from the well-known relationship between Krylov iteration count and global synchronization count: each iteration eliminated through better conditioning removes at least two MPI_Allreduce barriers from the critical path.</w:t>
      </w:r>
    </w:p>
    <w:p w14:paraId="40E9FE07">
      <w:pPr>
        <w:pStyle w:val="5"/>
        <w:spacing w:before="360" w:after="120"/>
        <w:ind w:firstLine="0"/>
        <w:rPr>
          <w:color w:val="auto"/>
        </w:rPr>
      </w:pPr>
      <w:bookmarkStart w:id="24" w:name="Xf93c786a574fb2066446b484aec294f28aadd55"/>
      <w:r>
        <w:rPr>
          <w:color w:val="auto"/>
        </w:rPr>
        <w:t>4.2 Cumulative Production as a Misleading Accuracy Metric</w:t>
      </w:r>
      <w:bookmarkEnd w:id="24"/>
    </w:p>
    <w:p w14:paraId="727401F1">
      <w:pPr>
        <w:pStyle w:val="23"/>
        <w:spacing w:before="0" w:after="120"/>
        <w:ind w:firstLine="480" w:firstLineChars="200"/>
        <w:jc w:val="both"/>
        <w:rPr>
          <w:color w:val="auto"/>
        </w:rPr>
      </w:pPr>
      <w:r>
        <w:rPr>
          <w:color w:val="auto"/>
        </w:rPr>
        <w:t>The comparative analysis in Section 3.3 reveals a cautionary result: two simulators may agree within 1.5% on cumulative production while disagreeing by 18.5% in the near-fracture pressure distribution—a discrepancy with direct consequences for history matching and fracture-property inversion. To make this concrete, we performed a synthetic pressure-transient analysis: treating the PEBI pressure profile at t = 1,000 days as the true reservoir response and the Cartesian LGR profile as the simulated observation, a standard well-test interpretation workflow (log–log derivative analysis followed by type-curve matching; Bourdet et al., 1989) was applied to estimate fracture half-length. The LGR-based estimate underestimated fracture half-length by 12.3% (133 m vs. the input 150 m) and overestimated fracture conductivity by 18.7%; the PEBI-based estimate recovered both parameters to within 2%. When calibrated parameters absorb numerical artifacts of this magnitude, they lose physical interpretability and propagate errors into well-spacing and completion-design decisions. The conforming PEBI discretization eliminates this bias at its source.</w:t>
      </w:r>
      <m:oMath>
        <m:r>
          <m:rPr/>
          <w:rPr>
            <w:color w:val="auto"/>
          </w:rPr>
          <m:t>t=1,000</m:t>
        </m:r>
      </m:oMath>
    </w:p>
    <w:p w14:paraId="46BBFDCA">
      <w:pPr>
        <w:pStyle w:val="5"/>
        <w:spacing w:before="360" w:after="120"/>
        <w:ind w:firstLine="0"/>
        <w:rPr>
          <w:color w:val="auto"/>
        </w:rPr>
      </w:pPr>
      <w:bookmarkStart w:id="25" w:name="limitations"/>
      <w:r>
        <w:rPr>
          <w:color w:val="auto"/>
        </w:rPr>
        <w:t>4.3 Limitations</w:t>
      </w:r>
      <w:bookmarkEnd w:id="25"/>
    </w:p>
    <w:p w14:paraId="6C28F414">
      <w:pPr>
        <w:pStyle w:val="23"/>
        <w:spacing w:before="0" w:after="120"/>
        <w:ind w:firstLine="480" w:firstLineChars="200"/>
        <w:jc w:val="both"/>
        <w:rPr>
          <w:color w:val="auto"/>
        </w:rPr>
      </w:pPr>
      <w:r>
        <w:rPr>
          <w:color w:val="auto"/>
        </w:rPr>
        <w:t>Several limitations of the present study should be acknowledged:</w:t>
      </w:r>
    </w:p>
    <w:p w14:paraId="4388E1DA">
      <w:pPr>
        <w:pStyle w:val="3"/>
        <w:spacing w:before="0" w:after="120"/>
        <w:ind w:firstLine="480" w:firstLineChars="200"/>
        <w:jc w:val="both"/>
        <w:rPr>
          <w:color w:val="auto"/>
        </w:rPr>
      </w:pPr>
      <w:r>
        <w:rPr>
          <w:b/>
          <w:color w:val="auto"/>
        </w:rPr>
        <w:t>2.5D extrusion formulation.</w:t>
      </w:r>
      <w:r>
        <w:rPr>
          <w:color w:val="auto"/>
        </w:rPr>
        <w:t xml:space="preserve"> The current implementation relies on a layered 2.5D extrusion approach rather than a fully three-dimensional constrained Voronoi construction. Extension to non-planar, arbitrarily oriented fractures in a true 3D setting requires solving the constrained Delaunay tetrahedralization problem with face constraints, which introduces challenges in Steiner point placement on non-planar constraint surfaces and in maintaining the empty-circumsphere property across fracture intersections. The </w:t>
      </w:r>
      <m:oMath>
        <m:r>
          <m:rPr>
            <m:nor/>
            <m:sty m:val="p"/>
          </m:rPr>
          <w:rPr>
            <w:b w:val="0"/>
            <w:i w:val="0"/>
            <w:color w:val="auto"/>
          </w:rPr>
          <m:t>tanh</m:t>
        </m:r>
      </m:oMath>
      <w:r>
        <w:rPr>
          <w:color w:val="auto"/>
        </w:rPr>
        <w:t xml:space="preserve"> density function (Eq. 9) is expected to generalize to 3D with </w:t>
      </w:r>
      <m:oMath>
        <m:sSub>
          <m:sSubPr>
            <m:ctrlPr>
              <w:rPr>
                <w:color w:val="auto"/>
              </w:rPr>
            </m:ctrlPr>
          </m:sSubPr>
          <m:e>
            <m:r>
              <m:rPr/>
              <w:rPr>
                <w:color w:val="auto"/>
              </w:rPr>
              <m:t>h</m:t>
            </m:r>
            <m:ctrlPr>
              <w:rPr>
                <w:color w:val="auto"/>
              </w:rPr>
            </m:ctrlPr>
          </m:e>
          <m:sub>
            <m:r>
              <m:rPr>
                <m:nor/>
                <m:sty m:val="p"/>
              </m:rPr>
              <w:rPr>
                <w:b w:val="0"/>
                <w:i w:val="0"/>
                <w:color w:val="auto"/>
              </w:rPr>
              <m:t>min</m:t>
            </m:r>
            <m:ctrlPr>
              <w:rPr>
                <w:color w:val="auto"/>
              </w:rPr>
            </m:ctrlPr>
          </m:sub>
        </m:sSub>
        <m:r>
          <m:rPr/>
          <w:rPr>
            <w:color w:val="auto"/>
          </w:rPr>
          <m:t>(x)</m:t>
        </m:r>
      </m:oMath>
      <w:r>
        <w:rPr>
          <w:color w:val="auto"/>
        </w:rPr>
        <w:t xml:space="preserve"> measuring the 3D Euclidean distance to the fracture surfaces, but the Ruppert refinement guarantees do not carry over to 3D without modification (Ruppert, 1995).</w:t>
      </w:r>
    </w:p>
    <w:p w14:paraId="5D931DBB">
      <w:pPr>
        <w:pStyle w:val="3"/>
        <w:spacing w:before="0" w:after="120"/>
        <w:ind w:firstLine="480" w:firstLineChars="200"/>
        <w:jc w:val="both"/>
        <w:rPr>
          <w:color w:val="auto"/>
        </w:rPr>
      </w:pPr>
      <w:r>
        <w:rPr>
          <w:b/>
          <w:color w:val="auto"/>
        </w:rPr>
        <w:t>Black-oil formulation.</w:t>
      </w:r>
      <w:r>
        <w:rPr>
          <w:color w:val="auto"/>
        </w:rPr>
        <w:t xml:space="preserve"> The present model employs a three-phase black-oil formulation with dissolved gas. Extension to fully compositional simulation, where component mole fractions replace phase saturations and an equation of state governs phase equilibria, would represent a natural next step. The CPR–SA-AMG preconditioning framework is expected to carry over because the pressure block retains its fundamentally elliptic character in compositional formulations, but the increased number of primary unknowns per cell (typically 2 + </w:t>
      </w:r>
      <m:oMath>
        <m:sSub>
          <m:sSubPr>
            <m:ctrlPr>
              <w:rPr>
                <w:color w:val="auto"/>
              </w:rPr>
            </m:ctrlPr>
          </m:sSubPr>
          <m:e>
            <m:r>
              <m:rPr/>
              <w:rPr>
                <w:color w:val="auto"/>
              </w:rPr>
              <m:t>N</m:t>
            </m:r>
            <m:ctrlPr>
              <w:rPr>
                <w:color w:val="auto"/>
              </w:rPr>
            </m:ctrlPr>
          </m:e>
          <m:sub>
            <m:r>
              <m:rPr/>
              <w:rPr>
                <w:color w:val="auto"/>
              </w:rPr>
              <m:t>c</m:t>
            </m:r>
            <m:ctrlPr>
              <w:rPr>
                <w:color w:val="auto"/>
              </w:rPr>
            </m:ctrlPr>
          </m:sub>
        </m:sSub>
      </m:oMath>
      <w:r>
        <w:rPr>
          <w:color w:val="auto"/>
        </w:rPr>
        <w:t xml:space="preserve"> components) will increase both the Jacobian assembly cost and the memory footprint of the AMG hierarchy.</w:t>
      </w:r>
    </w:p>
    <w:p w14:paraId="0FB165DD">
      <w:pPr>
        <w:pStyle w:val="3"/>
        <w:spacing w:before="0" w:after="120"/>
        <w:ind w:firstLine="480" w:firstLineChars="200"/>
        <w:jc w:val="both"/>
        <w:rPr>
          <w:color w:val="auto"/>
        </w:rPr>
      </w:pPr>
      <w:r>
        <w:rPr>
          <w:b/>
          <w:color w:val="auto"/>
        </w:rPr>
        <w:t>Stress-dependent fracture conductivity.</w:t>
      </w:r>
      <w:r>
        <w:rPr>
          <w:color w:val="auto"/>
        </w:rPr>
        <w:t xml:space="preserve"> The model assumes constant fracture conductivity. In practice, hydraulic-fracture conductivity declines with pressure depletion due to proppant embedment, crushing, and fracture closure under increasing effective stress. Incorporating a stress-dependent conductivity model (e.g., exponential decay with pressure) would likely reduce late-time production forecasts and may modulate the DFN enhancement factor.</w:t>
      </w:r>
    </w:p>
    <w:p w14:paraId="3ECE7E0E">
      <w:pPr>
        <w:pStyle w:val="3"/>
        <w:spacing w:before="0" w:after="120"/>
        <w:ind w:firstLine="480" w:firstLineChars="200"/>
        <w:jc w:val="both"/>
        <w:rPr>
          <w:color w:val="auto"/>
        </w:rPr>
      </w:pPr>
      <w:r>
        <w:rPr>
          <w:b/>
          <w:color w:val="auto"/>
        </w:rPr>
        <w:t>Geomechanical coupling.</w:t>
      </w:r>
      <w:r>
        <w:rPr>
          <w:color w:val="auto"/>
        </w:rPr>
        <w:t xml:space="preserve"> Porosity and permeability are treated as functions of fluid pressure only (Eq. 4), neglecting the full poroelastic coupling between fluid flow and rock deformation. For shale reservoirs, where the Biot coefficient is typically in the range 0.7–0.95, this coupling can be significant. The PEBI framework is compatible with a fixed-stress iterative coupling scheme, which would add a geomechanics solve step to each timestep without modifying the flow Jacobian structure.</w:t>
      </w:r>
    </w:p>
    <w:p w14:paraId="1B3A44A4">
      <w:pPr>
        <w:pStyle w:val="3"/>
        <w:spacing w:before="0" w:after="120"/>
        <w:ind w:firstLine="480" w:firstLineChars="200"/>
        <w:jc w:val="both"/>
        <w:rPr>
          <w:color w:val="auto"/>
        </w:rPr>
      </w:pPr>
      <w:r>
        <w:rPr>
          <w:b/>
          <w:color w:val="auto"/>
        </w:rPr>
        <w:t>Single reservoir configuration.</w:t>
      </w:r>
      <w:r>
        <w:rPr>
          <w:color w:val="auto"/>
        </w:rPr>
        <w:t xml:space="preserve"> The base numerical experiments are predominantly drawn from a five-well pad configuration. A complementary single-well depletion case (Section 3.8) confirms that the key performance characteristics (K-orthogonality fraction, solver convergence, and parallel efficiency) are robust to well configuration and matrix permeability. Nevertheless, broader validation across additional reservoir geometries (e.g., multi-pad, varying fracture geometries, gas-condensate fluids) and operational scenarios would further strengthen the generalizability of the conclusions.</w:t>
      </w:r>
    </w:p>
    <w:p w14:paraId="577086F0">
      <w:pPr>
        <w:pStyle w:val="3"/>
        <w:spacing w:before="0" w:after="120"/>
        <w:ind w:firstLine="480" w:firstLineChars="200"/>
        <w:jc w:val="both"/>
        <w:rPr>
          <w:color w:val="auto"/>
        </w:rPr>
      </w:pPr>
      <w:r>
        <w:rPr>
          <w:b/>
          <w:color w:val="auto"/>
        </w:rPr>
        <w:t>GPU acceleration.</w:t>
      </w:r>
      <w:r>
        <w:rPr>
          <w:color w:val="auto"/>
        </w:rPr>
        <w:t xml:space="preserve"> The current implementation is CPU-only throughout: all mesh generation, Jacobian assembly, linear solver, and MPI communication components execute exclusively on CPU. No CUDA, HIP, SYCL, or OpenCL kernels have been implemented, and the codebase contains no GPU-accelerated routines. The SA-AMG V-cycle (sparse matrix-vector products, level-1 BLAS operations, and restriction/prolongation) is amenable to GPU offload, and libraries such as AmgX and hypre’s GPU backends have demonstrated significant acceleration for AMG preconditioners on NVIDIA and AMD GPUs. The aggregation phase, however, involves substantial integer operations and sparse graph traversals that are more challenging on GPU architectures. A hybrid CPU-GPU strategy—with GPU handling the V-cycle and CPU managing aggregation setup—is a promising direction for future work. A prototype integration with AmgX (NVIDIA) is under development but has not yet produced verifiable performance results; consequently, no GPU performance data are reported in this study.</w:t>
      </w:r>
    </w:p>
    <w:p>
      <w:pPr>
        <w:pStyle w:val="3"/>
        <w:spacing w:before="0" w:after="120"/>
        <w:ind w:firstLine="480" w:firstLineChars="200"/>
        <w:jc w:val="both"/>
        <w:rPr>
          <w:color w:val="auto"/>
        </w:rPr>
      </w:pPr>
      <w:r>
        <w:rPr>
          <w:rFonts w:ascii="Times New Roman" w:hAnsi="Times New Roman"/>
          <w:sz w:val="22"/>
        </w:rPr>
        <w:t xml:space="preserve">Absence of MPFA-type comparison. The present study benchmarks the PEBI+TPFA framework against Cartesian LGR and EDFM discretizations, but does not include a direct comparison with multi-point flux approximation (MPFA) schemes implemented on the same non-conforming unstructured grids. MPFA-type methods are specifically designed to restore consistency on non-K-orthogonal meshes by enlarging the flux stencil (da Silva et al., 2024; Klemetsdal et al., 2025) and may achieve comparable accuracy to PEBI+TPFA at lower mesh-generation cost. A controlled comparison quantifying the trade-off between mesh-generation effort (PEBI) and stencil complexity (MPFA) is reserved for future work (Section 3.4).</w:t>
      </w:r>
    </w:p>
    <w:p w14:paraId="2922F365">
      <w:pPr>
        <w:pStyle w:val="3"/>
        <w:spacing w:before="0" w:after="120"/>
        <w:ind w:firstLine="480" w:firstLineChars="200"/>
        <w:jc w:val="both"/>
        <w:rPr>
          <w:color w:val="auto"/>
        </w:rPr>
      </w:pPr>
      <w:r>
        <w:rPr>
          <w:b/>
          <w:color w:val="auto"/>
        </w:rPr>
        <w:t>Forchheimer inertial correction.</w:t>
      </w:r>
      <w:r>
        <w:rPr>
          <w:color w:val="auto"/>
        </w:rPr>
        <w:t xml:space="preserve"> The present formulation employs the standard Darcy velocity (Eq. 2). At high gas flow rates near the wellbore, inertial (non-Darcy) effects may become significant and can be captured by augmenting the pressure gradient in Eq. (2) with a Forchheimer correction term of the form </w:t>
      </w:r>
      <m:oMath>
        <m:r>
          <m:rPr/>
          <w:rPr>
            <w:color w:val="auto"/>
          </w:rPr>
          <m:t>∇p→∇p+βρ|</m:t>
        </m:r>
        <m:r>
          <m:rPr>
            <m:sty m:val="b"/>
          </m:rPr>
          <w:rPr>
            <w:color w:val="auto"/>
          </w:rPr>
          <m:t>u</m:t>
        </m:r>
        <m:r>
          <m:rPr/>
          <w:rPr>
            <w:color w:val="auto"/>
          </w:rPr>
          <m:t>|</m:t>
        </m:r>
        <m:r>
          <m:rPr>
            <m:sty m:val="b"/>
          </m:rPr>
          <w:rPr>
            <w:color w:val="auto"/>
          </w:rPr>
          <m:t>u</m:t>
        </m:r>
      </m:oMath>
      <w:r>
        <w:rPr>
          <w:color w:val="auto"/>
        </w:rPr>
        <w:t xml:space="preserve">, where </w:t>
      </w:r>
      <m:oMath>
        <m:r>
          <m:rPr/>
          <w:rPr>
            <w:color w:val="auto"/>
          </w:rPr>
          <m:t>β</m:t>
        </m:r>
      </m:oMath>
      <w:r>
        <w:rPr>
          <w:color w:val="auto"/>
        </w:rPr>
        <w:t xml:space="preserve"> is the non-Darcy coefficient. This correction has not been implemented or tested in the current codebase; its effect on the Jacobian diagonal dominance and AMG spectral radius during high-velocity gas flowback conditions warrants dedicated investigation in future work.</w:t>
      </w:r>
    </w:p>
    <w:p w14:paraId="5D679455">
      <w:pPr>
        <w:pStyle w:val="4"/>
        <w:spacing w:before="360" w:after="120"/>
        <w:ind w:firstLine="0"/>
        <w:rPr>
          <w:color w:val="auto"/>
        </w:rPr>
      </w:pPr>
      <w:bookmarkStart w:id="26" w:name="conclusions"/>
      <w:r>
        <w:rPr>
          <w:color w:val="auto"/>
        </w:rPr>
        <w:t>5 Conclusions</w:t>
      </w:r>
      <w:bookmarkEnd w:id="26"/>
    </w:p>
    <w:p w14:paraId="47777C0F">
      <w:pPr>
        <w:pStyle w:val="23"/>
        <w:spacing w:before="0" w:after="120"/>
        <w:ind w:firstLine="480" w:firstLineChars="200"/>
        <w:jc w:val="both"/>
        <w:rPr>
          <w:color w:val="auto"/>
        </w:rPr>
      </w:pPr>
      <w:r>
        <w:rPr>
          <w:color w:val="auto"/>
        </w:rPr>
        <w:t>This paper has presented a fracture-conforming 2.5D PEBI black-oil simulation framework whose defining contribution is the demonstration that mesh generation, pressure-system preconditioning, and parallel communication protocols can—and should—be treated as a single co-design problem. The principal findings are as follows.</w:t>
      </w:r>
    </w:p>
    <w:p w14:paraId="450A4A55">
      <w:pPr>
        <w:numPr>
          <w:ilvl w:val="0"/>
          <w:numId w:val="6"/>
        </w:numPr>
        <w:tabs>
          <w:tab w:val="left" w:pos="0"/>
        </w:tabs>
        <w:spacing w:before="0" w:after="120"/>
        <w:ind w:firstLine="480" w:firstLineChars="200"/>
        <w:jc w:val="both"/>
        <w:rPr>
          <w:color w:val="auto"/>
        </w:rPr>
      </w:pPr>
      <w:r>
        <w:rPr>
          <w:color w:val="auto"/>
        </w:rPr>
        <w:t>The density-constrained PEBI generator preserves K-orthogonality (θ ≤ 5°) on 97.1% of control-volume faces in the baseline configuration, with median θ = 1.2°, and on 95.1 ± 0.8% (mean ± 1σ, n = 25 realizations) in the DFN configuration (1,247 natural fractures). Lloyd smoothing improves K-orthogonality monotonically—from 96.4% post-CDT to 97.1% after 50 iterations—confirming that centroidal optimization and orthogonality preservation are mutually reinforcing operations. Near-fracture pressure errors reach as low as 0.31% on the single-phase Ei-function benchmark, representing improvements of 53.0%, 66.3%, and 83.4% over EDFM (0.66%), Cartesian LGR (0.92%), and uniform Cartesian (1.87%) discretizations.</w:t>
      </w:r>
      <m:oMath>
        <m:r>
          <m:rPr/>
          <w:rPr>
            <w:color w:val="auto"/>
          </w:rPr>
          <m:t>θ≤</m:t>
        </m:r>
        <m:sSup>
          <m:sSupPr>
            <m:ctrlPr>
              <w:rPr>
                <w:color w:val="auto"/>
              </w:rPr>
            </m:ctrlPr>
          </m:sSupPr>
          <m:e>
            <m:r>
              <m:rPr/>
              <w:rPr>
                <w:color w:val="auto"/>
              </w:rPr>
              <m:t>5</m:t>
            </m:r>
            <m:ctrlPr>
              <w:rPr>
                <w:color w:val="auto"/>
              </w:rPr>
            </m:ctrlPr>
          </m:e>
          <m:sup>
            <m:r>
              <m:rPr/>
              <w:rPr>
                <w:color w:val="auto"/>
              </w:rPr>
              <m:t>∘</m:t>
            </m:r>
            <m:ctrlPr>
              <w:rPr>
                <w:color w:val="auto"/>
              </w:rPr>
            </m:ctrlPr>
          </m:sup>
        </m:sSup>
      </m:oMath>
      <m:oMath>
        <m:r>
          <m:rPr/>
          <w:rPr>
            <w:color w:val="auto"/>
          </w:rPr>
          <m:t>θ=</m:t>
        </m:r>
        <m:sSup>
          <m:sSupPr>
            <m:ctrlPr>
              <w:rPr>
                <w:color w:val="auto"/>
              </w:rPr>
            </m:ctrlPr>
          </m:sSupPr>
          <m:e>
            <m:r>
              <m:rPr/>
              <w:rPr>
                <w:color w:val="auto"/>
              </w:rPr>
              <m:t>1.2</m:t>
            </m:r>
            <m:ctrlPr>
              <w:rPr>
                <w:color w:val="auto"/>
              </w:rPr>
            </m:ctrlPr>
          </m:e>
          <m:sup>
            <m:r>
              <m:rPr/>
              <w:rPr>
                <w:color w:val="auto"/>
              </w:rPr>
              <m:t>∘</m:t>
            </m:r>
            <m:ctrlPr>
              <w:rPr>
                <w:color w:val="auto"/>
              </w:rPr>
            </m:ctrlPr>
          </m:sup>
        </m:sSup>
      </m:oMath>
      <m:oMath>
        <m:r>
          <m:rPr/>
          <w:rPr>
            <w:color w:val="auto"/>
          </w:rPr>
          <m:t>95.1±0.8%</m:t>
        </m:r>
      </m:oMath>
      <m:oMath>
        <m:r>
          <m:rPr/>
          <w:rPr>
            <w:color w:val="auto"/>
          </w:rPr>
          <m:t>±</m:t>
        </m:r>
      </m:oMath>
      <m:oMath>
        <m:r>
          <m:rPr/>
          <w:rPr>
            <w:color w:val="auto"/>
          </w:rPr>
          <m:t>σ</m:t>
        </m:r>
      </m:oMath>
      <m:oMath>
        <m:r>
          <m:rPr/>
          <w:rPr>
            <w:color w:val="auto"/>
          </w:rPr>
          <m:t>n=25</m:t>
        </m:r>
      </m:oMath>
    </w:p>
    <w:p w14:paraId="1B8DBECB">
      <w:pPr>
        <w:numPr>
          <w:ilvl w:val="0"/>
          <w:numId w:val="6"/>
        </w:numPr>
        <w:tabs>
          <w:tab w:val="left" w:pos="0"/>
        </w:tabs>
        <w:spacing w:before="0" w:after="120"/>
        <w:ind w:firstLine="480" w:firstLineChars="200"/>
        <w:jc w:val="both"/>
        <w:rPr>
          <w:color w:val="auto"/>
        </w:rPr>
      </w:pPr>
      <w:r>
        <w:rPr>
          <w:color w:val="auto"/>
        </w:rPr>
        <w:t>The CPR–SA-AMG preconditioner reduces GMRES iterations from 312 (Block-ILU(0)) to 21 on the base five-well configuration, a 72.7% reduction in linear-solution time. Mesh-isolation experiments—running identical CPR–SA-AMG on a Cartesian LGR grid of equal cell count (38 iterations; 3.87 s)—confirm that K-orthogonality independently accelerates the solver by a factor of 1.81×. The spectral conditioning proxy, estimated via the implicitly restarted Arnoldi method (tolerance 10⁻⁶, restart dimension 30) and cross-validated against sparse LU factorization (agreement within 15%), is κ̂(A) ≈ 3.7 × 10⁶ for the base PEBI case.</w:t>
      </w:r>
      <m:oMath>
        <m:acc>
          <m:accPr>
            <m:chr m:val="0302"/>
          </m:accPr>
          <m:e>
            <m:r>
              <w:rPr>
                <w:rFonts w:ascii="Cambria Math" w:hAnsi="Cambria Math"/>
                <w:i/>
              </w:rPr>
              <m:t xml:space="preserve">κ</m:t>
            </m:r>
          </m:e>
        </m:acc>
        <m:r>
          <w:rPr>
            <w:rFonts w:ascii="Cambria Math" w:hAnsi="Cambria Math"/>
          </w:rPr>
          <m:t xml:space="preserve">(</m:t>
        </m:r>
        <m:r>
          <w:rPr>
            <w:rFonts w:ascii="Cambria Math" w:hAnsi="Cambria Math"/>
            <w:i/>
            <w:b/>
          </w:rPr>
          <m:t xml:space="preserve">A</m:t>
        </m:r>
        <m:r>
          <w:rPr>
            <w:rFonts w:ascii="Cambria Math" w:hAnsi="Cambria Math"/>
          </w:rPr>
          <m:t xml:space="preserve">)</m:t>
        </m:r>
      </m:oMath>
      <m:oMath>
        <m:sSup>
          <m:sSupPr>
            <m:ctrlPr>
              <w:rPr>
                <w:color w:val="auto"/>
              </w:rPr>
            </m:ctrlPr>
          </m:sSupPr>
          <m:e>
            <m:r>
              <m:rPr/>
              <w:rPr>
                <w:color w:val="auto"/>
              </w:rPr>
              <m:t>10</m:t>
            </m:r>
            <m:ctrlPr>
              <w:rPr>
                <w:color w:val="auto"/>
              </w:rPr>
            </m:ctrlPr>
          </m:e>
          <m:sup>
            <m:r>
              <m:rPr/>
              <w:rPr>
                <w:color w:val="auto"/>
              </w:rPr>
              <m:t>−6</m:t>
            </m:r>
            <m:ctrlPr>
              <w:rPr>
                <w:color w:val="auto"/>
              </w:rPr>
            </m:ctrlPr>
          </m:sup>
        </m:sSup>
        <m:r>
          <m:rPr/>
          <w:rPr>
            <w:color w:val="auto"/>
          </w:rPr>
          <m:t>κ(A)≈3.7×</m:t>
        </m:r>
        <m:sSup>
          <m:sSupPr>
            <m:ctrlPr>
              <w:rPr>
                <w:color w:val="auto"/>
              </w:rPr>
            </m:ctrlPr>
          </m:sSupPr>
          <m:e>
            <m:r>
              <m:rPr/>
              <w:rPr>
                <w:color w:val="auto"/>
              </w:rPr>
              <m:t>10</m:t>
            </m:r>
            <m:ctrlPr>
              <w:rPr>
                <w:color w:val="auto"/>
              </w:rPr>
            </m:ctrlPr>
          </m:e>
          <m:sup>
            <m:r>
              <m:rPr/>
              <w:rPr>
                <w:color w:val="auto"/>
              </w:rPr>
              <m:t>6</m:t>
            </m:r>
            <m:ctrlPr>
              <w:rPr>
                <w:color w:val="auto"/>
              </w:rPr>
            </m:ctrlPr>
          </m:sup>
        </m:sSup>
      </m:oMath>
    </w:p>
    <w:p w14:paraId="12462760">
      <w:pPr>
        <w:numPr>
          <w:ilvl w:val="0"/>
          <w:numId w:val="6"/>
        </w:numPr>
        <w:tabs>
          <w:tab w:val="left" w:pos="0"/>
        </w:tabs>
        <w:spacing w:before="0" w:after="120"/>
        <w:ind w:firstLine="480" w:firstLineChars="200"/>
        <w:jc w:val="both"/>
        <w:rPr>
          <w:color w:val="auto"/>
        </w:rPr>
      </w:pPr>
      <w:r>
        <w:rPr>
          <w:color w:val="auto"/>
        </w:rPr>
        <w:t>On the five-well pad configuration, persistent non-blocking MPI communication sustains 82.0% strong-scaling efficiency and 91.3% weak-scaling efficiency at 512 cores, with an overlap efficiency of η = 0.73. The load imbalance rises from 3.2% at 512 cores to 4.7% at 1,024 cores, attributable to ParMETIS connectivity constraints at fine-grained partition counts. The independently measured serial fraction (f = 0.0018 ± 0.0002 via Intel VTune; 95% CI) is small enough that communication overhead, not Amdahl serial bottleneck, dominates efficiency loss beyond 512 cores. NUMA-aware process placement and a single-hop InfiniBand fabric ensure that the reported scaling figures are reproducible on comparable fat-tree architectures.</w:t>
      </w:r>
      <m:oMath>
        <m:r>
          <m:rPr/>
          <w:rPr>
            <w:color w:val="auto"/>
          </w:rPr>
          <m:t>η=0.73</m:t>
        </m:r>
      </m:oMath>
      <m:oMath>
        <m:sSub>
          <m:sSubPr>
            <m:ctrlPr>
              <w:rPr>
                <w:color w:val="auto"/>
              </w:rPr>
            </m:ctrlPr>
          </m:sSubPr>
          <m:e>
            <m:r>
              <m:rPr/>
              <w:rPr>
                <w:color w:val="auto"/>
              </w:rPr>
              <m:t>f</m:t>
            </m:r>
            <m:ctrlPr>
              <w:rPr>
                <w:color w:val="auto"/>
              </w:rPr>
            </m:ctrlPr>
          </m:e>
          <m:sub>
            <m:r>
              <m:rPr>
                <m:nor/>
                <m:sty m:val="p"/>
              </m:rPr>
              <w:rPr>
                <w:b w:val="0"/>
                <w:i w:val="0"/>
                <w:color w:val="auto"/>
              </w:rPr>
              <m:t>VTune</m:t>
            </m:r>
            <m:ctrlPr>
              <w:rPr>
                <w:color w:val="auto"/>
              </w:rPr>
            </m:ctrlPr>
          </m:sub>
        </m:sSub>
        <m:r>
          <m:rPr/>
          <w:rPr>
            <w:color w:val="auto"/>
          </w:rPr>
          <m:t>=0.0018±0.0003</m:t>
        </m:r>
      </m:oMath>
      <m:oMath>
        <m:r>
          <m:rPr/>
          <w:rPr>
            <w:color w:val="auto"/>
          </w:rPr>
          <m:t>f=0.002±0.0004</m:t>
        </m:r>
      </m:oMath>
    </w:p>
    <w:p w14:paraId="3A1666DB">
      <w:pPr>
        <w:numPr>
          <w:ilvl w:val="0"/>
          <w:numId w:val="6"/>
        </w:numPr>
        <w:tabs>
          <w:tab w:val="left" w:pos="0"/>
        </w:tabs>
        <w:spacing w:before="0" w:after="120"/>
        <w:ind w:firstLine="480" w:firstLineChars="200"/>
        <w:jc w:val="both"/>
        <w:rPr>
          <w:color w:val="auto"/>
        </w:rPr>
      </w:pPr>
      <w:r>
        <w:rPr>
          <w:color w:val="auto"/>
        </w:rPr>
        <w:t xml:space="preserve">Under dense natural fracture networks (1,247 fractures, same five-well configuration) analyzed via a 25-realization Monte Carlo ensemble, the spectral conditioning proxy </w:t>
      </w:r>
      <m:oMath>
        <m:acc>
          <m:accPr>
            <m:chr m:val="0302"/>
          </m:accPr>
          <m:e>
            <m:r>
              <w:rPr>
                <w:rFonts w:ascii="Cambria Math" w:hAnsi="Cambria Math"/>
                <w:i/>
              </w:rPr>
              <m:t xml:space="preserve">κ</m:t>
            </m:r>
          </m:e>
        </m:acc>
        <m:r>
          <w:rPr>
            <w:rFonts w:ascii="Cambria Math" w:hAnsi="Cambria Math"/>
          </w:rPr>
          <m:t xml:space="preserve">(</m:t>
        </m:r>
        <m:r>
          <w:rPr>
            <w:rFonts w:ascii="Cambria Math" w:hAnsi="Cambria Math"/>
            <w:i/>
            <w:b/>
          </w:rPr>
          <m:t xml:space="preserve">A</m:t>
        </m:r>
        <m:r>
          <w:rPr>
            <w:rFonts w:ascii="Cambria Math" w:hAnsi="Cambria Math"/>
          </w:rPr>
          <m:t xml:space="preserve">)</m:t>
        </m:r>
      </m:oMath>
      <w:r>
        <w:rPr>
          <w:color w:val="auto"/>
        </w:rPr>
        <w:t xml:space="preserve"> rises by 2.87× (single realization) to 2.94 ± 0.41× (MC ensemble mean ± 1σ, n = 25) — approximately one-sixth of the increase observed with Cartesian LGR — while the ten-year cumulative oil recovery increases by 21.8 ± 4.3% (mean ± 1σ, n = 25). An illustrative SPE 10 benchmark on a geologically distinct quarter-five-spot pattern demonstrates multiphase accuracy on unstructured PEBI grids (cumulative oil deviation 0.93% with 47% of the reference cell count, classified as illustrative owing to permeability-informed mesh seeding). A complementary single-well case (same matrix permeability, different well geometry) yields K-orthogonality of 96.8%, 22 GMRES iterations at matched cells per rank, and 95.4% parallel efficiency at 64 cores (vs. 96.2% for the base case at identical core count), confirming that these performance characteristics are robust to well-pattern variation.</w:t>
      </w:r>
      <m:oMath>
        <m:r>
          <m:rPr/>
          <w:rPr>
            <w:color w:val="auto"/>
          </w:rPr>
          <m:t>2.94±0.41×±σn=2521.8±4.3%±σn=25</m:t>
        </m:r>
      </m:oMath>
    </w:p>
    <w:p w14:paraId="770A428A">
      <w:pPr>
        <w:pStyle w:val="23"/>
        <w:spacing w:before="0" w:after="120"/>
        <w:ind w:firstLine="480" w:firstLineChars="200"/>
        <w:jc w:val="both"/>
        <w:rPr>
          <w:color w:val="auto"/>
        </w:rPr>
      </w:pPr>
      <w:r>
        <w:rPr>
          <w:color w:val="auto"/>
        </w:rPr>
        <w:t>Taken together, these results establish that, within the rigorously defined scope of 2.5D extrusion for reservoirs dominated by vertical or near-vertical fractures, fracture-conforming discretization restructures the algebraic properties of the fully implicit system in a manner that propagates systematically from geometric fidelity through solver convergence to parallel performance. Extensions to fully compositional systems, fully three-dimensional constrained Voronoi meshing, GPU-accelerated linear algebra, and coupled flow–geomechanics define the natural trajectory for future development of this framework.</w:t>
      </w:r>
    </w:p>
    <w:p w14:paraId="5528BC02">
      <w:pPr>
        <w:pStyle w:val="4"/>
        <w:spacing w:before="360" w:after="120"/>
        <w:ind w:firstLine="0"/>
        <w:rPr>
          <w:color w:val="auto"/>
        </w:rPr>
      </w:pPr>
      <w:bookmarkStart w:id="27" w:name="declaration-of-competing-interest"/>
      <w:r>
        <w:rPr>
          <w:color w:val="auto"/>
        </w:rPr>
        <w:t>Declaration of Competing Interest</w:t>
      </w:r>
      <w:bookmarkEnd w:id="27"/>
    </w:p>
    <w:p w14:paraId="6F7E0E13">
      <w:pPr>
        <w:pStyle w:val="23"/>
        <w:spacing w:before="0" w:after="120"/>
        <w:ind w:firstLine="480" w:firstLineChars="200"/>
        <w:jc w:val="both"/>
        <w:rPr>
          <w:color w:val="auto"/>
        </w:rPr>
      </w:pPr>
      <w:r>
        <w:rPr>
          <w:color w:val="auto"/>
        </w:rPr>
        <w:t>The authors declare that they have no known competing financial interests or personal relationships that could have appeared to influence the work reported in this paper.</w:t>
      </w:r>
    </w:p>
    <w:p w14:paraId="7F1F81D2">
      <w:pPr>
        <w:pStyle w:val="4"/>
        <w:spacing w:before="360" w:after="120"/>
        <w:ind w:firstLine="0"/>
        <w:rPr>
          <w:color w:val="auto"/>
        </w:rPr>
      </w:pPr>
      <w:bookmarkStart w:id="28" w:name="authorship-statement"/>
      <w:r>
        <w:rPr>
          <w:color w:val="auto"/>
        </w:rPr>
        <w:t>Authorship Statement</w:t>
      </w:r>
      <w:bookmarkEnd w:id="28"/>
    </w:p>
    <w:p w14:paraId="471D9BA3">
      <w:pPr>
        <w:pStyle w:val="23"/>
        <w:spacing w:before="0" w:after="120"/>
        <w:ind w:firstLine="480" w:firstLineChars="200"/>
        <w:jc w:val="both"/>
        <w:rPr>
          <w:color w:val="auto"/>
        </w:rPr>
      </w:pPr>
      <w:r>
        <w:rPr>
          <w:color w:val="auto"/>
        </w:rPr>
        <w:t>Rongwang Yin performed code development, simulations, data analysis, and manuscript drafting. Shaowei Zhang contributed to study design, supervision, interpretation of results, and manuscript revision. Both authors approved the final manuscript.</w:t>
      </w:r>
    </w:p>
    <w:p w14:paraId="587BEF93">
      <w:pPr>
        <w:pStyle w:val="4"/>
        <w:spacing w:before="360" w:after="120"/>
        <w:ind w:firstLine="0"/>
        <w:rPr>
          <w:color w:val="auto"/>
        </w:rPr>
      </w:pPr>
      <w:bookmarkStart w:id="29" w:name="computer-code-availability"/>
      <w:r>
        <w:rPr>
          <w:color w:val="auto"/>
        </w:rPr>
        <w:t>Computer Code Availability</w:t>
      </w:r>
      <w:bookmarkEnd w:id="29"/>
    </w:p>
    <w:p w14:paraId="680F0E01">
      <w:pPr>
        <w:pStyle w:val="23"/>
        <w:spacing w:before="0" w:after="120"/>
        <w:ind w:firstLine="480" w:firstLineChars="200"/>
        <w:jc w:val="both"/>
        <w:rPr>
          <w:color w:val="auto"/>
        </w:rPr>
      </w:pPr>
      <w:r>
        <w:rPr>
          <w:color w:val="auto"/>
        </w:rPr>
        <w:t>The numerical framework described in this paper incorporates the open-source PETSc library (version 3.19, https://petsc.org/), ParMETIS (version 4.0.3), and SLEPc (version 3.19). Custom code components—including the PEBI mesh generator, CPR–SA-AMG preconditioner wrapper, and non-blocking MPI communication scheduler—are available in a public GitHub repository (https://github.com/[repository]), archived on Zenodo with DOI [to be assigned upon acceptance]. The repository includes: (i) the complete PEBI mesh generation pipeline with the tanh density function implementation, (ii) configuration files and parameter scripts to reproduce all numerical experiments reported in Sections 3.1–3.8, (iii) the SPE 10 comparative solution input files and the re-computed Cartesian reference solution, and (iv) a Docker container definition for reproducible execution on any x86-64 Linux platform. The SPE 10 comparative solution dataset is publicly available from the Society of Petroleum Engineers (https://www.spe.org/web/csp/datasets/set02.htm).</w:t>
      </w:r>
    </w:p>
    <w:p w14:paraId="41E33DC9">
      <w:pPr>
        <w:pStyle w:val="4"/>
        <w:spacing w:before="360" w:after="120"/>
        <w:ind w:firstLine="0"/>
        <w:rPr>
          <w:color w:val="auto"/>
        </w:rPr>
      </w:pPr>
      <w:bookmarkStart w:id="30" w:name="data-availability"/>
      <w:r>
        <w:rPr>
          <w:color w:val="auto"/>
        </w:rPr>
        <w:t>Data Availability</w:t>
      </w:r>
      <w:bookmarkEnd w:id="30"/>
    </w:p>
    <w:p w14:paraId="38445B68">
      <w:pPr>
        <w:pStyle w:val="23"/>
        <w:spacing w:before="0" w:after="120"/>
        <w:ind w:firstLine="480" w:firstLineChars="200"/>
        <w:jc w:val="both"/>
        <w:rPr>
          <w:color w:val="auto"/>
        </w:rPr>
      </w:pPr>
      <w:r>
        <w:rPr>
          <w:color w:val="auto"/>
        </w:rPr>
        <w:t>The datasets generated and analyzed during the current study are available from the corresponding author on reasonable request.</w:t>
      </w:r>
    </w:p>
    <w:p w14:paraId="0977A01B">
      <w:pPr>
        <w:pStyle w:val="4"/>
        <w:spacing w:before="360" w:after="120"/>
        <w:ind w:firstLine="0"/>
        <w:rPr>
          <w:color w:val="auto"/>
        </w:rPr>
      </w:pPr>
      <w:bookmarkStart w:id="31" w:name="use-of-ai-assisted-tools"/>
      <w:r>
        <w:rPr>
          <w:color w:val="auto"/>
        </w:rPr>
        <w:t>Use of AI-Assisted Tools</w:t>
      </w:r>
      <w:bookmarkEnd w:id="31"/>
    </w:p>
    <w:p w14:paraId="4B22DEC2">
      <w:pPr>
        <w:pStyle w:val="23"/>
        <w:spacing w:before="0" w:after="120"/>
        <w:ind w:firstLine="480" w:firstLineChars="200"/>
        <w:jc w:val="both"/>
        <w:rPr>
          <w:color w:val="auto"/>
        </w:rPr>
      </w:pPr>
      <w:r>
        <w:rPr>
          <w:color w:val="auto"/>
        </w:rPr>
        <w:t>During the preparation of this manuscript, the authors used Claude (Anthropic) for language editing and formatting assistance. All scientific content, data analysis, numerical results, and conclusions are the original work of the authors. The authors take full responsibility for the integrity and accuracy of the manuscript.</w:t>
      </w:r>
    </w:p>
    <w:p w14:paraId="09279937">
      <w:pPr>
        <w:pStyle w:val="4"/>
        <w:spacing w:before="360" w:after="120"/>
        <w:ind w:firstLine="0"/>
        <w:rPr>
          <w:color w:val="auto"/>
        </w:rPr>
      </w:pPr>
      <w:bookmarkStart w:id="32" w:name="acknowledgments"/>
      <w:r>
        <w:rPr>
          <w:color w:val="auto"/>
        </w:rPr>
        <w:t>Acknowledgments</w:t>
      </w:r>
      <w:bookmarkEnd w:id="32"/>
    </w:p>
    <w:p w14:paraId="062A5599">
      <w:pPr>
        <w:pStyle w:val="23"/>
        <w:rPr>
          <w:color w:val="auto"/>
        </w:rPr>
      </w:pPr>
      <w:r>
        <w:rPr>
          <w:rFonts w:hint="eastAsia" w:ascii="Times New Roman" w:hAnsi="Times New Roman" w:eastAsia="Times New Roman" w:cs="Times New Roman"/>
          <w:color w:val="auto"/>
          <w:sz w:val="24"/>
          <w:szCs w:val="24"/>
        </w:rPr>
        <w:t>This work was supported in part by University Natural Sciences Research Project of Anhui Province (Project Number: 2022AH051797), Natural Science Foundation of Anhui Province (No: 2022AH052810) and Natural Science Foundation of Anhui Province (Project No: 2023AH052821).</w:t>
      </w:r>
    </w:p>
    <w:p w14:paraId="2C78EF9F">
      <w:pPr>
        <w:pStyle w:val="4"/>
        <w:spacing w:before="360" w:after="120"/>
        <w:ind w:firstLine="0"/>
        <w:rPr>
          <w:color w:val="auto"/>
        </w:rPr>
      </w:pPr>
      <w:bookmarkStart w:id="33" w:name="references"/>
      <w:r>
        <w:rPr>
          <w:color w:val="auto"/>
        </w:rPr>
        <w:t>References</w:t>
      </w:r>
      <w:bookmarkEnd w:id="33"/>
    </w:p>
    <w:p w14:paraId="66B83CDB">
      <w:pPr>
        <w:pStyle w:val="23"/>
        <w:spacing w:before="0" w:after="120"/>
        <w:ind w:firstLine="480" w:firstLineChars="200"/>
        <w:jc w:val="both"/>
        <w:rPr>
          <w:color w:val="auto"/>
        </w:rPr>
      </w:pPr>
      <w:r>
        <w:rPr>
          <w:color w:val="auto"/>
        </w:rPr>
        <w:t>Aavatsmark, I., Barkve, T., Bøe, Ø., Mannseth, T., 1998a. Discretization on unstructured grids for inhomogeneous, anisotropic media. Part I: Derivation of the methods. SIAM Journal on Scientific Computing 19 (5), 1700–1716. https://doi.org/10.1137/S1064827595293582</w:t>
      </w:r>
    </w:p>
    <w:p w14:paraId="23718237">
      <w:pPr>
        <w:pStyle w:val="3"/>
        <w:spacing w:before="0" w:after="120"/>
        <w:ind w:firstLine="480" w:firstLineChars="200"/>
        <w:jc w:val="both"/>
        <w:rPr>
          <w:color w:val="auto"/>
        </w:rPr>
      </w:pPr>
      <w:r>
        <w:rPr>
          <w:color w:val="auto"/>
        </w:rPr>
        <w:t>Amdahl, G.M., 1967. Validity of the single processor approach to achieving large scale computing capabilities. In: AFIPS Spring Joint Computer Conference, Atlantic City, pp. 483–485. https://doi.org/10.1145/1465482.1465560</w:t>
      </w:r>
    </w:p>
    <w:p w14:paraId="5B3D5163">
      <w:pPr>
        <w:pStyle w:val="3"/>
        <w:spacing w:before="0" w:after="120"/>
        <w:ind w:firstLine="480" w:firstLineChars="200"/>
        <w:jc w:val="both"/>
        <w:rPr>
          <w:color w:val="auto"/>
        </w:rPr>
      </w:pPr>
      <w:r>
        <w:rPr>
          <w:color w:val="auto"/>
        </w:rPr>
        <w:t>Behie, G.A., Forsyth Jr., P.A., 1984. Incomplete factorization methods for fully implicit simulation of enhanced oil recovery. SIAM Journal on Scientific and Statistical Computing 5 (3), 543–561. https://doi.org/10.1137/0905040</w:t>
      </w:r>
    </w:p>
    <w:p w14:paraId="5C3A3C01">
      <w:pPr>
        <w:pStyle w:val="3"/>
        <w:spacing w:before="0" w:after="120"/>
        <w:ind w:firstLine="480" w:firstLineChars="200"/>
        <w:jc w:val="both"/>
        <w:rPr>
          <w:color w:val="auto"/>
        </w:rPr>
      </w:pPr>
      <w:r>
        <w:rPr>
          <w:color w:val="auto"/>
        </w:rPr>
        <w:t>Bourdet, D., Ayoub, J.A., Pirard, Y.M., 1989. Use of pressure derivative in well-test interpretation. SPE Formation Evaluation 4 (2), 293–302. https://doi.org/10.2118/12777-PA</w:t>
      </w:r>
    </w:p>
    <w:p w14:paraId="25A9DEF0">
      <w:pPr>
        <w:rPr>
          <w:color w:val="auto"/>
        </w:rPr>
      </w:pPr>
      <w:r>
        <w:rPr>
          <w:color w:val="auto"/>
          <w:sz w:val="22"/>
        </w:rPr>
        <w:t>Cavalcante, T.S., Hajibeygi, H., Voskov, D., 2024. Simulation of two-phase flow in 3D fractured reservoirs using a projection-based Embedded Discrete Fracture Model on Unstructured tetrahedral grids (pEDFM-U). Advances in Water Resources 185, 104682. https://doi.org/10.1016/j.advwatres.2024.104682</w:t>
      </w:r>
    </w:p>
    <w:p w14:paraId="7E37CC44">
      <w:pPr>
        <w:pStyle w:val="3"/>
        <w:spacing w:before="0" w:after="120"/>
        <w:ind w:firstLine="480" w:firstLineChars="200"/>
        <w:jc w:val="both"/>
        <w:rPr>
          <w:color w:val="auto"/>
        </w:rPr>
      </w:pPr>
      <w:r>
        <w:rPr>
          <w:color w:val="auto"/>
        </w:rPr>
        <w:t>Christie, M.A., Blunt, M.J., 2001. Tenth SPE comparative solution project: a comparison of upscaling techniques. SPE Reservoir Evaluation &amp; Engineering 4 (4), 308–317. https://doi.org/10.2118/72469-PA</w:t>
      </w:r>
    </w:p>
    <w:p w14:paraId="48F65633">
      <w:pPr>
        <w:rPr>
          <w:color w:val="auto"/>
        </w:rPr>
      </w:pPr>
      <w:r>
        <w:rPr>
          <w:color w:val="auto"/>
          <w:sz w:val="22"/>
        </w:rPr>
        <w:t>Cremon, M.A., Franc, J., Hamon, F.P., 2024. Constrained pressure-temperature residual (CPTR) preconditioner performance for large-scale thermal CO₂ injection simulation. Computational Geosciences 28, 1291–1309. https://doi.org/10.1007/s10596-024-10292-z</w:t>
      </w:r>
    </w:p>
    <w:p w14:paraId="1DD62287">
      <w:pPr>
        <w:rPr>
          <w:color w:val="auto"/>
        </w:rPr>
      </w:pPr>
      <w:r>
        <w:rPr>
          <w:color w:val="auto"/>
          <w:sz w:val="22"/>
        </w:rPr>
        <w:t>Dong, R., Alpak, F.O., Wheeler, M.F., 2023. Accurate two-phase flow simulation in faulted reservoirs by combining two-point flux approximation and mimetic finite difference methods. SPE Journal 28 (1), 111–129. https://doi.org/10.2118/206298-PA</w:t>
      </w:r>
    </w:p>
    <w:p w14:paraId="6D391479">
      <w:pPr>
        <w:pStyle w:val="3"/>
        <w:spacing w:before="0" w:after="120"/>
        <w:ind w:firstLine="480" w:firstLineChars="200"/>
        <w:jc w:val="both"/>
        <w:rPr>
          <w:color w:val="auto"/>
        </w:rPr>
      </w:pPr>
      <w:r>
        <w:rPr>
          <w:color w:val="auto"/>
        </w:rPr>
        <w:t>Economides, M.J., Nolte, K.G., 2000. Reservoir Stimulation, 3rd ed. John Wiley &amp; Sons, Chichester.</w:t>
      </w:r>
    </w:p>
    <w:p w14:paraId="1EAB3EAB">
      <w:pPr>
        <w:pStyle w:val="3"/>
        <w:spacing w:before="0" w:after="120"/>
        <w:ind w:firstLine="480" w:firstLineChars="200"/>
        <w:jc w:val="both"/>
        <w:rPr>
          <w:color w:val="auto"/>
        </w:rPr>
      </w:pPr>
      <w:r>
        <w:rPr>
          <w:color w:val="auto"/>
        </w:rPr>
        <w:t>Gustafson, J.L., 1988. Reevaluating Amdahl’s Law. Communications of the ACM 31 (5), 532–533. https://doi.org/10.1145/42411.42415</w:t>
      </w:r>
    </w:p>
    <w:p w14:paraId="060326B5">
      <w:pPr>
        <w:rPr>
          <w:color w:val="auto"/>
        </w:rPr>
      </w:pPr>
      <w:r>
        <w:rPr>
          <w:color w:val="auto"/>
          <w:sz w:val="22"/>
        </w:rPr>
        <w:t>Jiao, K., Han, D., Chen, J., Yu, B., 2024. The enriched-embedded discrete fracture model (nEDFM) for fluid flow in fractured porous media. Advances in Water Resources 184, 104618. https://doi.org/10.1016/j.advwatres.2024.104618</w:t>
      </w:r>
    </w:p>
    <w:p w14:paraId="1E8F15E3">
      <w:pPr>
        <w:pStyle w:val="3"/>
        <w:spacing w:before="0" w:after="120"/>
        <w:ind w:firstLine="480" w:firstLineChars="200"/>
        <w:jc w:val="both"/>
        <w:rPr>
          <w:color w:val="auto"/>
        </w:rPr>
      </w:pPr>
      <w:r>
        <w:rPr>
          <w:color w:val="auto"/>
        </w:rPr>
        <w:t>Karimi-Fard, M., Durlofsky, L.J., Aziz, K., 2004. An efficient discrete-fracture model applicable for general-purpose reservoir simulators. SPE Journal 9 (2), 227–236. https://doi.org/10.2118/88812-PA</w:t>
      </w:r>
    </w:p>
    <w:p w14:paraId="28A4F035">
      <w:pPr>
        <w:pStyle w:val="3"/>
        <w:spacing w:before="0" w:after="120"/>
        <w:ind w:firstLine="480" w:firstLineChars="200"/>
        <w:jc w:val="both"/>
        <w:rPr>
          <w:color w:val="auto"/>
        </w:rPr>
      </w:pPr>
      <w:r>
        <w:rPr>
          <w:color w:val="auto"/>
        </w:rPr>
        <w:t>Karypis, G., Kumar, V., 1998. A fast and high quality multilevel scheme for partitioning irregular graphs. SIAM Journal on Scientific Computing 20 (1), 359–392. https://doi.org/10.1137/S1064827595287997</w:t>
      </w:r>
    </w:p>
    <w:p w14:paraId="6539CCEC">
      <w:pPr>
        <w:rPr>
          <w:color w:val="auto"/>
        </w:rPr>
      </w:pPr>
      <w:r>
        <w:rPr>
          <w:color w:val="auto"/>
          <w:sz w:val="22"/>
        </w:rPr>
        <w:t>Klemetsdal, O.S., Rasmussen, A.F., Møyner, O., Lie, K.-A., 2025. Grid-orientation effects in the 11th SPE Comparative Solution Project using unstructured grids and consistent discretizations. SPE Journal (in press). https://doi.org/10.2118/223591-PA</w:t>
      </w:r>
    </w:p>
    <w:p w14:paraId="094A5094">
      <w:pPr>
        <w:pStyle w:val="3"/>
        <w:spacing w:before="0" w:after="120"/>
        <w:ind w:firstLine="480" w:firstLineChars="200"/>
        <w:jc w:val="both"/>
        <w:rPr>
          <w:color w:val="auto"/>
        </w:rPr>
      </w:pPr>
      <w:r>
        <w:rPr>
          <w:color w:val="auto"/>
        </w:rPr>
        <w:t>Mills, R.T., Adams, M.F., Balay, S., Brown, J., Faibussowitsch, J., Isaac, T., Knepley, M.G., Munson, T., Suh, H., Zampini, S., Zhang, H., Zhang, J., 2025. PETSc/TAO developments for GPU-based early exascale systems. International Journal of High Performance Computing Applications 39 (2), 306–325. https://doi.org/10.1177/10943420241303710</w:t>
      </w:r>
    </w:p>
    <w:p w14:paraId="54FC3422">
      <w:pPr>
        <w:pStyle w:val="3"/>
        <w:spacing w:before="0" w:after="120"/>
        <w:ind w:firstLine="480" w:firstLineChars="200"/>
        <w:jc w:val="both"/>
        <w:rPr>
          <w:color w:val="auto"/>
        </w:rPr>
      </w:pPr>
      <w:r>
        <w:rPr>
          <w:color w:val="auto"/>
        </w:rPr>
        <w:t>Moinfar, A., Varavei, A., Sepehrnoori, K., Johns, R.T., 2014. Development of an efficient embedded discrete fracture model for 3D compositional reservoir simulation in fractured reservoirs. SPE Journal 19 (2), 289–303. https://doi.org/10.2118/154246-PA</w:t>
      </w:r>
    </w:p>
    <w:p w14:paraId="3172F040">
      <w:pPr>
        <w:rPr>
          <w:color w:val="auto"/>
        </w:rPr>
      </w:pPr>
      <w:r>
        <w:rPr>
          <w:color w:val="auto"/>
          <w:sz w:val="22"/>
        </w:rPr>
        <w:t>Nilsen, H.M., Ahmed, E., Rasmussen, A.F., Bao, K., Skille, T., 2023. Constrained pressure residual preconditioner including wells for reservoir simulation. In: Proceedings of the SPE Reservoir Simulation Conference, Galveston, Texas, SPE-212172-MS. https://doi.org/10.2118/212172-MS</w:t>
      </w:r>
    </w:p>
    <w:p w14:paraId="5F43FFD1">
      <w:pPr>
        <w:pStyle w:val="3"/>
        <w:spacing w:before="0" w:after="120"/>
        <w:ind w:firstLine="480" w:firstLineChars="200"/>
        <w:jc w:val="both"/>
        <w:rPr>
          <w:color w:val="auto"/>
        </w:rPr>
      </w:pPr>
      <w:r>
        <w:rPr>
          <w:color w:val="auto"/>
        </w:rPr>
        <w:t>Palagi, C.L., Aziz, K., 1994a. Use of Voronoi grid in reservoir simulation. SPE Reservoir Engineering 9 (2), 69–77. https://doi.org/10.2118/22889-PA</w:t>
      </w:r>
    </w:p>
    <w:p w14:paraId="754D0E88">
      <w:pPr>
        <w:pStyle w:val="3"/>
        <w:spacing w:before="0" w:after="120"/>
        <w:ind w:firstLine="480" w:firstLineChars="200"/>
        <w:jc w:val="both"/>
        <w:rPr>
          <w:color w:val="auto"/>
        </w:rPr>
      </w:pPr>
      <w:r>
        <w:rPr>
          <w:color w:val="auto"/>
        </w:rPr>
        <w:t>Peaceman, D.W., 1983. Interpretation of well-block pressures in numerical reservoir simulation with nonsquare grid blocks and anisotropic permeability. SPE Journal 23 (3), 531–543. https://doi.org/10.2118/10528-PA</w:t>
      </w:r>
    </w:p>
    <w:p w14:paraId="6D24351A">
      <w:pPr>
        <w:rPr>
          <w:color w:val="auto"/>
        </w:rPr>
      </w:pPr>
      <w:r>
        <w:rPr>
          <w:color w:val="auto"/>
          <w:sz w:val="22"/>
        </w:rPr>
        <w:t>Poli, R., Machado, A., Sepehrnoori, K., 2024. Advancements and perspectives in embedded discrete fracture models (EDFM). Energies 17 (14), 3511. https://doi.org/10.3390/en17143511</w:t>
      </w:r>
    </w:p>
    <w:p w14:paraId="2AC1F4B6">
      <w:pPr>
        <w:rPr>
          <w:color w:val="auto"/>
        </w:rPr>
      </w:pPr>
      <w:r>
        <w:rPr>
          <w:color w:val="auto"/>
          <w:sz w:val="22"/>
        </w:rPr>
        <w:t>Rao, X., Guo, X., He, Y., Kwak, H., 2025. A first streamline-based simulation method within the projection-based embedded discrete fracture model (pEDFM). Computers and Geotechnics 185, 106074. https://doi.org/10.1016/j.compgeo.2025.106074</w:t>
      </w:r>
    </w:p>
    <w:p w14:paraId="2BA0D65A">
      <w:pPr>
        <w:rPr>
          <w:color w:val="auto"/>
        </w:rPr>
      </w:pPr>
      <w:r>
        <w:rPr>
          <w:color w:val="auto"/>
          <w:sz w:val="22"/>
        </w:rPr>
        <w:t>Rashid, H.U., Olorode, O., 2024. A continuous projection-based EDFM model for flow in fractured reservoirs. SPE Journal 29 (1), 476–492. https://doi.org/10.2118/214653-PA</w:t>
      </w:r>
    </w:p>
    <w:p w14:paraId="465DC701">
      <w:pPr>
        <w:pStyle w:val="3"/>
        <w:spacing w:before="0" w:after="120"/>
        <w:ind w:firstLine="480" w:firstLineChars="200"/>
        <w:jc w:val="both"/>
        <w:rPr>
          <w:color w:val="auto"/>
        </w:rPr>
      </w:pPr>
      <w:r>
        <w:rPr>
          <w:color w:val="auto"/>
        </w:rPr>
        <w:t>Ruppert, J., 1995. A Delaunay refinement algorithm for quality 2-dimensional mesh generation. Journal of Algorithms 18 (3), 548–585. https://doi.org/10.1006/jagm.1995.1021</w:t>
      </w:r>
    </w:p>
    <w:p w14:paraId="0F8942C3">
      <w:pPr>
        <w:pStyle w:val="3"/>
        <w:spacing w:before="0" w:after="120"/>
        <w:ind w:firstLine="480" w:firstLineChars="200"/>
        <w:jc w:val="both"/>
        <w:rPr>
          <w:color w:val="auto"/>
        </w:rPr>
      </w:pPr>
      <w:r>
        <w:rPr>
          <w:color w:val="auto"/>
        </w:rPr>
        <w:t>Saad, Y., 2003. Iterative Methods for Sparse Linear Systems, 2nd ed. Society for Industrial and Applied Mathematics, Philadelphia. https://doi.org/10.1137/1.9780898718003</w:t>
      </w:r>
    </w:p>
    <w:p w14:paraId="0048B93D">
      <w:pPr>
        <w:pStyle w:val="3"/>
        <w:spacing w:before="0" w:after="120"/>
        <w:ind w:firstLine="480" w:firstLineChars="200"/>
        <w:jc w:val="both"/>
        <w:rPr>
          <w:color w:val="auto"/>
        </w:rPr>
      </w:pPr>
      <w:r>
        <w:rPr>
          <w:color w:val="auto"/>
        </w:rPr>
        <w:t>Schlumberger, 2023. ECLIPSE Technical Description 2023.1. Schlumberger, Houston.</w:t>
      </w:r>
    </w:p>
    <w:p w14:paraId="0637FB00">
      <w:pPr>
        <w:rPr>
          <w:color w:val="auto"/>
        </w:rPr>
      </w:pPr>
      <w:r>
        <w:rPr>
          <w:color w:val="auto"/>
          <w:sz w:val="22"/>
        </w:rPr>
        <w:t>Shi, L., Yang, H., Ji, Z., Jiang, L., Yang, C., 2024. Field-split preconditioned active-set reduced-space algorithm for complex black oil reservoir simulation at large-scale. Journal of Computational Physics 517, 113319. https://doi.org/10.1016/j.jcp.2024.113319</w:t>
      </w:r>
    </w:p>
    <w:p w14:paraId="52CDDB4B">
      <w:pPr>
        <w:rPr>
          <w:color w:val="auto"/>
        </w:rPr>
      </w:pPr>
      <w:r>
        <w:rPr>
          <w:color w:val="auto"/>
          <w:sz w:val="22"/>
        </w:rPr>
        <w:t>da Silva, L.F., Contreras, F.R.L., Albuquerque, P.V.P., Lyra, P.R.M., Carvalho, D.K.E., 2024. A modified flux corrected transport method coupled with the MPFA-H formulation for the numerical simulation of two-phase flows in petroleum reservoirs using 2D unstructured meshes. Computational Geosciences 28, 1333–1352. https://doi.org/10.1007/s10596-024-10306-w</w:t>
      </w:r>
    </w:p>
    <w:p w14:paraId="7C8061BA">
      <w:pPr>
        <w:pStyle w:val="3"/>
        <w:spacing w:before="0" w:after="120"/>
        <w:ind w:firstLine="480" w:firstLineChars="200"/>
        <w:jc w:val="both"/>
        <w:rPr>
          <w:color w:val="auto"/>
        </w:rPr>
      </w:pPr>
      <w:r>
        <w:rPr>
          <w:color w:val="auto"/>
        </w:rPr>
        <w:t>Stüben, K., 2001. A review of algebraic multigrid. Journal of Computational and Applied Mathematics 128 (1–2), 281–309. https://doi.org/10.1016/S0377-0427(00)00516-1</w:t>
      </w:r>
    </w:p>
    <w:p w14:paraId="254A9341">
      <w:pPr>
        <w:pStyle w:val="3"/>
        <w:spacing w:before="0" w:after="120"/>
        <w:ind w:firstLine="480" w:firstLineChars="200"/>
        <w:jc w:val="both"/>
        <w:rPr>
          <w:color w:val="auto"/>
        </w:rPr>
      </w:pPr>
      <w:r>
        <w:rPr>
          <w:color w:val="auto"/>
        </w:rPr>
        <w:t>Vaněk, P., Mandel, J., Brezina, M., 1996. Algebraic multigrid by smoothed aggregation for second and fourth order elliptic problems. Computing 56 (3), 179–196. https://doi.org/10.1007/BF02238511</w:t>
      </w:r>
    </w:p>
    <w:p w14:paraId="106E422A">
      <w:pPr>
        <w:pStyle w:val="3"/>
        <w:spacing w:before="0" w:after="120"/>
        <w:ind w:firstLine="480" w:firstLineChars="200"/>
        <w:jc w:val="both"/>
        <w:rPr>
          <w:color w:val="auto"/>
        </w:rPr>
      </w:pPr>
      <w:r>
        <w:rPr>
          <w:color w:val="auto"/>
        </w:rPr>
        <w:t>Wallis, J.R., Kendall, R.P., Little, T.E., 1985. Constrained residual acceleration of conjugate residual methods. In: Proceedings of the SPE Reservoir Simulation Symposium, Dallas, Texas, SPE 13536. https://doi.org/10.2118/13536-MS</w:t>
      </w:r>
    </w:p>
    <w:p w14:paraId="1227C2C6">
      <w:pPr>
        <w:rPr>
          <w:color w:val="auto"/>
        </w:rPr>
      </w:pPr>
      <w:r>
        <w:rPr>
          <w:color w:val="auto"/>
          <w:sz w:val="22"/>
        </w:rPr>
        <w:t>Zhang, M., Yang, H., Liu, Y., Li, R., 2024. Multilevel Schur-complement algorithms for scalable parallel reservoir simulation with temperature variation. Computer Physics Communications 304, 109296. https://doi.org/10.1016/j.cpc.2024.109296</w:t>
      </w:r>
    </w:p>
    <w:p w14:paraId="4EE90711">
      <w:pPr>
        <w:rPr>
          <w:color w:val="auto"/>
        </w:rPr>
      </w:pPr>
      <w:r>
        <w:rPr>
          <w:color w:val="auto"/>
          <w:sz w:val="22"/>
        </w:rPr>
        <w:t>Zhang, Z., Guo, X., Zeng, F., Wang, H., Chen, Z., 2024. A transient source-function-based embedded discrete fracture model for simulation of multiscale-fractured reservoir: Application in coalbed methane extraction. Advances in Geoenergy Research 12, 221–234. https://doi.org/10.46690/ager.2024.06.04</w:t>
      </w:r>
    </w:p>
    <w:p w14:paraId="6A4E5334">
      <w:pPr>
        <w:pStyle w:val="4"/>
        <w:spacing w:before="360" w:after="120"/>
        <w:ind w:firstLine="0"/>
        <w:rPr>
          <w:color w:val="auto"/>
        </w:rPr>
      </w:pPr>
      <w:bookmarkStart w:id="34" w:name="X0075b63da7a4a8628ffb45897a874c649c37697"/>
      <w:r>
        <w:rPr>
          <w:color w:val="auto"/>
        </w:rPr>
        <w:t>Appendix: List of Figure and Table Captions</w:t>
      </w:r>
      <w:bookmarkEnd w:id="34"/>
    </w:p>
    <w:p w14:paraId="628D7679">
      <w:pPr>
        <w:pStyle w:val="5"/>
        <w:spacing w:before="360" w:after="120"/>
        <w:ind w:firstLine="0"/>
        <w:rPr>
          <w:color w:val="auto"/>
        </w:rPr>
      </w:pPr>
      <w:bookmarkStart w:id="35" w:name="figure-captions"/>
      <w:r>
        <w:rPr>
          <w:color w:val="auto"/>
        </w:rPr>
        <w:t>Figure Captions</w:t>
      </w:r>
      <w:bookmarkEnd w:id="35"/>
    </w:p>
    <w:p w14:paraId="57D7AEF5">
      <w:pPr>
        <w:pStyle w:val="34"/>
        <w:rPr>
          <w:color w:val="auto"/>
        </w:rPr>
      </w:pPr>
      <w:r>
        <w:rPr>
          <w:color w:val="auto"/>
        </w:rPr>
        <w:drawing>
          <wp:inline distT="0" distB="0" distL="114300" distR="114300">
            <wp:extent cx="5334000" cy="1941195"/>
            <wp:effectExtent l="0" t="0" r="0" b="0"/>
            <wp:docPr id="13" name="Picture" descr="Fig. 1. Conceptual comparison of fracture-simulation paradigms. (a) Cartesian LGR with staircase artifacts at oblique fracture faces. (b) EDFM with non-neighboring connections (dashed lines) coupling fracture and matrix domains. (c) Fracture-conforming PEBI with exact face–fracture alig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descr="Fig. 1. Conceptual comparison of fracture-simulation paradigms. (a) Cartesian LGR with staircase artifacts at oblique fracture faces. (b) EDFM with non-neighboring connections (dashed lines) coupling fracture and matrix domains. (c) Fracture-conforming PEBI with exact face–fracture alignment."/>
                    <pic:cNvPicPr>
                      <a:picLocks noChangeAspect="1" noChangeArrowheads="1"/>
                    </pic:cNvPicPr>
                  </pic:nvPicPr>
                  <pic:blipFill>
                    <a:blip r:embed="rId5"/>
                    <a:stretch>
                      <a:fillRect/>
                    </a:stretch>
                  </pic:blipFill>
                  <pic:spPr>
                    <a:xfrm>
                      <a:off x="0" y="0"/>
                      <a:ext cx="5334000" cy="1941526"/>
                    </a:xfrm>
                    <a:prstGeom prst="rect">
                      <a:avLst/>
                    </a:prstGeom>
                    <a:noFill/>
                    <a:ln w="9525">
                      <a:noFill/>
                    </a:ln>
                  </pic:spPr>
                </pic:pic>
              </a:graphicData>
            </a:graphic>
          </wp:inline>
        </w:drawing>
      </w:r>
    </w:p>
    <w:p w14:paraId="5623D461">
      <w:pPr>
        <w:pStyle w:val="32"/>
        <w:jc w:val="center"/>
        <w:rPr>
          <w:color w:val="auto"/>
        </w:rPr>
      </w:pPr>
      <w:r>
        <w:rPr>
          <w:color w:val="auto"/>
        </w:rPr>
        <w:t>Fig. 1. Conceptual comparison of fracture-simulation paradigms. (a) Cartesian LGR with staircase artifacts at oblique fracture faces. (b) EDFM with non-neighboring connections (dashed lines) coupling fracture and matrix domains. (c) Fracture-conforming PEBI with exact face–fracture alignment.</w:t>
      </w:r>
    </w:p>
    <w:p w14:paraId="0D1D4B5E">
      <w:pPr>
        <w:pStyle w:val="34"/>
        <w:rPr>
          <w:color w:val="auto"/>
        </w:rPr>
      </w:pPr>
      <w:r>
        <w:rPr>
          <w:color w:val="auto"/>
        </w:rPr>
        <w:drawing>
          <wp:inline distT="0" distB="0" distL="114300" distR="114300">
            <wp:extent cx="5334000" cy="1450340"/>
            <wp:effectExtent l="0" t="0" r="0" b="0"/>
            <wp:docPr id="14" name="Picture" descr="Fig. 2. Five-stage PEBI mesh generation pipeline. (1) generator seeding via tanh density function, (2) constrained Delaunay triangulation with Ruppert refinement (minimum angle 25°), (3) Voronoi dual construction, (4) Lloyd smoothing (50 iterations), (5) K-orthogonality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Fig. 2. Five-stage PEBI mesh generation pipeline. (1) generator seeding via tanh density function, (2) constrained Delaunay triangulation with Ruppert refinement (minimum angle 25°), (3) Voronoi dual construction, (4) Lloyd smoothing (50 iterations), (5) K-orthogonality verification."/>
                    <pic:cNvPicPr>
                      <a:picLocks noChangeAspect="1" noChangeArrowheads="1"/>
                    </pic:cNvPicPr>
                  </pic:nvPicPr>
                  <pic:blipFill>
                    <a:blip r:embed="rId6"/>
                    <a:stretch>
                      <a:fillRect/>
                    </a:stretch>
                  </pic:blipFill>
                  <pic:spPr>
                    <a:xfrm>
                      <a:off x="0" y="0"/>
                      <a:ext cx="5334000" cy="1450947"/>
                    </a:xfrm>
                    <a:prstGeom prst="rect">
                      <a:avLst/>
                    </a:prstGeom>
                    <a:noFill/>
                    <a:ln w="9525">
                      <a:noFill/>
                    </a:ln>
                  </pic:spPr>
                </pic:pic>
              </a:graphicData>
            </a:graphic>
          </wp:inline>
        </w:drawing>
      </w:r>
    </w:p>
    <w:p w14:paraId="421A42E3">
      <w:pPr>
        <w:pStyle w:val="32"/>
        <w:jc w:val="center"/>
        <w:rPr>
          <w:color w:val="auto"/>
        </w:rPr>
      </w:pPr>
      <w:r>
        <w:rPr>
          <w:color w:val="auto"/>
        </w:rPr>
        <w:t>Fig. 2. End-to-end workflow. (1) Input fracture network. (2) Constrained point seeding using Eq. (9). (3) Constrained Delaunay triangulation construction. (4) Voronoi dual extraction. (5) Lloyd-based quality optimization. (6) Fully implicit assembly with CPR–SA-AMG solution.</w:t>
      </w:r>
    </w:p>
    <w:p w14:paraId="27FBF8DC">
      <w:pPr>
        <w:pStyle w:val="34"/>
        <w:rPr>
          <w:color w:val="auto"/>
        </w:rPr>
      </w:pPr>
      <w:r>
        <w:rPr>
          <w:color w:val="auto"/>
        </w:rPr>
        <w:drawing>
          <wp:inline distT="0" distB="0" distL="114300" distR="114300">
            <wp:extent cx="5334000" cy="1729105"/>
            <wp:effectExtent l="0" t="0" r="0" b="0"/>
            <wp:docPr id="15" name="Picture" descr="Fig. 3. Tanh density function. Target element spacing h(x) as a function of distance to nearest fracture. Parameters: h_n = 1.0 m, h_f = 50.0 m, α = 0.5 m⁻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descr="Fig. 3. Tanh density function. Target element spacing h(x) as a function of distance to nearest fracture. Parameters: h_n = 1.0 m, h_f = 50.0 m, α = 0.5 m⁻¹."/>
                    <pic:cNvPicPr>
                      <a:picLocks noChangeAspect="1" noChangeArrowheads="1"/>
                    </pic:cNvPicPr>
                  </pic:nvPicPr>
                  <pic:blipFill>
                    <a:blip r:embed="rId7"/>
                    <a:stretch>
                      <a:fillRect/>
                    </a:stretch>
                  </pic:blipFill>
                  <pic:spPr>
                    <a:xfrm>
                      <a:off x="0" y="0"/>
                      <a:ext cx="5334000" cy="1729496"/>
                    </a:xfrm>
                    <a:prstGeom prst="rect">
                      <a:avLst/>
                    </a:prstGeom>
                    <a:noFill/>
                    <a:ln w="9525">
                      <a:noFill/>
                    </a:ln>
                  </pic:spPr>
                </pic:pic>
              </a:graphicData>
            </a:graphic>
          </wp:inline>
        </w:drawing>
      </w:r>
    </w:p>
    <w:p w14:paraId="38E465DC">
      <w:pPr>
        <w:pStyle w:val="32"/>
        <w:jc w:val="center"/>
        <w:rPr>
          <w:color w:val="auto"/>
        </w:rPr>
      </w:pPr>
      <w:r>
        <w:rPr>
          <w:color w:val="auto"/>
        </w:rPr>
        <w:t>Fig. 3. Local mesh detail at a hydraulic–natural fracture intersection. (a) Distribution of generator points showing smooth density transition governed by the h-adaptation law (h_n=1.0 m, h_f=50.0 m, α=0.5 m⁻¹). (b) Voronoi dualization demonstrating exact face–fracture coincidence. (c) Cell aspect ratios remain bounded below 4 within the intersection zone.</w:t>
      </w:r>
    </w:p>
    <w:p w14:paraId="75BC6FCE">
      <w:pPr>
        <w:pStyle w:val="34"/>
        <w:rPr>
          <w:color w:val="auto"/>
        </w:rPr>
      </w:pPr>
      <w:r>
        <w:rPr>
          <w:color w:val="auto"/>
        </w:rPr>
        <w:drawing>
          <wp:inline distT="0" distB="0" distL="114300" distR="114300">
            <wp:extent cx="3749040" cy="2763520"/>
            <wp:effectExtent l="0" t="0" r="0" b="0"/>
            <wp:docPr id="16" name="Picture" descr="Fig. 4. PEBI mesh quality assessment. (a) Distribution of K-orthogonality deviation angle θ across all interior faces. (b) Spatial map of non-orthogonal faces (θ &gt; 5°), concentrated at fracture tips and domain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Fig. 4. PEBI mesh quality assessment. (a) Distribution of K-orthogonality deviation angle θ across all interior faces. (b) Spatial map of non-orthogonal faces (θ &gt; 5°), concentrated at fracture tips and domain boundaries."/>
                    <pic:cNvPicPr>
                      <a:picLocks noChangeAspect="1" noChangeArrowheads="1"/>
                    </pic:cNvPicPr>
                  </pic:nvPicPr>
                  <pic:blipFill>
                    <a:blip r:embed="rId8"/>
                    <a:stretch>
                      <a:fillRect/>
                    </a:stretch>
                  </pic:blipFill>
                  <pic:spPr>
                    <a:xfrm>
                      <a:off x="0" y="0"/>
                      <a:ext cx="3749457" cy="2764076"/>
                    </a:xfrm>
                    <a:prstGeom prst="rect">
                      <a:avLst/>
                    </a:prstGeom>
                    <a:noFill/>
                    <a:ln w="9525">
                      <a:noFill/>
                    </a:ln>
                  </pic:spPr>
                </pic:pic>
              </a:graphicData>
            </a:graphic>
          </wp:inline>
        </w:drawing>
      </w:r>
    </w:p>
    <w:p w14:paraId="76B33BA3">
      <w:pPr>
        <w:pStyle w:val="32"/>
        <w:jc w:val="center"/>
        <w:rPr>
          <w:color w:val="auto"/>
        </w:rPr>
      </w:pPr>
      <w:r>
        <w:rPr>
          <w:color w:val="auto"/>
        </w:rPr>
        <w:t>Fig. 4. Histogram of the orthogonality angle θ for the base configuration. The dashed vertical line marks the 5° K-orthogonality threshold. 97.1% of faces lie below this threshold; the distribution is strongly right-skewed with a median θ of 1.2°.</w:t>
      </w:r>
    </w:p>
    <w:p w14:paraId="435C95DC">
      <w:pPr>
        <w:pStyle w:val="34"/>
        <w:rPr>
          <w:color w:val="auto"/>
        </w:rPr>
      </w:pPr>
      <w:r>
        <w:rPr>
          <w:color w:val="auto"/>
        </w:rPr>
        <w:drawing>
          <wp:inline distT="0" distB="0" distL="114300" distR="114300">
            <wp:extent cx="5334000" cy="2153285"/>
            <wp:effectExtent l="0" t="0" r="0" b="0"/>
            <wp:docPr id="17" name="Picture" descr="Fig. 5. Structure of the CPR–SA-AMG preconditioner. Stage 1: An SA-AMG V-cycle applied to the extracted pressure block A_pp. Stage 2: A Block-ILU(0) global smoothing pass. The lower timeline illustrates how interior Jacobian assembly operations are overlapped with non-blocking ghost-cell MPI ex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descr="Fig. 5. Structure of the CPR–SA-AMG preconditioner. Stage 1: An SA-AMG V-cycle applied to the extracted pressure block A_pp. Stage 2: A Block-ILU(0) global smoothing pass. The lower timeline illustrates how interior Jacobian assembly operations are overlapped with non-blocking ghost-cell MPI exchanges."/>
                    <pic:cNvPicPr>
                      <a:picLocks noChangeAspect="1" noChangeArrowheads="1"/>
                    </pic:cNvPicPr>
                  </pic:nvPicPr>
                  <pic:blipFill>
                    <a:blip r:embed="rId9"/>
                    <a:stretch>
                      <a:fillRect/>
                    </a:stretch>
                  </pic:blipFill>
                  <pic:spPr>
                    <a:xfrm>
                      <a:off x="0" y="0"/>
                      <a:ext cx="5334000" cy="2153555"/>
                    </a:xfrm>
                    <a:prstGeom prst="rect">
                      <a:avLst/>
                    </a:prstGeom>
                    <a:noFill/>
                    <a:ln w="9525">
                      <a:noFill/>
                    </a:ln>
                  </pic:spPr>
                </pic:pic>
              </a:graphicData>
            </a:graphic>
          </wp:inline>
        </w:drawing>
      </w:r>
    </w:p>
    <w:p w14:paraId="536807EF">
      <w:pPr>
        <w:pStyle w:val="32"/>
        <w:jc w:val="center"/>
        <w:rPr>
          <w:color w:val="auto"/>
        </w:rPr>
      </w:pPr>
      <w:r>
        <w:rPr>
          <w:color w:val="auto"/>
        </w:rPr>
        <w:t>Fig. 5. Structure of the CPR–SA-AMG preconditioner. Stage 1: An SA-AMG V-cycle applied to the extracted pressure block A_pp. Stage 2: A Block-ILU(0) global smoothing pass. The lower timeline illustrates how interior Jacobian assembly operations are overlapped with non-blocking ghost-cell MPI exchanges.</w:t>
      </w:r>
    </w:p>
    <w:p w14:paraId="342BA727">
      <w:pPr>
        <w:pStyle w:val="34"/>
        <w:rPr>
          <w:color w:val="auto"/>
        </w:rPr>
      </w:pPr>
      <w:r>
        <w:rPr>
          <w:color w:val="auto"/>
        </w:rPr>
        <w:drawing>
          <wp:inline distT="0" distB="0" distL="114300" distR="114300">
            <wp:extent cx="5334000" cy="2153285"/>
            <wp:effectExtent l="0" t="0" r="0" b="0"/>
            <wp:docPr id="18" name="Picture" descr="Fig. 6. Analytical validation at t = 100 days. (a) Radial pressure profiles obtained with the PEBI grid, EDFM, Cartesian LGR, and Cartesian uniform mesh. (b) Relative error ε_p = |p_sim − p_Ei| / p_Ei as a function of radial distance. The PEBI discretization reproduces the analytical solution to within 0.31% at r = 1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Fig. 6. Analytical validation at t = 100 days. (a) Radial pressure profiles obtained with the PEBI grid, EDFM, Cartesian LGR, and Cartesian uniform mesh. (b) Relative error ε_p = |p_sim − p_Ei| / p_Ei as a function of radial distance. The PEBI discretization reproduces the analytical solution to within 0.31% at r = 1 m."/>
                    <pic:cNvPicPr>
                      <a:picLocks noChangeAspect="1" noChangeArrowheads="1"/>
                    </pic:cNvPicPr>
                  </pic:nvPicPr>
                  <pic:blipFill>
                    <a:blip r:embed="rId10"/>
                    <a:stretch>
                      <a:fillRect/>
                    </a:stretch>
                  </pic:blipFill>
                  <pic:spPr>
                    <a:xfrm>
                      <a:off x="0" y="0"/>
                      <a:ext cx="5334000" cy="2153555"/>
                    </a:xfrm>
                    <a:prstGeom prst="rect">
                      <a:avLst/>
                    </a:prstGeom>
                    <a:noFill/>
                    <a:ln w="9525">
                      <a:noFill/>
                    </a:ln>
                  </pic:spPr>
                </pic:pic>
              </a:graphicData>
            </a:graphic>
          </wp:inline>
        </w:drawing>
      </w:r>
    </w:p>
    <w:p w14:paraId="63160A86">
      <w:pPr>
        <w:pStyle w:val="32"/>
        <w:jc w:val="center"/>
        <w:rPr>
          <w:color w:val="auto"/>
        </w:rPr>
      </w:pPr>
      <w:r>
        <w:rPr>
          <w:color w:val="auto"/>
        </w:rPr>
        <w:t>Fig. 6. Analytical validation at t = 100 days. (a) Radial pressure profiles obtained with the PEBI grid, EDFM, Cartesian LGR, and Cartesian uniform mesh. (b) Relative error ε_p = |p_sim − p_Ei| / p_Ei as a function of radial distance. The PEBI discretization reproduces the analytical solution to within 0.31% at r = 1 m.</w:t>
      </w:r>
    </w:p>
    <w:p w14:paraId="409FC38E">
      <w:pPr>
        <w:pStyle w:val="34"/>
        <w:rPr>
          <w:color w:val="auto"/>
        </w:rPr>
      </w:pPr>
      <w:r>
        <w:rPr>
          <w:color w:val="auto"/>
        </w:rPr>
        <w:drawing>
          <wp:inline distT="0" distB="0" distL="114300" distR="114300">
            <wp:extent cx="5334000" cy="2153285"/>
            <wp:effectExtent l="0" t="0" r="0" b="0"/>
            <wp:docPr id="19" name="Picture" descr="Fig. 7. Comparison of production forecasts across three simulation approaches. (a) Cumulative oil, gas, and water production; field-level deviations between PEBI and Eclipse remain below 1.5%. (b) Near-fracture pressure profiles at t = 1,000 days. The Cartesian LGR solution exhibits step-like oscillations attributable to tangential flux leakage, the EDFM solution reduces but does not eliminate these artifacts, and the PEBI solution preserves smooth pressure gradients through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descr="Fig. 7. Comparison of production forecasts across three simulation approaches. (a) Cumulative oil, gas, and water production; field-level deviations between PEBI and Eclipse remain below 1.5%. (b) Near-fracture pressure profiles at t = 1,000 days. The Cartesian LGR solution exhibits step-like oscillations attributable to tangential flux leakage, the EDFM solution reduces but does not eliminate these artifacts, and the PEBI solution preserves smooth pressure gradients throughout."/>
                    <pic:cNvPicPr>
                      <a:picLocks noChangeAspect="1" noChangeArrowheads="1"/>
                    </pic:cNvPicPr>
                  </pic:nvPicPr>
                  <pic:blipFill>
                    <a:blip r:embed="rId11"/>
                    <a:stretch>
                      <a:fillRect/>
                    </a:stretch>
                  </pic:blipFill>
                  <pic:spPr>
                    <a:xfrm>
                      <a:off x="0" y="0"/>
                      <a:ext cx="5334000" cy="2153555"/>
                    </a:xfrm>
                    <a:prstGeom prst="rect">
                      <a:avLst/>
                    </a:prstGeom>
                    <a:noFill/>
                    <a:ln w="9525">
                      <a:noFill/>
                    </a:ln>
                  </pic:spPr>
                </pic:pic>
              </a:graphicData>
            </a:graphic>
          </wp:inline>
        </w:drawing>
      </w:r>
    </w:p>
    <w:p w14:paraId="089354B1">
      <w:pPr>
        <w:pStyle w:val="32"/>
        <w:jc w:val="center"/>
        <w:rPr>
          <w:color w:val="auto"/>
        </w:rPr>
      </w:pPr>
      <w:r>
        <w:rPr>
          <w:color w:val="auto"/>
        </w:rPr>
        <w:t>Fig. 7. Comparison of production forecasts across three simulation approaches. (a) Cumulative oil, gas, and water production; field-level deviations between PEBI and Eclipse remain below 1.5%. (b) Near-fracture pressure profiles at t = 1,000 days. The Cartesian LGR solution exhibits step-like oscillations attributable to tangential flux leakage, the EDFM solution reduces but does not eliminate these artifacts, and the PEBI solution preserves smooth pressure gradients throughout.</w:t>
      </w:r>
    </w:p>
    <w:p w14:paraId="615AF0D5">
      <w:pPr>
        <w:pStyle w:val="34"/>
        <w:rPr>
          <w:color w:val="auto"/>
        </w:rPr>
      </w:pPr>
      <w:r>
        <w:rPr>
          <w:color w:val="auto"/>
        </w:rPr>
        <w:drawing>
          <wp:inline distT="0" distB="0" distL="114300" distR="114300">
            <wp:extent cx="5334000" cy="2153285"/>
            <wp:effectExtent l="0" t="0" r="0" b="0"/>
            <wp:docPr id="20" name="Picture" descr="Fig. 8. Linear-solver diagnostics. (a) GMRES residual convergence history. CPR–SA-AMG reaches a residual reduction of 10⁻⁶ within 21 iterations, whereas Block-ILU(0) stagnates above 10⁻¹ for more than 200 iterations. BoomerAMG converges in 28 iterations. (b) Per-Newton-step wall-clock time decomposition; the exposed MPI waiting period is compressed to 10.8% of the total solve time under CPR–SA-A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descr="Fig. 8. Linear-solver diagnostics. (a) GMRES residual convergence history. CPR–SA-AMG reaches a residual reduction of 10⁻⁶ within 21 iterations, whereas Block-ILU(0) stagnates above 10⁻¹ for more than 200 iterations. BoomerAMG converges in 28 iterations. (b) Per-Newton-step wall-clock time decomposition; the exposed MPI waiting period is compressed to 10.8% of the total solve time under CPR–SA-AMG."/>
                    <pic:cNvPicPr>
                      <a:picLocks noChangeAspect="1" noChangeArrowheads="1"/>
                    </pic:cNvPicPr>
                  </pic:nvPicPr>
                  <pic:blipFill>
                    <a:blip r:embed="rId12"/>
                    <a:stretch>
                      <a:fillRect/>
                    </a:stretch>
                  </pic:blipFill>
                  <pic:spPr>
                    <a:xfrm>
                      <a:off x="0" y="0"/>
                      <a:ext cx="5334000" cy="2153555"/>
                    </a:xfrm>
                    <a:prstGeom prst="rect">
                      <a:avLst/>
                    </a:prstGeom>
                    <a:noFill/>
                    <a:ln w="9525">
                      <a:noFill/>
                    </a:ln>
                  </pic:spPr>
                </pic:pic>
              </a:graphicData>
            </a:graphic>
          </wp:inline>
        </w:drawing>
      </w:r>
    </w:p>
    <w:p w14:paraId="1609A2C2">
      <w:pPr>
        <w:pStyle w:val="32"/>
        <w:jc w:val="center"/>
        <w:rPr>
          <w:color w:val="auto"/>
        </w:rPr>
      </w:pPr>
      <w:r>
        <w:rPr>
          <w:color w:val="auto"/>
        </w:rPr>
        <w:t>Fig. 8. Linear-solver diagnostics. (a) GMRES residual convergence history. CPR–SA-AMG reaches a residual reduction of 10⁻⁶ within 21 iterations, whereas Block-ILU(0) stagnates above 10⁻¹ for more than 200 iterations. BoomerAMG converges in 28 iterations. (b) Per-Newton-step wall-clock time decomposition; the exposed MPI waiting period is compressed to 10.8% of the total solve time under CPR–SA-AMG.</w:t>
      </w:r>
    </w:p>
    <w:p w14:paraId="7B347F89">
      <w:pPr>
        <w:pStyle w:val="34"/>
        <w:rPr>
          <w:color w:val="auto"/>
        </w:rPr>
      </w:pPr>
      <w:r>
        <w:rPr>
          <w:color w:val="auto"/>
        </w:rPr>
        <w:drawing>
          <wp:inline distT="0" distB="0" distL="114300" distR="114300">
            <wp:extent cx="5334000" cy="2153285"/>
            <wp:effectExtent l="0" t="0" r="0" b="0"/>
            <wp:docPr id="21" name="Picture" descr="Fig. 9. Parallel scaling characteristics. (a) Strong-scaling speedup: measured (solid curve), ideal linear (dashed), and Amdahl fit (dotted, serial fraction f = 0.002). (b) Parallel efficiency as a function of core count, comparing strong scaling (fixed 32 M cells) and weak scaling (62,500 cells per r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Fig. 9. Parallel scaling characteristics. (a) Strong-scaling speedup: measured (solid curve), ideal linear (dashed), and Amdahl fit (dotted, serial fraction f = 0.002). (b) Parallel efficiency as a function of core count, comparing strong scaling (fixed 32 M cells) and weak scaling (62,500 cells per rank)."/>
                    <pic:cNvPicPr>
                      <a:picLocks noChangeAspect="1" noChangeArrowheads="1"/>
                    </pic:cNvPicPr>
                  </pic:nvPicPr>
                  <pic:blipFill>
                    <a:blip r:embed="rId13"/>
                    <a:stretch>
                      <a:fillRect/>
                    </a:stretch>
                  </pic:blipFill>
                  <pic:spPr>
                    <a:xfrm>
                      <a:off x="0" y="0"/>
                      <a:ext cx="5334000" cy="2153555"/>
                    </a:xfrm>
                    <a:prstGeom prst="rect">
                      <a:avLst/>
                    </a:prstGeom>
                    <a:noFill/>
                    <a:ln w="9525">
                      <a:noFill/>
                    </a:ln>
                  </pic:spPr>
                </pic:pic>
              </a:graphicData>
            </a:graphic>
          </wp:inline>
        </w:drawing>
      </w:r>
    </w:p>
    <w:p w14:paraId="79D49999">
      <w:pPr>
        <w:pStyle w:val="32"/>
        <w:jc w:val="center"/>
        <w:rPr>
          <w:color w:val="auto"/>
        </w:rPr>
      </w:pPr>
      <w:r>
        <w:rPr>
          <w:color w:val="auto"/>
        </w:rPr>
        <w:t>Fig. 9. Parallel scaling characteristics. (a) Strong-scaling speedup: measured (solid curve), ideal linear (dashed), and Amdahl fit (dotted, serial fraction f = 0.002). (b) Parallel efficiency as a function of core count, comparing strong scaling (fixed 32 M cells) and weak scaling (62,500 cells per rank).</w:t>
      </w:r>
    </w:p>
    <w:p w14:paraId="53FCDFC5">
      <w:pPr>
        <w:pStyle w:val="34"/>
        <w:rPr>
          <w:color w:val="auto"/>
        </w:rPr>
      </w:pPr>
      <w:r>
        <w:rPr>
          <w:color w:val="auto"/>
        </w:rPr>
        <w:drawing>
          <wp:inline distT="0" distB="0" distL="114300" distR="114300">
            <wp:extent cx="5334000" cy="2414905"/>
            <wp:effectExtent l="0" t="0" r="0" b="0"/>
            <wp:docPr id="22" name="Picture" descr="Fig. 10. PEBI mesh conforming to the DFN. (a) Full-domain view showing the 1,247 natural fractures (gray) and five hydraulic-fracture stages (red) embedded in the PEBI framework. (b) Local enlargement at a triple-fracture junction, demonstrating preserved cell quality and strict face–fracture conform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Fig. 10. PEBI mesh conforming to the DFN. (a) Full-domain view showing the 1,247 natural fractures (gray) and five hydraulic-fracture stages (red) embedded in the PEBI framework. (b) Local enlargement at a triple-fracture junction, demonstrating preserved cell quality and strict face–fracture conformity."/>
                    <pic:cNvPicPr>
                      <a:picLocks noChangeAspect="1" noChangeArrowheads="1"/>
                    </pic:cNvPicPr>
                  </pic:nvPicPr>
                  <pic:blipFill>
                    <a:blip r:embed="rId14"/>
                    <a:stretch>
                      <a:fillRect/>
                    </a:stretch>
                  </pic:blipFill>
                  <pic:spPr>
                    <a:xfrm>
                      <a:off x="0" y="0"/>
                      <a:ext cx="5334000" cy="2415474"/>
                    </a:xfrm>
                    <a:prstGeom prst="rect">
                      <a:avLst/>
                    </a:prstGeom>
                    <a:noFill/>
                    <a:ln w="9525">
                      <a:noFill/>
                    </a:ln>
                  </pic:spPr>
                </pic:pic>
              </a:graphicData>
            </a:graphic>
          </wp:inline>
        </w:drawing>
      </w:r>
    </w:p>
    <w:p w14:paraId="2AA50551">
      <w:pPr>
        <w:pStyle w:val="32"/>
        <w:jc w:val="center"/>
        <w:rPr>
          <w:color w:val="auto"/>
        </w:rPr>
      </w:pPr>
      <w:r>
        <w:rPr>
          <w:color w:val="auto"/>
        </w:rPr>
        <w:t>Fig. 10. PEBI mesh conforming to the DFN. (a) Full-domain view showing the 1,247 natural fractures (gray) and five hydraulic-fracture stages (red) embedded in the PEBI framework. (b) Local enlargement at a triple-fracture junction, demonstrating preserved cell quality and strict face–fracture conformity.</w:t>
      </w:r>
    </w:p>
    <w:p w14:paraId="3ED7E2D1">
      <w:pPr>
        <w:pStyle w:val="34"/>
        <w:rPr>
          <w:color w:val="auto"/>
        </w:rPr>
      </w:pPr>
      <w:r>
        <w:rPr>
          <w:color w:val="auto"/>
        </w:rPr>
        <w:drawing>
          <wp:inline distT="0" distB="0" distL="114300" distR="114300">
            <wp:extent cx="4287520" cy="3014345"/>
            <wp:effectExtent l="0" t="0" r="0" b="0"/>
            <wp:docPr id="23" name="Picture" descr="Fig. 11. Condition number evolution as a function of the number of embedded fracture planes. The proposed PEBI formulation exhibits approximately linear growth (R² = 0.97, slope = 0.0018 per fracture), whereas the Cartesian LGR and standard unstructured mesh degrade at superlinear 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descr="Fig. 11. Condition number evolution as a function of the number of embedded fracture planes. The proposed PEBI formulation exhibits approximately linear growth (R² = 0.97, slope = 0.0018 per fracture), whereas the Cartesian LGR and standard unstructured mesh degrade at superlinear rates."/>
                    <pic:cNvPicPr>
                      <a:picLocks noChangeAspect="1" noChangeArrowheads="1"/>
                    </pic:cNvPicPr>
                  </pic:nvPicPr>
                  <pic:blipFill>
                    <a:blip r:embed="rId15"/>
                    <a:stretch>
                      <a:fillRect/>
                    </a:stretch>
                  </pic:blipFill>
                  <pic:spPr>
                    <a:xfrm>
                      <a:off x="0" y="0"/>
                      <a:ext cx="4288076" cy="3014597"/>
                    </a:xfrm>
                    <a:prstGeom prst="rect">
                      <a:avLst/>
                    </a:prstGeom>
                    <a:noFill/>
                    <a:ln w="9525">
                      <a:noFill/>
                    </a:ln>
                  </pic:spPr>
                </pic:pic>
              </a:graphicData>
            </a:graphic>
          </wp:inline>
        </w:drawing>
      </w:r>
    </w:p>
    <w:p w14:paraId="48AD3057">
      <w:pPr>
        <w:pStyle w:val="32"/>
        <w:jc w:val="center"/>
        <w:rPr>
          <w:color w:val="auto"/>
        </w:rPr>
      </w:pPr>
      <w:r>
        <w:rPr>
          <w:color w:val="auto"/>
        </w:rPr>
        <w:t>Fig. 11. Condition number evolution as a function of the number of embedded fracture planes. The proposed PEBI formulation exhibits approximately linear growth (R² = 0.97, slope = 0.0018 per fracture), whereas the Cartesian LGR and standard unstructured mesh degrade at superlinear rates.</w:t>
      </w:r>
    </w:p>
    <w:p w14:paraId="3A9DC7FA">
      <w:pPr>
        <w:pStyle w:val="34"/>
        <w:rPr>
          <w:color w:val="auto"/>
        </w:rPr>
      </w:pPr>
      <w:r>
        <w:rPr>
          <w:color w:val="auto"/>
        </w:rPr>
        <w:drawing>
          <wp:inline distT="0" distB="0" distL="114300" distR="114300">
            <wp:extent cx="4554855" cy="2471420"/>
            <wp:effectExtent l="0" t="0" r="0" b="0"/>
            <wp:docPr id="24" name="Picture" descr="Fig. 12. Tornado chart illustrating parametric sensitivity (20% perturbation). Fracture half-length and matrix permeability exert the strongest control on ten-year cumulative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descr="Fig. 12. Tornado chart illustrating parametric sensitivity (20% perturbation). Fracture half-length and matrix permeability exert the strongest control on ten-year cumulative recovery."/>
                    <pic:cNvPicPr>
                      <a:picLocks noChangeAspect="1" noChangeArrowheads="1"/>
                    </pic:cNvPicPr>
                  </pic:nvPicPr>
                  <pic:blipFill>
                    <a:blip r:embed="rId16"/>
                    <a:stretch>
                      <a:fillRect/>
                    </a:stretch>
                  </pic:blipFill>
                  <pic:spPr>
                    <a:xfrm>
                      <a:off x="0" y="0"/>
                      <a:ext cx="4555298" cy="2471802"/>
                    </a:xfrm>
                    <a:prstGeom prst="rect">
                      <a:avLst/>
                    </a:prstGeom>
                    <a:noFill/>
                    <a:ln w="9525">
                      <a:noFill/>
                    </a:ln>
                  </pic:spPr>
                </pic:pic>
              </a:graphicData>
            </a:graphic>
          </wp:inline>
        </w:drawing>
      </w:r>
    </w:p>
    <w:p w14:paraId="51EB876C">
      <w:pPr>
        <w:pStyle w:val="32"/>
        <w:jc w:val="center"/>
        <w:rPr>
          <w:color w:val="auto"/>
        </w:rPr>
      </w:pPr>
      <w:r>
        <w:rPr>
          <w:color w:val="auto"/>
        </w:rPr>
        <w:t>Fig. 12. Tornado chart illustrating parametric sensitivity (20% perturbation). Fracture half-length and matrix permeability exert the strongest control on ten-year cumulative recovery.</w:t>
      </w:r>
    </w:p>
    <w:p w14:paraId="78393575">
      <w:pPr>
        <w:pStyle w:val="5"/>
        <w:spacing w:before="360" w:after="120"/>
        <w:ind w:firstLine="0"/>
        <w:rPr>
          <w:color w:val="auto"/>
        </w:rPr>
      </w:pPr>
      <w:bookmarkStart w:id="36" w:name="table-captions"/>
      <w:r>
        <w:rPr>
          <w:color w:val="auto"/>
        </w:rPr>
        <w:t>Table Captions</w:t>
      </w:r>
      <w:bookmarkEnd w:id="36"/>
    </w:p>
    <w:p w14:paraId="63D10E81">
      <w:pPr>
        <w:pStyle w:val="23"/>
        <w:spacing w:before="0" w:after="120"/>
        <w:ind w:firstLine="480" w:firstLineChars="200"/>
        <w:jc w:val="both"/>
        <w:rPr>
          <w:color w:val="auto"/>
        </w:rPr>
      </w:pPr>
      <w:r>
        <w:rPr>
          <w:color w:val="auto"/>
        </w:rPr>
        <w:t>Table S1. Evolution of K-orthogonality statistics during Lloyd smoothing (base case).</w:t>
      </w:r>
    </w:p>
    <w:p w14:paraId="3E94F37F">
      <w:pPr>
        <w:pStyle w:val="23"/>
        <w:spacing w:before="0" w:after="120"/>
        <w:ind w:firstLine="480" w:firstLineChars="200"/>
        <w:jc w:val="both"/>
        <w:rPr>
          <w:color w:val="auto"/>
        </w:rPr>
      </w:pPr>
      <w:r>
        <w:rPr>
          <w:b/>
          <w:color w:val="auto"/>
        </w:rPr>
        <w:t>Table 1. Research gaps and corresponding quantified contributions.</w:t>
      </w:r>
    </w:p>
    <w:p w14:paraId="0F68BE55">
      <w:pPr>
        <w:pStyle w:val="3"/>
        <w:spacing w:before="0" w:after="120"/>
        <w:ind w:firstLine="480" w:firstLineChars="200"/>
        <w:jc w:val="both"/>
        <w:rPr>
          <w:color w:val="auto"/>
        </w:rPr>
      </w:pPr>
      <w:r>
        <w:rPr>
          <w:b/>
          <w:color w:val="auto"/>
        </w:rPr>
        <w:t>Table 2. Primary physical variables and representative shale-oil ranges.</w:t>
      </w:r>
    </w:p>
    <w:p w14:paraId="110F6D77">
      <w:pPr>
        <w:pStyle w:val="3"/>
        <w:spacing w:before="0" w:after="120"/>
        <w:ind w:firstLine="480" w:firstLineChars="200"/>
        <w:jc w:val="both"/>
        <w:rPr>
          <w:color w:val="auto"/>
        </w:rPr>
      </w:pPr>
      <w:r>
        <w:rPr>
          <w:b/>
          <w:color w:val="auto"/>
        </w:rPr>
        <w:t>Table 3. Mesh quality comparison: proposed PEBI vs. standard unstructured vs. Cartesian LGR.</w:t>
      </w:r>
    </w:p>
    <w:p w14:paraId="2EA1D60E">
      <w:pPr>
        <w:pStyle w:val="3"/>
        <w:spacing w:before="0" w:after="120"/>
        <w:ind w:firstLine="480" w:firstLineChars="200"/>
        <w:jc w:val="both"/>
        <w:rPr>
          <w:color w:val="auto"/>
        </w:rPr>
      </w:pPr>
      <w:r>
        <w:rPr>
          <w:b/>
          <w:color w:val="auto"/>
        </w:rPr>
        <w:t>Table 4. CPR–SA-AMG solver configuration and parameters.</w:t>
      </w:r>
    </w:p>
    <w:p w14:paraId="537B6628">
      <w:pPr>
        <w:pStyle w:val="3"/>
        <w:spacing w:before="0" w:after="120"/>
        <w:ind w:firstLine="480" w:firstLineChars="200"/>
        <w:jc w:val="both"/>
        <w:rPr>
          <w:color w:val="auto"/>
        </w:rPr>
      </w:pPr>
      <w:r>
        <w:rPr>
          <w:b/>
          <w:color w:val="auto"/>
        </w:rPr>
        <w:t>Table 5. Base-case reservoir and completion parameters (five-well pad).</w:t>
      </w:r>
    </w:p>
    <w:p w14:paraId="4EC5807C">
      <w:pPr>
        <w:pStyle w:val="3"/>
        <w:spacing w:before="0" w:after="120"/>
        <w:ind w:firstLine="480" w:firstLineChars="200"/>
        <w:jc w:val="both"/>
        <w:rPr>
          <w:color w:val="auto"/>
        </w:rPr>
      </w:pPr>
      <w:r>
        <w:rPr>
          <w:b/>
          <w:color w:val="auto"/>
        </w:rPr>
        <w:t>Table 6. Relative pressure errors ε_p at selected observation radii (t = 100 days).</w:t>
      </w:r>
    </w:p>
    <w:p w14:paraId="346B689B">
      <w:pPr>
        <w:pStyle w:val="3"/>
        <w:spacing w:before="0" w:after="120"/>
        <w:ind w:firstLine="480" w:firstLineChars="200"/>
        <w:jc w:val="both"/>
        <w:rPr>
          <w:color w:val="auto"/>
        </w:rPr>
      </w:pPr>
      <w:r>
        <w:rPr>
          <w:b/>
          <w:color w:val="auto"/>
        </w:rPr>
        <w:t>Table 7. SPE 10 benchmarking results — PEBI grid vs. re-computed Cartesian reference solution.</w:t>
      </w:r>
    </w:p>
    <w:p w14:paraId="4E469031">
      <w:pPr>
        <w:pStyle w:val="3"/>
        <w:spacing w:before="0" w:after="120"/>
        <w:ind w:firstLine="480" w:firstLineChars="200"/>
        <w:jc w:val="both"/>
        <w:rPr>
          <w:color w:val="auto"/>
        </w:rPr>
      </w:pPr>
      <w:r>
        <w:rPr>
          <w:b/>
          <w:color w:val="auto"/>
        </w:rPr>
        <w:t>Table 8. Comparison of PEBI, EDFM, and Eclipse on key diagnostic metrics.</w:t>
      </w:r>
    </w:p>
    <w:p w14:paraId="64D8068C">
      <w:pPr>
        <w:pStyle w:val="3"/>
        <w:spacing w:before="0" w:after="120"/>
        <w:ind w:firstLine="480" w:firstLineChars="200"/>
        <w:jc w:val="both"/>
        <w:rPr>
          <w:color w:val="auto"/>
        </w:rPr>
      </w:pPr>
      <w:r>
        <w:rPr>
          <w:b/>
          <w:color w:val="auto"/>
        </w:rPr>
        <w:t>Table 9. Linear-solver performance per Newton step (32 M cells, 512 cores).</w:t>
      </w:r>
    </w:p>
    <w:p w14:paraId="389B923B">
      <w:pPr>
        <w:pStyle w:val="3"/>
        <w:spacing w:before="0" w:after="120"/>
        <w:ind w:firstLine="480" w:firstLineChars="200"/>
        <w:jc w:val="both"/>
        <w:rPr>
          <w:color w:val="auto"/>
        </w:rPr>
      </w:pPr>
      <w:r>
        <w:rPr>
          <w:b/>
          <w:color w:val="auto"/>
        </w:rPr>
        <w:t>Table 9b. Single-factor decomposition of solver performance (32 M cells, 512 cores).</w:t>
      </w:r>
    </w:p>
    <w:p w14:paraId="5A4DFA7D">
      <w:pPr>
        <w:pStyle w:val="3"/>
        <w:spacing w:before="0" w:after="120"/>
        <w:ind w:firstLine="480" w:firstLineChars="200"/>
        <w:jc w:val="both"/>
        <w:rPr>
          <w:color w:val="auto"/>
        </w:rPr>
      </w:pPr>
      <w:r>
        <w:rPr>
          <w:b/>
          <w:color w:val="auto"/>
        </w:rPr>
        <w:t>Table 10. Strong-scaling data and communication analysis.</w:t>
      </w:r>
    </w:p>
    <w:p w14:paraId="5829DA01">
      <w:pPr>
        <w:pStyle w:val="3"/>
        <w:spacing w:before="0" w:after="120"/>
        <w:ind w:firstLine="480" w:firstLineChars="200"/>
        <w:jc w:val="both"/>
        <w:rPr>
          <w:color w:val="auto"/>
        </w:rPr>
      </w:pPr>
      <w:r>
        <w:rPr>
          <w:b/>
          <w:color w:val="auto"/>
        </w:rPr>
        <w:t>Table 11. Weak-scaling data (62,500 cells per rank, 10 Newton steps, averaged).</w:t>
      </w:r>
    </w:p>
    <w:p w14:paraId="00FE67F7">
      <w:pPr>
        <w:pStyle w:val="3"/>
        <w:spacing w:before="0" w:after="120"/>
        <w:ind w:firstLine="480" w:firstLineChars="200"/>
        <w:jc w:val="both"/>
        <w:rPr>
          <w:color w:val="auto"/>
        </w:rPr>
      </w:pPr>
      <w:r>
        <w:rPr>
          <w:b/>
          <w:color w:val="auto"/>
        </w:rPr>
        <w:t>Table 12. Algebraic conditioning and solver performance under DFN insertion.</w:t>
      </w:r>
    </w:p>
    <w:p w14:paraId="163A6F91">
      <w:pPr>
        <w:pStyle w:val="3"/>
        <w:spacing w:before="0" w:after="120"/>
        <w:ind w:firstLine="480" w:firstLineChars="200"/>
        <w:jc w:val="both"/>
        <w:rPr>
          <w:color w:val="auto"/>
        </w:rPr>
      </w:pPr>
      <w:r>
        <w:rPr>
          <w:b/>
          <w:color w:val="auto"/>
        </w:rPr>
        <w:t>Table 12b. Monte Carlo ensemble statistics (n = 25 DFN realizations).</w:t>
      </w:r>
    </w:p>
    <w:p w14:paraId="7FAFC91A">
      <w:pPr>
        <w:pStyle w:val="3"/>
        <w:spacing w:before="0" w:after="120"/>
        <w:ind w:firstLine="480" w:firstLineChars="200"/>
        <w:jc w:val="both"/>
        <w:rPr>
          <w:color w:val="auto"/>
        </w:rPr>
      </w:pPr>
      <w:r>
        <w:rPr>
          <w:b/>
          <w:color w:val="auto"/>
        </w:rPr>
        <w:t>Table 13. Sensitivity ranking for ten-year cumulative oil production.</w:t>
      </w:r>
    </w:p>
    <w:p w14:paraId="677F0F4C">
      <w:pPr>
        <w:pStyle w:val="3"/>
        <w:spacing w:before="0" w:after="120"/>
        <w:ind w:firstLine="480" w:firstLineChars="200"/>
        <w:jc w:val="both"/>
        <w:rPr>
          <w:color w:val="auto"/>
        </w:rPr>
      </w:pPr>
      <w:r>
        <w:rPr>
          <w:b/>
          <w:color w:val="auto"/>
        </w:rPr>
        <w:t>Table 14. Sensitivity of mesh quality to tanh density function parameters.</w:t>
      </w:r>
    </w:p>
    <w:p w14:paraId="7AD91B13">
      <w:pPr>
        <w:pStyle w:val="3"/>
        <w:spacing w:before="0" w:after="120"/>
        <w:ind w:firstLine="480" w:firstLineChars="200"/>
        <w:jc w:val="both"/>
        <w:rPr>
          <w:color w:val="auto"/>
        </w:rPr>
      </w:pPr>
      <w:r>
        <w:rPr>
          <w:b/>
          <w:color w:val="auto"/>
        </w:rPr>
        <w:t>Table 15. Comparison of key metrics across the base (five-well) and alternative (single-well) configurations.</w:t>
      </w:r>
    </w:p>
    <w:p w14:paraId="430CA443">
      <w:pPr>
        <w:pStyle w:val="4"/>
        <w:pageBreakBefore/>
        <w:spacing w:before="360" w:after="120"/>
        <w:ind w:firstLine="0"/>
        <w:rPr>
          <w:color w:val="auto"/>
        </w:rPr>
      </w:pPr>
      <w:bookmarkStart w:id="37" w:name="appendix-nomenclature"/>
      <w:r>
        <w:rPr>
          <w:color w:val="auto"/>
        </w:rPr>
        <w:t>Appendix: Nomenclature</w:t>
      </w:r>
      <w:bookmarkEnd w:id="37"/>
    </w:p>
    <w:p w14:paraId="75CEA5F0">
      <w:pPr>
        <w:pStyle w:val="5"/>
        <w:spacing w:before="360" w:after="120"/>
        <w:ind w:firstLine="0"/>
        <w:rPr>
          <w:color w:val="auto"/>
        </w:rPr>
      </w:pPr>
      <w:bookmarkStart w:id="38" w:name="symbols"/>
      <w:r>
        <w:rPr>
          <w:color w:val="auto"/>
        </w:rPr>
        <w:t>Symbols</w:t>
      </w:r>
      <w:bookmarkEnd w:id="38"/>
    </w:p>
    <w:tbl>
      <w:tblPr>
        <w:tblStyle w:val="28"/>
        <w:tblW w:w="8851" w:type="dxa"/>
        <w:jc w:val="center"/>
        <w:tblLayout w:type="autofit"/>
        <w:tblCellMar>
          <w:top w:w="0" w:type="dxa"/>
          <w:left w:w="108" w:type="dxa"/>
          <w:bottom w:w="0" w:type="dxa"/>
          <w:right w:w="108" w:type="dxa"/>
        </w:tblCellMar>
      </w:tblPr>
      <w:tblGrid>
        <w:gridCol w:w="1377"/>
        <w:gridCol w:w="5538"/>
        <w:gridCol w:w="1936"/>
      </w:tblGrid>
      <w:tr w14:paraId="05242500">
        <w:tblPrEx>
          <w:tblCellMar>
            <w:top w:w="0" w:type="dxa"/>
            <w:left w:w="108" w:type="dxa"/>
            <w:bottom w:w="0" w:type="dxa"/>
            <w:right w:w="108" w:type="dxa"/>
          </w:tblCellMar>
        </w:tblPrEx>
        <w:trPr>
          <w:trHeight w:val="0" w:hRule="atLeast"/>
          <w:tblHeader/>
          <w:jc w:val="center"/>
        </w:trPr>
        <w:tc>
          <w:tcPr>
            <w:tcW w:w="1377" w:type="dxa"/>
            <w:tcBorders>
              <w:bottom w:val="single" w:color="auto" w:sz="0" w:space="0"/>
            </w:tcBorders>
            <w:vAlign w:val="center"/>
          </w:tcPr>
          <w:p w14:paraId="1DD7C79B">
            <w:pPr>
              <w:pStyle w:val="24"/>
              <w:snapToGrid w:val="0"/>
              <w:ind w:left="0" w:leftChars="0" w:right="0" w:rightChars="0" w:firstLine="0" w:firstLineChars="0"/>
              <w:jc w:val="center"/>
              <w:rPr>
                <w:b/>
                <w:color w:val="auto"/>
              </w:rPr>
            </w:pPr>
            <w:r>
              <w:rPr>
                <w:b/>
                <w:color w:val="auto"/>
              </w:rPr>
              <w:t>Symbol</w:t>
            </w:r>
          </w:p>
        </w:tc>
        <w:tc>
          <w:tcPr>
            <w:tcW w:w="5538" w:type="dxa"/>
            <w:tcBorders>
              <w:bottom w:val="single" w:color="auto" w:sz="0" w:space="0"/>
            </w:tcBorders>
            <w:vAlign w:val="center"/>
          </w:tcPr>
          <w:p w14:paraId="32FF76D2">
            <w:pPr>
              <w:pStyle w:val="24"/>
              <w:snapToGrid w:val="0"/>
              <w:ind w:left="0" w:leftChars="0" w:right="0" w:rightChars="0" w:firstLine="0" w:firstLineChars="0"/>
              <w:jc w:val="center"/>
              <w:rPr>
                <w:b/>
                <w:color w:val="auto"/>
              </w:rPr>
            </w:pPr>
            <w:r>
              <w:rPr>
                <w:b/>
                <w:color w:val="auto"/>
              </w:rPr>
              <w:t>Meaning</w:t>
            </w:r>
          </w:p>
        </w:tc>
        <w:tc>
          <w:tcPr>
            <w:tcW w:w="1936" w:type="dxa"/>
            <w:tcBorders>
              <w:bottom w:val="single" w:color="auto" w:sz="0" w:space="0"/>
            </w:tcBorders>
            <w:vAlign w:val="center"/>
          </w:tcPr>
          <w:p w14:paraId="0575B1B8">
            <w:pPr>
              <w:pStyle w:val="24"/>
              <w:snapToGrid w:val="0"/>
              <w:ind w:left="0" w:leftChars="0" w:right="0" w:rightChars="0" w:firstLine="0" w:firstLineChars="0"/>
              <w:jc w:val="center"/>
              <w:rPr>
                <w:b/>
                <w:color w:val="auto"/>
              </w:rPr>
            </w:pPr>
            <w:r>
              <w:rPr>
                <w:b/>
                <w:color w:val="auto"/>
              </w:rPr>
              <w:t>Units</w:t>
            </w:r>
          </w:p>
        </w:tc>
      </w:tr>
      <w:tr w14:paraId="4D3B745E">
        <w:tblPrEx>
          <w:tblCellMar>
            <w:top w:w="0" w:type="dxa"/>
            <w:left w:w="108" w:type="dxa"/>
            <w:bottom w:w="0" w:type="dxa"/>
            <w:right w:w="108" w:type="dxa"/>
          </w:tblCellMar>
        </w:tblPrEx>
        <w:trPr>
          <w:trHeight w:val="0" w:hRule="atLeast"/>
          <w:jc w:val="center"/>
        </w:trPr>
        <w:tc>
          <w:tcPr>
            <w:tcW w:w="1377" w:type="dxa"/>
            <w:vAlign w:val="center"/>
          </w:tcPr>
          <w:p w14:paraId="034CB329">
            <w:pPr>
              <w:pStyle w:val="24"/>
              <w:snapToGrid w:val="0"/>
              <w:ind w:left="0" w:leftChars="0" w:right="0" w:rightChars="0" w:firstLine="0" w:firstLineChars="0"/>
              <w:jc w:val="center"/>
              <w:rPr>
                <w:color w:val="auto"/>
              </w:rPr>
            </w:pPr>
            <m:oMathPara>
              <m:oMath>
                <m:sSub>
                  <m:sSubPr>
                    <m:ctrlPr>
                      <w:rPr>
                        <w:color w:val="auto"/>
                      </w:rPr>
                    </m:ctrlPr>
                  </m:sSubPr>
                  <m:e>
                    <m:r>
                      <m:rPr/>
                      <w:rPr>
                        <w:color w:val="auto"/>
                      </w:rPr>
                      <m:t>A</m:t>
                    </m:r>
                    <m:ctrlPr>
                      <w:rPr>
                        <w:color w:val="auto"/>
                      </w:rPr>
                    </m:ctrlPr>
                  </m:e>
                  <m:sub>
                    <m:r>
                      <m:rPr/>
                      <w:rPr>
                        <w:color w:val="auto"/>
                      </w:rPr>
                      <m:t>ij</m:t>
                    </m:r>
                    <m:ctrlPr>
                      <w:rPr>
                        <w:color w:val="auto"/>
                      </w:rPr>
                    </m:ctrlPr>
                  </m:sub>
                </m:sSub>
              </m:oMath>
            </m:oMathPara>
          </w:p>
        </w:tc>
        <w:tc>
          <w:tcPr>
            <w:tcW w:w="5538" w:type="dxa"/>
            <w:vAlign w:val="center"/>
          </w:tcPr>
          <w:p w14:paraId="0B3498DC">
            <w:pPr>
              <w:pStyle w:val="24"/>
              <w:snapToGrid w:val="0"/>
              <w:ind w:left="0" w:leftChars="0" w:right="0" w:rightChars="0" w:firstLine="0" w:firstLineChars="0"/>
              <w:jc w:val="left"/>
              <w:rPr>
                <w:color w:val="auto"/>
              </w:rPr>
            </w:pPr>
            <w:r>
              <w:rPr>
                <w:color w:val="auto"/>
              </w:rPr>
              <w:t xml:space="preserve">Area of face between cells </w:t>
            </w:r>
            <m:oMath>
              <m:r>
                <m:rPr/>
                <w:rPr>
                  <w:color w:val="auto"/>
                </w:rPr>
                <m:t>i</m:t>
              </m:r>
            </m:oMath>
            <w:r>
              <w:rPr>
                <w:color w:val="auto"/>
              </w:rPr>
              <w:t xml:space="preserve"> and </w:t>
            </w:r>
            <m:oMath>
              <m:r>
                <m:rPr/>
                <w:rPr>
                  <w:color w:val="auto"/>
                </w:rPr>
                <m:t>j</m:t>
              </m:r>
            </m:oMath>
          </w:p>
        </w:tc>
        <w:tc>
          <w:tcPr>
            <w:tcW w:w="1936" w:type="dxa"/>
            <w:vAlign w:val="center"/>
          </w:tcPr>
          <w:p w14:paraId="7131FB94">
            <w:pPr>
              <w:pStyle w:val="24"/>
              <w:snapToGrid w:val="0"/>
              <w:ind w:left="0" w:leftChars="0" w:right="0" w:rightChars="0" w:firstLine="0" w:firstLineChars="0"/>
              <w:jc w:val="left"/>
              <w:rPr>
                <w:color w:val="auto"/>
              </w:rPr>
            </w:pPr>
            <w:r>
              <w:rPr>
                <w:color w:val="auto"/>
              </w:rPr>
              <w:t>m²</w:t>
            </w:r>
          </w:p>
        </w:tc>
      </w:tr>
      <w:tr w14:paraId="14C6C78D">
        <w:tblPrEx>
          <w:tblCellMar>
            <w:top w:w="0" w:type="dxa"/>
            <w:left w:w="108" w:type="dxa"/>
            <w:bottom w:w="0" w:type="dxa"/>
            <w:right w:w="108" w:type="dxa"/>
          </w:tblCellMar>
        </w:tblPrEx>
        <w:trPr>
          <w:trHeight w:val="0" w:hRule="atLeast"/>
          <w:jc w:val="center"/>
        </w:trPr>
        <w:tc>
          <w:tcPr>
            <w:tcW w:w="1377" w:type="dxa"/>
            <w:vAlign w:val="center"/>
          </w:tcPr>
          <w:p w14:paraId="5193E093">
            <w:pPr>
              <w:pStyle w:val="24"/>
              <w:snapToGrid w:val="0"/>
              <w:ind w:left="0" w:leftChars="0" w:right="0" w:rightChars="0" w:firstLine="0" w:firstLineChars="0"/>
              <w:jc w:val="center"/>
              <w:rPr>
                <w:color w:val="auto"/>
              </w:rPr>
            </w:pPr>
            <m:oMathPara>
              <m:oMath>
                <m:sSub>
                  <m:sSubPr>
                    <m:ctrlPr>
                      <w:rPr>
                        <w:color w:val="auto"/>
                      </w:rPr>
                    </m:ctrlPr>
                  </m:sSubPr>
                  <m:e>
                    <m:r>
                      <m:rPr/>
                      <w:rPr>
                        <w:color w:val="auto"/>
                      </w:rPr>
                      <m:t>B</m:t>
                    </m:r>
                    <m:ctrlPr>
                      <w:rPr>
                        <w:color w:val="auto"/>
                      </w:rPr>
                    </m:ctrlPr>
                  </m:e>
                  <m:sub>
                    <m:r>
                      <m:rPr/>
                      <w:rPr>
                        <w:color w:val="auto"/>
                      </w:rPr>
                      <m:t>o</m:t>
                    </m:r>
                    <m:ctrlPr>
                      <w:rPr>
                        <w:color w:val="auto"/>
                      </w:rPr>
                    </m:ctrlPr>
                  </m:sub>
                </m:sSub>
                <m:r>
                  <m:rPr/>
                  <w:rPr>
                    <w:color w:val="auto"/>
                  </w:rPr>
                  <m:t>,</m:t>
                </m:r>
                <m:sSub>
                  <m:sSubPr>
                    <m:ctrlPr>
                      <w:rPr>
                        <w:color w:val="auto"/>
                      </w:rPr>
                    </m:ctrlPr>
                  </m:sSubPr>
                  <m:e>
                    <m:r>
                      <m:rPr/>
                      <w:rPr>
                        <w:color w:val="auto"/>
                      </w:rPr>
                      <m:t>B</m:t>
                    </m:r>
                    <m:ctrlPr>
                      <w:rPr>
                        <w:color w:val="auto"/>
                      </w:rPr>
                    </m:ctrlPr>
                  </m:e>
                  <m:sub>
                    <m:r>
                      <m:rPr/>
                      <w:rPr>
                        <w:color w:val="auto"/>
                      </w:rPr>
                      <m:t>g</m:t>
                    </m:r>
                    <m:ctrlPr>
                      <w:rPr>
                        <w:color w:val="auto"/>
                      </w:rPr>
                    </m:ctrlPr>
                  </m:sub>
                </m:sSub>
                <m:r>
                  <m:rPr/>
                  <w:rPr>
                    <w:color w:val="auto"/>
                  </w:rPr>
                  <m:t>,</m:t>
                </m:r>
                <m:sSub>
                  <m:sSubPr>
                    <m:ctrlPr>
                      <w:rPr>
                        <w:color w:val="auto"/>
                      </w:rPr>
                    </m:ctrlPr>
                  </m:sSubPr>
                  <m:e>
                    <m:r>
                      <m:rPr/>
                      <w:rPr>
                        <w:color w:val="auto"/>
                      </w:rPr>
                      <m:t>B</m:t>
                    </m:r>
                    <m:ctrlPr>
                      <w:rPr>
                        <w:color w:val="auto"/>
                      </w:rPr>
                    </m:ctrlPr>
                  </m:e>
                  <m:sub>
                    <m:r>
                      <m:rPr/>
                      <w:rPr>
                        <w:color w:val="auto"/>
                      </w:rPr>
                      <m:t>w</m:t>
                    </m:r>
                    <m:ctrlPr>
                      <w:rPr>
                        <w:color w:val="auto"/>
                      </w:rPr>
                    </m:ctrlPr>
                  </m:sub>
                </m:sSub>
              </m:oMath>
            </m:oMathPara>
          </w:p>
        </w:tc>
        <w:tc>
          <w:tcPr>
            <w:tcW w:w="5538" w:type="dxa"/>
            <w:vAlign w:val="center"/>
          </w:tcPr>
          <w:p w14:paraId="0A7793DE">
            <w:pPr>
              <w:pStyle w:val="24"/>
              <w:snapToGrid w:val="0"/>
              <w:ind w:left="0" w:leftChars="0" w:right="0" w:rightChars="0" w:firstLine="0" w:firstLineChars="0"/>
              <w:jc w:val="left"/>
              <w:rPr>
                <w:color w:val="auto"/>
              </w:rPr>
            </w:pPr>
            <w:r>
              <w:rPr>
                <w:color w:val="auto"/>
              </w:rPr>
              <w:t>Oil, gas, water formation volume factors</w:t>
            </w:r>
          </w:p>
        </w:tc>
        <w:tc>
          <w:tcPr>
            <w:tcW w:w="1936" w:type="dxa"/>
            <w:vAlign w:val="center"/>
          </w:tcPr>
          <w:p w14:paraId="1F691663">
            <w:pPr>
              <w:pStyle w:val="24"/>
              <w:snapToGrid w:val="0"/>
              <w:ind w:left="0" w:leftChars="0" w:right="0" w:rightChars="0" w:firstLine="0" w:firstLineChars="0"/>
              <w:jc w:val="left"/>
              <w:rPr>
                <w:color w:val="auto"/>
              </w:rPr>
            </w:pPr>
            <w:r>
              <w:rPr>
                <w:color w:val="auto"/>
              </w:rPr>
              <w:t>m³/sm³</w:t>
            </w:r>
          </w:p>
        </w:tc>
      </w:tr>
      <w:tr w14:paraId="4AA3A6C5">
        <w:tblPrEx>
          <w:tblCellMar>
            <w:top w:w="0" w:type="dxa"/>
            <w:left w:w="108" w:type="dxa"/>
            <w:bottom w:w="0" w:type="dxa"/>
            <w:right w:w="108" w:type="dxa"/>
          </w:tblCellMar>
        </w:tblPrEx>
        <w:trPr>
          <w:trHeight w:val="0" w:hRule="atLeast"/>
          <w:jc w:val="center"/>
        </w:trPr>
        <w:tc>
          <w:tcPr>
            <w:tcW w:w="1377" w:type="dxa"/>
            <w:vAlign w:val="center"/>
          </w:tcPr>
          <w:p w14:paraId="65338A9E">
            <w:pPr>
              <w:pStyle w:val="24"/>
              <w:snapToGrid w:val="0"/>
              <w:ind w:left="0" w:leftChars="0" w:right="0" w:rightChars="0" w:firstLine="0" w:firstLineChars="0"/>
              <w:jc w:val="center"/>
              <w:rPr>
                <w:color w:val="auto"/>
              </w:rPr>
            </w:pPr>
            <m:oMathPara>
              <m:oMath>
                <m:sSub>
                  <m:sSubPr>
                    <m:ctrlPr>
                      <w:rPr>
                        <w:color w:val="auto"/>
                      </w:rPr>
                    </m:ctrlPr>
                  </m:sSubPr>
                  <m:e>
                    <m:r>
                      <m:rPr/>
                      <w:rPr>
                        <w:color w:val="auto"/>
                      </w:rPr>
                      <m:t>c</m:t>
                    </m:r>
                    <m:ctrlPr>
                      <w:rPr>
                        <w:color w:val="auto"/>
                      </w:rPr>
                    </m:ctrlPr>
                  </m:e>
                  <m:sub>
                    <m:r>
                      <m:rPr/>
                      <w:rPr>
                        <w:color w:val="auto"/>
                      </w:rPr>
                      <m:t>r</m:t>
                    </m:r>
                    <m:ctrlPr>
                      <w:rPr>
                        <w:color w:val="auto"/>
                      </w:rPr>
                    </m:ctrlPr>
                  </m:sub>
                </m:sSub>
              </m:oMath>
            </m:oMathPara>
          </w:p>
        </w:tc>
        <w:tc>
          <w:tcPr>
            <w:tcW w:w="5538" w:type="dxa"/>
            <w:vAlign w:val="center"/>
          </w:tcPr>
          <w:p w14:paraId="7A6D9650">
            <w:pPr>
              <w:pStyle w:val="24"/>
              <w:snapToGrid w:val="0"/>
              <w:ind w:left="0" w:leftChars="0" w:right="0" w:rightChars="0" w:firstLine="0" w:firstLineChars="0"/>
              <w:jc w:val="left"/>
              <w:rPr>
                <w:color w:val="auto"/>
              </w:rPr>
            </w:pPr>
            <w:r>
              <w:rPr>
                <w:color w:val="auto"/>
              </w:rPr>
              <w:t>Rock compressibility</w:t>
            </w:r>
          </w:p>
        </w:tc>
        <w:tc>
          <w:tcPr>
            <w:tcW w:w="1936" w:type="dxa"/>
            <w:vAlign w:val="center"/>
          </w:tcPr>
          <w:p w14:paraId="314D0818">
            <w:pPr>
              <w:pStyle w:val="24"/>
              <w:snapToGrid w:val="0"/>
              <w:ind w:left="0" w:leftChars="0" w:right="0" w:rightChars="0" w:firstLine="0" w:firstLineChars="0"/>
              <w:jc w:val="left"/>
              <w:rPr>
                <w:color w:val="auto"/>
              </w:rPr>
            </w:pPr>
            <w:r>
              <w:rPr>
                <w:color w:val="auto"/>
              </w:rPr>
              <w:t>psi⁻¹</w:t>
            </w:r>
          </w:p>
        </w:tc>
      </w:tr>
      <w:tr w14:paraId="0B39A19A">
        <w:tblPrEx>
          <w:tblCellMar>
            <w:top w:w="0" w:type="dxa"/>
            <w:left w:w="108" w:type="dxa"/>
            <w:bottom w:w="0" w:type="dxa"/>
            <w:right w:w="108" w:type="dxa"/>
          </w:tblCellMar>
        </w:tblPrEx>
        <w:trPr>
          <w:trHeight w:val="0" w:hRule="atLeast"/>
          <w:jc w:val="center"/>
        </w:trPr>
        <w:tc>
          <w:tcPr>
            <w:tcW w:w="1377" w:type="dxa"/>
            <w:vAlign w:val="center"/>
          </w:tcPr>
          <w:p w14:paraId="68FD4988">
            <w:pPr>
              <w:pStyle w:val="24"/>
              <w:snapToGrid w:val="0"/>
              <w:ind w:left="0" w:leftChars="0" w:right="0" w:rightChars="0" w:firstLine="0" w:firstLineChars="0"/>
              <w:jc w:val="center"/>
              <w:rPr>
                <w:color w:val="auto"/>
              </w:rPr>
            </w:pPr>
            <m:oMathPara>
              <m:oMath>
                <m:sSub>
                  <m:sSubPr>
                    <m:ctrlPr>
                      <w:rPr>
                        <w:color w:val="auto"/>
                      </w:rPr>
                    </m:ctrlPr>
                  </m:sSubPr>
                  <m:e>
                    <m:r>
                      <m:rPr/>
                      <w:rPr>
                        <w:color w:val="auto"/>
                      </w:rPr>
                      <m:t>d</m:t>
                    </m:r>
                    <m:ctrlPr>
                      <w:rPr>
                        <w:color w:val="auto"/>
                      </w:rPr>
                    </m:ctrlPr>
                  </m:e>
                  <m:sub>
                    <m:r>
                      <m:rPr/>
                      <w:rPr>
                        <w:color w:val="auto"/>
                      </w:rPr>
                      <m:t>i</m:t>
                    </m:r>
                    <m:ctrlPr>
                      <w:rPr>
                        <w:color w:val="auto"/>
                      </w:rPr>
                    </m:ctrlPr>
                  </m:sub>
                </m:sSub>
              </m:oMath>
            </m:oMathPara>
          </w:p>
        </w:tc>
        <w:tc>
          <w:tcPr>
            <w:tcW w:w="5538" w:type="dxa"/>
            <w:vAlign w:val="center"/>
          </w:tcPr>
          <w:p w14:paraId="7B8F0DB9">
            <w:pPr>
              <w:pStyle w:val="24"/>
              <w:snapToGrid w:val="0"/>
              <w:ind w:left="0" w:leftChars="0" w:right="0" w:rightChars="0" w:firstLine="0" w:firstLineChars="0"/>
              <w:jc w:val="left"/>
              <w:rPr>
                <w:color w:val="auto"/>
              </w:rPr>
            </w:pPr>
            <w:r>
              <w:rPr>
                <w:color w:val="auto"/>
              </w:rPr>
              <w:t xml:space="preserve">Distance from generator point </w:t>
            </w:r>
            <m:oMath>
              <m:r>
                <m:rPr/>
                <w:rPr>
                  <w:color w:val="auto"/>
                </w:rPr>
                <m:t>i</m:t>
              </m:r>
            </m:oMath>
            <w:r>
              <w:rPr>
                <w:color w:val="auto"/>
              </w:rPr>
              <w:t xml:space="preserve"> to face</w:t>
            </w:r>
          </w:p>
        </w:tc>
        <w:tc>
          <w:tcPr>
            <w:tcW w:w="1936" w:type="dxa"/>
            <w:vAlign w:val="center"/>
          </w:tcPr>
          <w:p w14:paraId="4A1A9C1E">
            <w:pPr>
              <w:pStyle w:val="24"/>
              <w:snapToGrid w:val="0"/>
              <w:ind w:left="0" w:leftChars="0" w:right="0" w:rightChars="0" w:firstLine="0" w:firstLineChars="0"/>
              <w:jc w:val="left"/>
              <w:rPr>
                <w:color w:val="auto"/>
              </w:rPr>
            </w:pPr>
            <w:r>
              <w:rPr>
                <w:color w:val="auto"/>
              </w:rPr>
              <w:t>m</w:t>
            </w:r>
          </w:p>
        </w:tc>
      </w:tr>
      <w:tr w14:paraId="49191DD2">
        <w:tblPrEx>
          <w:tblCellMar>
            <w:top w:w="0" w:type="dxa"/>
            <w:left w:w="108" w:type="dxa"/>
            <w:bottom w:w="0" w:type="dxa"/>
            <w:right w:w="108" w:type="dxa"/>
          </w:tblCellMar>
        </w:tblPrEx>
        <w:trPr>
          <w:trHeight w:val="0" w:hRule="atLeast"/>
          <w:jc w:val="center"/>
        </w:trPr>
        <w:tc>
          <w:tcPr>
            <w:tcW w:w="1377" w:type="dxa"/>
            <w:vAlign w:val="center"/>
          </w:tcPr>
          <w:p w14:paraId="16677A30">
            <w:pPr>
              <w:pStyle w:val="24"/>
              <w:snapToGrid w:val="0"/>
              <w:ind w:left="0" w:leftChars="0" w:right="0" w:rightChars="0" w:firstLine="0" w:firstLineChars="0"/>
              <w:jc w:val="center"/>
              <w:rPr>
                <w:color w:val="auto"/>
              </w:rPr>
            </w:pPr>
            <m:oMathPara>
              <m:oMath>
                <m:r>
                  <m:rPr/>
                  <w:rPr>
                    <w:color w:val="auto"/>
                  </w:rPr>
                  <m:t>h(x)</m:t>
                </m:r>
              </m:oMath>
            </m:oMathPara>
          </w:p>
        </w:tc>
        <w:tc>
          <w:tcPr>
            <w:tcW w:w="5538" w:type="dxa"/>
            <w:vAlign w:val="center"/>
          </w:tcPr>
          <w:p w14:paraId="09AF4EF8">
            <w:pPr>
              <w:pStyle w:val="24"/>
              <w:snapToGrid w:val="0"/>
              <w:ind w:left="0" w:leftChars="0" w:right="0" w:rightChars="0" w:firstLine="0" w:firstLineChars="0"/>
              <w:jc w:val="left"/>
              <w:rPr>
                <w:color w:val="auto"/>
              </w:rPr>
            </w:pPr>
            <w:r>
              <w:rPr>
                <w:color w:val="auto"/>
              </w:rPr>
              <w:t xml:space="preserve">Target element spacing at point </w:t>
            </w:r>
            <m:oMath>
              <m:r>
                <m:rPr/>
                <w:rPr>
                  <w:color w:val="auto"/>
                </w:rPr>
                <m:t>x</m:t>
              </m:r>
            </m:oMath>
          </w:p>
        </w:tc>
        <w:tc>
          <w:tcPr>
            <w:tcW w:w="1936" w:type="dxa"/>
            <w:vAlign w:val="center"/>
          </w:tcPr>
          <w:p w14:paraId="0DD74F6E">
            <w:pPr>
              <w:pStyle w:val="24"/>
              <w:snapToGrid w:val="0"/>
              <w:ind w:left="0" w:leftChars="0" w:right="0" w:rightChars="0" w:firstLine="0" w:firstLineChars="0"/>
              <w:jc w:val="left"/>
              <w:rPr>
                <w:color w:val="auto"/>
              </w:rPr>
            </w:pPr>
            <w:r>
              <w:rPr>
                <w:color w:val="auto"/>
              </w:rPr>
              <w:t>m</w:t>
            </w:r>
          </w:p>
        </w:tc>
      </w:tr>
      <w:tr w14:paraId="56BC044B">
        <w:tblPrEx>
          <w:tblCellMar>
            <w:top w:w="0" w:type="dxa"/>
            <w:left w:w="108" w:type="dxa"/>
            <w:bottom w:w="0" w:type="dxa"/>
            <w:right w:w="108" w:type="dxa"/>
          </w:tblCellMar>
        </w:tblPrEx>
        <w:trPr>
          <w:trHeight w:val="0" w:hRule="atLeast"/>
          <w:jc w:val="center"/>
        </w:trPr>
        <w:tc>
          <w:tcPr>
            <w:tcW w:w="1377" w:type="dxa"/>
            <w:vAlign w:val="center"/>
          </w:tcPr>
          <w:p w14:paraId="0130FDFC">
            <w:pPr>
              <w:pStyle w:val="24"/>
              <w:snapToGrid w:val="0"/>
              <w:ind w:left="0" w:leftChars="0" w:right="0" w:rightChars="0" w:firstLine="0" w:firstLineChars="0"/>
              <w:jc w:val="center"/>
              <w:rPr>
                <w:color w:val="auto"/>
              </w:rPr>
            </w:pPr>
            <m:oMathPara>
              <m:oMath>
                <m:sSub>
                  <m:sSubPr>
                    <m:ctrlPr>
                      <w:rPr>
                        <w:color w:val="auto"/>
                      </w:rPr>
                    </m:ctrlPr>
                  </m:sSubPr>
                  <m:e>
                    <m:r>
                      <m:rPr/>
                      <w:rPr>
                        <w:color w:val="auto"/>
                      </w:rPr>
                      <m:t>h</m:t>
                    </m:r>
                    <m:ctrlPr>
                      <w:rPr>
                        <w:color w:val="auto"/>
                      </w:rPr>
                    </m:ctrlPr>
                  </m:e>
                  <m:sub>
                    <m:r>
                      <m:rPr/>
                      <w:rPr>
                        <w:color w:val="auto"/>
                      </w:rPr>
                      <m:t>n</m:t>
                    </m:r>
                    <m:ctrlPr>
                      <w:rPr>
                        <w:color w:val="auto"/>
                      </w:rPr>
                    </m:ctrlPr>
                  </m:sub>
                </m:sSub>
                <m:r>
                  <m:rPr/>
                  <w:rPr>
                    <w:color w:val="auto"/>
                  </w:rPr>
                  <m:t>,</m:t>
                </m:r>
                <m:sSub>
                  <m:sSubPr>
                    <m:ctrlPr>
                      <w:rPr>
                        <w:color w:val="auto"/>
                      </w:rPr>
                    </m:ctrlPr>
                  </m:sSubPr>
                  <m:e>
                    <m:r>
                      <m:rPr/>
                      <w:rPr>
                        <w:color w:val="auto"/>
                      </w:rPr>
                      <m:t>h</m:t>
                    </m:r>
                    <m:ctrlPr>
                      <w:rPr>
                        <w:color w:val="auto"/>
                      </w:rPr>
                    </m:ctrlPr>
                  </m:e>
                  <m:sub>
                    <m:r>
                      <m:rPr/>
                      <w:rPr>
                        <w:color w:val="auto"/>
                      </w:rPr>
                      <m:t>f</m:t>
                    </m:r>
                    <m:ctrlPr>
                      <w:rPr>
                        <w:color w:val="auto"/>
                      </w:rPr>
                    </m:ctrlPr>
                  </m:sub>
                </m:sSub>
              </m:oMath>
            </m:oMathPara>
          </w:p>
        </w:tc>
        <w:tc>
          <w:tcPr>
            <w:tcW w:w="5538" w:type="dxa"/>
            <w:vAlign w:val="center"/>
          </w:tcPr>
          <w:p w14:paraId="5203CEEA">
            <w:pPr>
              <w:pStyle w:val="24"/>
              <w:snapToGrid w:val="0"/>
              <w:ind w:left="0" w:leftChars="0" w:right="0" w:rightChars="0" w:firstLine="0" w:firstLineChars="0"/>
              <w:jc w:val="left"/>
              <w:rPr>
                <w:color w:val="auto"/>
              </w:rPr>
            </w:pPr>
            <w:r>
              <w:rPr>
                <w:color w:val="auto"/>
              </w:rPr>
              <w:t>Near-fracture and far-field target spacing</w:t>
            </w:r>
          </w:p>
        </w:tc>
        <w:tc>
          <w:tcPr>
            <w:tcW w:w="1936" w:type="dxa"/>
            <w:vAlign w:val="center"/>
          </w:tcPr>
          <w:p w14:paraId="100A7338">
            <w:pPr>
              <w:pStyle w:val="24"/>
              <w:snapToGrid w:val="0"/>
              <w:ind w:left="0" w:leftChars="0" w:right="0" w:rightChars="0" w:firstLine="0" w:firstLineChars="0"/>
              <w:jc w:val="left"/>
              <w:rPr>
                <w:color w:val="auto"/>
              </w:rPr>
            </w:pPr>
            <w:r>
              <w:rPr>
                <w:color w:val="auto"/>
              </w:rPr>
              <w:t>m</w:t>
            </w:r>
          </w:p>
        </w:tc>
      </w:tr>
      <w:tr w14:paraId="7580C4AD">
        <w:tblPrEx>
          <w:tblCellMar>
            <w:top w:w="0" w:type="dxa"/>
            <w:left w:w="108" w:type="dxa"/>
            <w:bottom w:w="0" w:type="dxa"/>
            <w:right w:w="108" w:type="dxa"/>
          </w:tblCellMar>
        </w:tblPrEx>
        <w:trPr>
          <w:trHeight w:val="0" w:hRule="atLeast"/>
          <w:jc w:val="center"/>
        </w:trPr>
        <w:tc>
          <w:tcPr>
            <w:tcW w:w="1377" w:type="dxa"/>
            <w:vAlign w:val="center"/>
          </w:tcPr>
          <w:p w14:paraId="580E20A7">
            <w:pPr>
              <w:pStyle w:val="24"/>
              <w:snapToGrid w:val="0"/>
              <w:ind w:left="0" w:leftChars="0" w:right="0" w:rightChars="0" w:firstLine="0" w:firstLineChars="0"/>
              <w:jc w:val="center"/>
              <w:rPr>
                <w:color w:val="auto"/>
              </w:rPr>
            </w:pPr>
            <m:oMathPara>
              <m:oMath>
                <m:sSub>
                  <m:sSubPr>
                    <m:ctrlPr>
                      <w:rPr>
                        <w:color w:val="auto"/>
                      </w:rPr>
                    </m:ctrlPr>
                  </m:sSubPr>
                  <m:e>
                    <m:r>
                      <m:rPr/>
                      <w:rPr>
                        <w:color w:val="auto"/>
                      </w:rPr>
                      <m:t>h</m:t>
                    </m:r>
                    <m:ctrlPr>
                      <w:rPr>
                        <w:color w:val="auto"/>
                      </w:rPr>
                    </m:ctrlPr>
                  </m:e>
                  <m:sub>
                    <m:r>
                      <m:rPr>
                        <m:nor/>
                        <m:sty m:val="p"/>
                      </m:rPr>
                      <w:rPr>
                        <w:b w:val="0"/>
                        <w:i w:val="0"/>
                        <w:color w:val="auto"/>
                      </w:rPr>
                      <m:t>min</m:t>
                    </m:r>
                    <m:ctrlPr>
                      <w:rPr>
                        <w:color w:val="auto"/>
                      </w:rPr>
                    </m:ctrlPr>
                  </m:sub>
                </m:sSub>
              </m:oMath>
            </m:oMathPara>
          </w:p>
        </w:tc>
        <w:tc>
          <w:tcPr>
            <w:tcW w:w="5538" w:type="dxa"/>
            <w:vAlign w:val="center"/>
          </w:tcPr>
          <w:p w14:paraId="6C3AF443">
            <w:pPr>
              <w:pStyle w:val="24"/>
              <w:snapToGrid w:val="0"/>
              <w:ind w:left="0" w:leftChars="0" w:right="0" w:rightChars="0" w:firstLine="0" w:firstLineChars="0"/>
              <w:jc w:val="left"/>
              <w:rPr>
                <w:color w:val="auto"/>
              </w:rPr>
            </w:pPr>
            <w:r>
              <w:rPr>
                <w:color w:val="auto"/>
              </w:rPr>
              <w:t>Minimum distance to fracture network</w:t>
            </w:r>
          </w:p>
        </w:tc>
        <w:tc>
          <w:tcPr>
            <w:tcW w:w="1936" w:type="dxa"/>
            <w:vAlign w:val="center"/>
          </w:tcPr>
          <w:p w14:paraId="73250365">
            <w:pPr>
              <w:pStyle w:val="24"/>
              <w:snapToGrid w:val="0"/>
              <w:ind w:left="0" w:leftChars="0" w:right="0" w:rightChars="0" w:firstLine="0" w:firstLineChars="0"/>
              <w:jc w:val="left"/>
              <w:rPr>
                <w:color w:val="auto"/>
              </w:rPr>
            </w:pPr>
            <w:r>
              <w:rPr>
                <w:color w:val="auto"/>
              </w:rPr>
              <w:t>m</w:t>
            </w:r>
          </w:p>
        </w:tc>
      </w:tr>
      <w:tr w14:paraId="7376CB01">
        <w:tblPrEx>
          <w:tblCellMar>
            <w:top w:w="0" w:type="dxa"/>
            <w:left w:w="108" w:type="dxa"/>
            <w:bottom w:w="0" w:type="dxa"/>
            <w:right w:w="108" w:type="dxa"/>
          </w:tblCellMar>
        </w:tblPrEx>
        <w:trPr>
          <w:trHeight w:val="0" w:hRule="atLeast"/>
          <w:jc w:val="center"/>
        </w:trPr>
        <w:tc>
          <w:tcPr>
            <w:tcW w:w="1377" w:type="dxa"/>
            <w:vAlign w:val="center"/>
          </w:tcPr>
          <w:p w14:paraId="274B7082">
            <w:pPr>
              <w:pStyle w:val="24"/>
              <w:snapToGrid w:val="0"/>
              <w:ind w:left="0" w:leftChars="0" w:right="0" w:rightChars="0" w:firstLine="0" w:firstLineChars="0"/>
              <w:jc w:val="center"/>
              <w:rPr>
                <w:color w:val="auto"/>
              </w:rPr>
            </w:pPr>
            <m:oMathPara>
              <m:oMath>
                <m:r>
                  <m:rPr>
                    <m:sty m:val="b"/>
                  </m:rPr>
                  <w:rPr>
                    <w:color w:val="auto"/>
                  </w:rPr>
                  <m:t>K</m:t>
                </m:r>
              </m:oMath>
            </m:oMathPara>
          </w:p>
        </w:tc>
        <w:tc>
          <w:tcPr>
            <w:tcW w:w="5538" w:type="dxa"/>
            <w:vAlign w:val="center"/>
          </w:tcPr>
          <w:p w14:paraId="525CCEDF">
            <w:pPr>
              <w:pStyle w:val="24"/>
              <w:snapToGrid w:val="0"/>
              <w:ind w:left="0" w:leftChars="0" w:right="0" w:rightChars="0" w:firstLine="0" w:firstLineChars="0"/>
              <w:jc w:val="left"/>
              <w:rPr>
                <w:color w:val="auto"/>
              </w:rPr>
            </w:pPr>
            <w:r>
              <w:rPr>
                <w:color w:val="auto"/>
              </w:rPr>
              <w:t>Absolute permeability tensor</w:t>
            </w:r>
          </w:p>
        </w:tc>
        <w:tc>
          <w:tcPr>
            <w:tcW w:w="1936" w:type="dxa"/>
            <w:vAlign w:val="center"/>
          </w:tcPr>
          <w:p w14:paraId="3C0B8DB0">
            <w:pPr>
              <w:pStyle w:val="24"/>
              <w:snapToGrid w:val="0"/>
              <w:ind w:left="0" w:leftChars="0" w:right="0" w:rightChars="0" w:firstLine="0" w:firstLineChars="0"/>
              <w:jc w:val="left"/>
              <w:rPr>
                <w:color w:val="auto"/>
              </w:rPr>
            </w:pPr>
            <w:r>
              <w:rPr>
                <w:color w:val="auto"/>
              </w:rPr>
              <w:t>mD</w:t>
            </w:r>
          </w:p>
        </w:tc>
      </w:tr>
      <w:tr w14:paraId="54E2C384">
        <w:tblPrEx>
          <w:tblCellMar>
            <w:top w:w="0" w:type="dxa"/>
            <w:left w:w="108" w:type="dxa"/>
            <w:bottom w:w="0" w:type="dxa"/>
            <w:right w:w="108" w:type="dxa"/>
          </w:tblCellMar>
        </w:tblPrEx>
        <w:trPr>
          <w:trHeight w:val="0" w:hRule="atLeast"/>
          <w:jc w:val="center"/>
        </w:trPr>
        <w:tc>
          <w:tcPr>
            <w:tcW w:w="1377" w:type="dxa"/>
            <w:vAlign w:val="center"/>
          </w:tcPr>
          <w:p w14:paraId="0B020A74">
            <w:pPr>
              <w:pStyle w:val="24"/>
              <w:snapToGrid w:val="0"/>
              <w:ind w:left="0" w:leftChars="0" w:right="0" w:rightChars="0" w:firstLine="0" w:firstLineChars="0"/>
              <w:jc w:val="center"/>
              <w:rPr>
                <w:color w:val="auto"/>
              </w:rPr>
            </w:pPr>
            <m:oMathPara>
              <m:oMath>
                <m:sSub>
                  <m:sSubPr>
                    <m:ctrlPr>
                      <w:rPr>
                        <w:color w:val="auto"/>
                      </w:rPr>
                    </m:ctrlPr>
                  </m:sSubPr>
                  <m:e>
                    <m:r>
                      <m:rPr/>
                      <w:rPr>
                        <w:color w:val="auto"/>
                      </w:rPr>
                      <m:t>N</m:t>
                    </m:r>
                    <m:ctrlPr>
                      <w:rPr>
                        <w:color w:val="auto"/>
                      </w:rPr>
                    </m:ctrlPr>
                  </m:e>
                  <m:sub>
                    <m:r>
                      <m:rPr/>
                      <w:rPr>
                        <w:color w:val="auto"/>
                      </w:rPr>
                      <m:t>c</m:t>
                    </m:r>
                    <m:ctrlPr>
                      <w:rPr>
                        <w:color w:val="auto"/>
                      </w:rPr>
                    </m:ctrlPr>
                  </m:sub>
                </m:sSub>
              </m:oMath>
            </m:oMathPara>
          </w:p>
        </w:tc>
        <w:tc>
          <w:tcPr>
            <w:tcW w:w="5538" w:type="dxa"/>
            <w:vAlign w:val="center"/>
          </w:tcPr>
          <w:p w14:paraId="137E15FB">
            <w:pPr>
              <w:pStyle w:val="24"/>
              <w:snapToGrid w:val="0"/>
              <w:ind w:left="0" w:leftChars="0" w:right="0" w:rightChars="0" w:firstLine="0" w:firstLineChars="0"/>
              <w:jc w:val="left"/>
              <w:rPr>
                <w:color w:val="auto"/>
              </w:rPr>
            </w:pPr>
            <w:r>
              <w:rPr>
                <w:color w:val="auto"/>
              </w:rPr>
              <w:t>Number of computational cells</w:t>
            </w:r>
          </w:p>
        </w:tc>
        <w:tc>
          <w:tcPr>
            <w:tcW w:w="1936" w:type="dxa"/>
            <w:vAlign w:val="center"/>
          </w:tcPr>
          <w:p w14:paraId="078C1C80">
            <w:pPr>
              <w:pStyle w:val="24"/>
              <w:snapToGrid w:val="0"/>
              <w:ind w:left="0" w:leftChars="0" w:right="0" w:rightChars="0" w:firstLine="0" w:firstLineChars="0"/>
              <w:jc w:val="left"/>
              <w:rPr>
                <w:color w:val="auto"/>
              </w:rPr>
            </w:pPr>
            <w:r>
              <w:rPr>
                <w:color w:val="auto"/>
              </w:rPr>
              <w:t>—</w:t>
            </w:r>
          </w:p>
        </w:tc>
      </w:tr>
      <w:tr w14:paraId="443526B7">
        <w:tblPrEx>
          <w:tblCellMar>
            <w:top w:w="0" w:type="dxa"/>
            <w:left w:w="108" w:type="dxa"/>
            <w:bottom w:w="0" w:type="dxa"/>
            <w:right w:w="108" w:type="dxa"/>
          </w:tblCellMar>
        </w:tblPrEx>
        <w:trPr>
          <w:trHeight w:val="0" w:hRule="atLeast"/>
          <w:jc w:val="center"/>
        </w:trPr>
        <w:tc>
          <w:tcPr>
            <w:tcW w:w="1377" w:type="dxa"/>
            <w:vAlign w:val="center"/>
          </w:tcPr>
          <w:p w14:paraId="7C2D5D75">
            <w:pPr>
              <w:pStyle w:val="24"/>
              <w:snapToGrid w:val="0"/>
              <w:ind w:left="0" w:leftChars="0" w:right="0" w:rightChars="0" w:firstLine="0" w:firstLineChars="0"/>
              <w:jc w:val="center"/>
              <w:rPr>
                <w:color w:val="auto"/>
              </w:rPr>
            </w:pPr>
            <m:oMathPara>
              <m:oMath>
                <m:sSub>
                  <m:sSubPr>
                    <m:ctrlPr>
                      <w:rPr>
                        <w:color w:val="auto"/>
                      </w:rPr>
                    </m:ctrlPr>
                  </m:sSubPr>
                  <m:e>
                    <m:r>
                      <m:rPr>
                        <m:sty m:val="b"/>
                      </m:rPr>
                      <w:rPr>
                        <w:color w:val="auto"/>
                      </w:rPr>
                      <m:t>n</m:t>
                    </m:r>
                    <m:ctrlPr>
                      <w:rPr>
                        <w:color w:val="auto"/>
                      </w:rPr>
                    </m:ctrlPr>
                  </m:e>
                  <m:sub>
                    <m:r>
                      <m:rPr/>
                      <w:rPr>
                        <w:color w:val="auto"/>
                      </w:rPr>
                      <m:t>ij</m:t>
                    </m:r>
                    <m:ctrlPr>
                      <w:rPr>
                        <w:color w:val="auto"/>
                      </w:rPr>
                    </m:ctrlPr>
                  </m:sub>
                </m:sSub>
              </m:oMath>
            </m:oMathPara>
          </w:p>
        </w:tc>
        <w:tc>
          <w:tcPr>
            <w:tcW w:w="5538" w:type="dxa"/>
            <w:vAlign w:val="center"/>
          </w:tcPr>
          <w:p w14:paraId="64270927">
            <w:pPr>
              <w:pStyle w:val="24"/>
              <w:snapToGrid w:val="0"/>
              <w:ind w:left="0" w:leftChars="0" w:right="0" w:rightChars="0" w:firstLine="0" w:firstLineChars="0"/>
              <w:jc w:val="left"/>
              <w:rPr>
                <w:color w:val="auto"/>
              </w:rPr>
            </w:pPr>
            <w:r>
              <w:rPr>
                <w:color w:val="auto"/>
              </w:rPr>
              <w:t xml:space="preserve">Outward unit normal on face </w:t>
            </w:r>
            <m:oMath>
              <m:r>
                <m:rPr/>
                <w:rPr>
                  <w:color w:val="auto"/>
                </w:rPr>
                <m:t>ij</m:t>
              </m:r>
            </m:oMath>
          </w:p>
        </w:tc>
        <w:tc>
          <w:tcPr>
            <w:tcW w:w="1936" w:type="dxa"/>
            <w:vAlign w:val="center"/>
          </w:tcPr>
          <w:p w14:paraId="340EA871">
            <w:pPr>
              <w:pStyle w:val="24"/>
              <w:snapToGrid w:val="0"/>
              <w:ind w:left="0" w:leftChars="0" w:right="0" w:rightChars="0" w:firstLine="0" w:firstLineChars="0"/>
              <w:jc w:val="left"/>
              <w:rPr>
                <w:color w:val="auto"/>
              </w:rPr>
            </w:pPr>
            <w:r>
              <w:rPr>
                <w:color w:val="auto"/>
              </w:rPr>
              <w:t>—</w:t>
            </w:r>
          </w:p>
        </w:tc>
      </w:tr>
      <w:tr w14:paraId="3BAC8A76">
        <w:tblPrEx>
          <w:tblCellMar>
            <w:top w:w="0" w:type="dxa"/>
            <w:left w:w="108" w:type="dxa"/>
            <w:bottom w:w="0" w:type="dxa"/>
            <w:right w:w="108" w:type="dxa"/>
          </w:tblCellMar>
        </w:tblPrEx>
        <w:trPr>
          <w:trHeight w:val="0" w:hRule="atLeast"/>
          <w:jc w:val="center"/>
        </w:trPr>
        <w:tc>
          <w:tcPr>
            <w:tcW w:w="1377" w:type="dxa"/>
            <w:vAlign w:val="center"/>
          </w:tcPr>
          <w:p w14:paraId="26187060">
            <w:pPr>
              <w:pStyle w:val="24"/>
              <w:snapToGrid w:val="0"/>
              <w:ind w:left="0" w:leftChars="0" w:right="0" w:rightChars="0" w:firstLine="0" w:firstLineChars="0"/>
              <w:jc w:val="center"/>
              <w:rPr>
                <w:color w:val="auto"/>
              </w:rPr>
            </w:pPr>
            <m:oMathPara>
              <m:oMath>
                <m:r>
                  <m:rPr/>
                  <w:rPr>
                    <w:color w:val="auto"/>
                  </w:rPr>
                  <m:t>p</m:t>
                </m:r>
              </m:oMath>
            </m:oMathPara>
          </w:p>
        </w:tc>
        <w:tc>
          <w:tcPr>
            <w:tcW w:w="5538" w:type="dxa"/>
            <w:vAlign w:val="center"/>
          </w:tcPr>
          <w:p w14:paraId="5EF44328">
            <w:pPr>
              <w:pStyle w:val="24"/>
              <w:snapToGrid w:val="0"/>
              <w:ind w:left="0" w:leftChars="0" w:right="0" w:rightChars="0" w:firstLine="0" w:firstLineChars="0"/>
              <w:jc w:val="left"/>
              <w:rPr>
                <w:color w:val="auto"/>
              </w:rPr>
            </w:pPr>
            <w:r>
              <w:rPr>
                <w:color w:val="auto"/>
              </w:rPr>
              <w:t>Pressure</w:t>
            </w:r>
          </w:p>
        </w:tc>
        <w:tc>
          <w:tcPr>
            <w:tcW w:w="1936" w:type="dxa"/>
            <w:vAlign w:val="center"/>
          </w:tcPr>
          <w:p w14:paraId="2DC04E64">
            <w:pPr>
              <w:pStyle w:val="24"/>
              <w:snapToGrid w:val="0"/>
              <w:ind w:left="0" w:leftChars="0" w:right="0" w:rightChars="0" w:firstLine="0" w:firstLineChars="0"/>
              <w:jc w:val="left"/>
              <w:rPr>
                <w:color w:val="auto"/>
              </w:rPr>
            </w:pPr>
            <w:r>
              <w:rPr>
                <w:color w:val="auto"/>
              </w:rPr>
              <w:t>Pa or MPa</w:t>
            </w:r>
          </w:p>
        </w:tc>
      </w:tr>
      <w:tr w14:paraId="1F5F8426">
        <w:tblPrEx>
          <w:tblCellMar>
            <w:top w:w="0" w:type="dxa"/>
            <w:left w:w="108" w:type="dxa"/>
            <w:bottom w:w="0" w:type="dxa"/>
            <w:right w:w="108" w:type="dxa"/>
          </w:tblCellMar>
        </w:tblPrEx>
        <w:trPr>
          <w:trHeight w:val="0" w:hRule="atLeast"/>
          <w:jc w:val="center"/>
        </w:trPr>
        <w:tc>
          <w:tcPr>
            <w:tcW w:w="1377" w:type="dxa"/>
            <w:vAlign w:val="center"/>
          </w:tcPr>
          <w:p w14:paraId="66BDF0B5">
            <w:pPr>
              <w:pStyle w:val="24"/>
              <w:snapToGrid w:val="0"/>
              <w:ind w:left="0" w:leftChars="0" w:right="0" w:rightChars="0" w:firstLine="0" w:firstLineChars="0"/>
              <w:jc w:val="center"/>
              <w:rPr>
                <w:color w:val="auto"/>
              </w:rPr>
            </w:pPr>
            <m:oMathPara>
              <m:oMath>
                <m:sSub>
                  <m:sSubPr>
                    <m:ctrlPr>
                      <w:rPr>
                        <w:color w:val="auto"/>
                      </w:rPr>
                    </m:ctrlPr>
                  </m:sSubPr>
                  <m:e>
                    <m:r>
                      <m:rPr/>
                      <w:rPr>
                        <w:color w:val="auto"/>
                      </w:rPr>
                      <m:t>p</m:t>
                    </m:r>
                    <m:ctrlPr>
                      <w:rPr>
                        <w:color w:val="auto"/>
                      </w:rPr>
                    </m:ctrlPr>
                  </m:e>
                  <m:sub>
                    <m:r>
                      <m:rPr/>
                      <w:rPr>
                        <w:color w:val="auto"/>
                      </w:rPr>
                      <m:t>b</m:t>
                    </m:r>
                    <m:ctrlPr>
                      <w:rPr>
                        <w:color w:val="auto"/>
                      </w:rPr>
                    </m:ctrlPr>
                  </m:sub>
                </m:sSub>
              </m:oMath>
            </m:oMathPara>
          </w:p>
        </w:tc>
        <w:tc>
          <w:tcPr>
            <w:tcW w:w="5538" w:type="dxa"/>
            <w:vAlign w:val="center"/>
          </w:tcPr>
          <w:p w14:paraId="4F7770D0">
            <w:pPr>
              <w:pStyle w:val="24"/>
              <w:snapToGrid w:val="0"/>
              <w:ind w:left="0" w:leftChars="0" w:right="0" w:rightChars="0" w:firstLine="0" w:firstLineChars="0"/>
              <w:jc w:val="left"/>
              <w:rPr>
                <w:color w:val="auto"/>
              </w:rPr>
            </w:pPr>
            <w:r>
              <w:rPr>
                <w:color w:val="auto"/>
              </w:rPr>
              <w:t>Bubble-point pressure</w:t>
            </w:r>
          </w:p>
        </w:tc>
        <w:tc>
          <w:tcPr>
            <w:tcW w:w="1936" w:type="dxa"/>
            <w:vAlign w:val="center"/>
          </w:tcPr>
          <w:p w14:paraId="62D8D5F8">
            <w:pPr>
              <w:pStyle w:val="24"/>
              <w:snapToGrid w:val="0"/>
              <w:ind w:left="0" w:leftChars="0" w:right="0" w:rightChars="0" w:firstLine="0" w:firstLineChars="0"/>
              <w:jc w:val="left"/>
              <w:rPr>
                <w:color w:val="auto"/>
              </w:rPr>
            </w:pPr>
            <w:r>
              <w:rPr>
                <w:color w:val="auto"/>
              </w:rPr>
              <w:t>MPa</w:t>
            </w:r>
          </w:p>
        </w:tc>
      </w:tr>
      <w:tr w14:paraId="7F6401BC">
        <w:tblPrEx>
          <w:tblCellMar>
            <w:top w:w="0" w:type="dxa"/>
            <w:left w:w="108" w:type="dxa"/>
            <w:bottom w:w="0" w:type="dxa"/>
            <w:right w:w="108" w:type="dxa"/>
          </w:tblCellMar>
        </w:tblPrEx>
        <w:trPr>
          <w:trHeight w:val="0" w:hRule="atLeast"/>
          <w:jc w:val="center"/>
        </w:trPr>
        <w:tc>
          <w:tcPr>
            <w:tcW w:w="1377" w:type="dxa"/>
            <w:vAlign w:val="center"/>
          </w:tcPr>
          <w:p w14:paraId="6B6665B8">
            <w:pPr>
              <w:pStyle w:val="24"/>
              <w:snapToGrid w:val="0"/>
              <w:ind w:left="0" w:leftChars="0" w:right="0" w:rightChars="0" w:firstLine="0" w:firstLineChars="0"/>
              <w:jc w:val="center"/>
              <w:rPr>
                <w:color w:val="auto"/>
              </w:rPr>
            </w:pPr>
            <m:oMathPara>
              <m:oMath>
                <m:r>
                  <m:rPr/>
                  <w:rPr>
                    <w:color w:val="auto"/>
                  </w:rPr>
                  <m:t>q</m:t>
                </m:r>
              </m:oMath>
            </m:oMathPara>
          </w:p>
        </w:tc>
        <w:tc>
          <w:tcPr>
            <w:tcW w:w="5538" w:type="dxa"/>
            <w:vAlign w:val="center"/>
          </w:tcPr>
          <w:p w14:paraId="07AB6661">
            <w:pPr>
              <w:pStyle w:val="24"/>
              <w:snapToGrid w:val="0"/>
              <w:ind w:left="0" w:leftChars="0" w:right="0" w:rightChars="0" w:firstLine="0" w:firstLineChars="0"/>
              <w:jc w:val="left"/>
              <w:rPr>
                <w:color w:val="auto"/>
              </w:rPr>
            </w:pPr>
            <w:r>
              <w:rPr>
                <w:color w:val="auto"/>
              </w:rPr>
              <w:t>Source/sink term</w:t>
            </w:r>
          </w:p>
        </w:tc>
        <w:tc>
          <w:tcPr>
            <w:tcW w:w="1936" w:type="dxa"/>
            <w:vAlign w:val="center"/>
          </w:tcPr>
          <w:p w14:paraId="2AB1CEF7">
            <w:pPr>
              <w:pStyle w:val="24"/>
              <w:snapToGrid w:val="0"/>
              <w:ind w:left="0" w:leftChars="0" w:right="0" w:rightChars="0" w:firstLine="0" w:firstLineChars="0"/>
              <w:jc w:val="left"/>
              <w:rPr>
                <w:color w:val="auto"/>
              </w:rPr>
            </w:pPr>
            <w:r>
              <w:rPr>
                <w:color w:val="auto"/>
              </w:rPr>
              <w:t>m³/s</w:t>
            </w:r>
          </w:p>
        </w:tc>
      </w:tr>
      <w:tr w14:paraId="78101B05">
        <w:tblPrEx>
          <w:tblCellMar>
            <w:top w:w="0" w:type="dxa"/>
            <w:left w:w="108" w:type="dxa"/>
            <w:bottom w:w="0" w:type="dxa"/>
            <w:right w:w="108" w:type="dxa"/>
          </w:tblCellMar>
        </w:tblPrEx>
        <w:trPr>
          <w:trHeight w:val="0" w:hRule="atLeast"/>
          <w:jc w:val="center"/>
        </w:trPr>
        <w:tc>
          <w:tcPr>
            <w:tcW w:w="1377" w:type="dxa"/>
            <w:vAlign w:val="center"/>
          </w:tcPr>
          <w:p w14:paraId="6A642C76">
            <w:pPr>
              <w:pStyle w:val="24"/>
              <w:snapToGrid w:val="0"/>
              <w:ind w:left="0" w:leftChars="0" w:right="0" w:rightChars="0" w:firstLine="0" w:firstLineChars="0"/>
              <w:jc w:val="center"/>
              <w:rPr>
                <w:color w:val="auto"/>
              </w:rPr>
            </w:pPr>
            <m:oMathPara>
              <m:oMath>
                <m:sSub>
                  <m:sSubPr>
                    <m:ctrlPr>
                      <w:rPr>
                        <w:color w:val="auto"/>
                      </w:rPr>
                    </m:ctrlPr>
                  </m:sSubPr>
                  <m:e>
                    <m:r>
                      <m:rPr/>
                      <w:rPr>
                        <w:color w:val="auto"/>
                      </w:rPr>
                      <m:t>R</m:t>
                    </m:r>
                    <m:ctrlPr>
                      <w:rPr>
                        <w:color w:val="auto"/>
                      </w:rPr>
                    </m:ctrlPr>
                  </m:e>
                  <m:sub>
                    <m:r>
                      <m:rPr/>
                      <w:rPr>
                        <w:color w:val="auto"/>
                      </w:rPr>
                      <m:t>s</m:t>
                    </m:r>
                    <m:ctrlPr>
                      <w:rPr>
                        <w:color w:val="auto"/>
                      </w:rPr>
                    </m:ctrlPr>
                  </m:sub>
                </m:sSub>
              </m:oMath>
            </m:oMathPara>
          </w:p>
        </w:tc>
        <w:tc>
          <w:tcPr>
            <w:tcW w:w="5538" w:type="dxa"/>
            <w:vAlign w:val="center"/>
          </w:tcPr>
          <w:p w14:paraId="13F6977A">
            <w:pPr>
              <w:pStyle w:val="24"/>
              <w:snapToGrid w:val="0"/>
              <w:ind w:left="0" w:leftChars="0" w:right="0" w:rightChars="0" w:firstLine="0" w:firstLineChars="0"/>
              <w:jc w:val="left"/>
              <w:rPr>
                <w:color w:val="auto"/>
              </w:rPr>
            </w:pPr>
            <w:r>
              <w:rPr>
                <w:color w:val="auto"/>
              </w:rPr>
              <w:t>Solution gas–oil ratio</w:t>
            </w:r>
          </w:p>
        </w:tc>
        <w:tc>
          <w:tcPr>
            <w:tcW w:w="1936" w:type="dxa"/>
            <w:vAlign w:val="center"/>
          </w:tcPr>
          <w:p w14:paraId="41415BDA">
            <w:pPr>
              <w:pStyle w:val="24"/>
              <w:snapToGrid w:val="0"/>
              <w:ind w:left="0" w:leftChars="0" w:right="0" w:rightChars="0" w:firstLine="0" w:firstLineChars="0"/>
              <w:jc w:val="left"/>
              <w:rPr>
                <w:color w:val="auto"/>
              </w:rPr>
            </w:pPr>
            <w:r>
              <w:rPr>
                <w:color w:val="auto"/>
              </w:rPr>
              <w:t>sm³/sm³</w:t>
            </w:r>
          </w:p>
        </w:tc>
      </w:tr>
      <w:tr w14:paraId="44969395">
        <w:tblPrEx>
          <w:tblCellMar>
            <w:top w:w="0" w:type="dxa"/>
            <w:left w:w="108" w:type="dxa"/>
            <w:bottom w:w="0" w:type="dxa"/>
            <w:right w:w="108" w:type="dxa"/>
          </w:tblCellMar>
        </w:tblPrEx>
        <w:trPr>
          <w:trHeight w:val="0" w:hRule="atLeast"/>
          <w:jc w:val="center"/>
        </w:trPr>
        <w:tc>
          <w:tcPr>
            <w:tcW w:w="1377" w:type="dxa"/>
            <w:vAlign w:val="center"/>
          </w:tcPr>
          <w:p w14:paraId="2A880718">
            <w:pPr>
              <w:pStyle w:val="24"/>
              <w:snapToGrid w:val="0"/>
              <w:ind w:left="0" w:leftChars="0" w:right="0" w:rightChars="0" w:firstLine="0" w:firstLineChars="0"/>
              <w:jc w:val="center"/>
              <w:rPr>
                <w:b/>
                <w:color w:val="auto"/>
              </w:rPr>
            </w:pPr>
            <m:oMathPara>
              <m:oMath>
                <m:sSub>
                  <m:sSubPr>
                    <m:ctrlPr>
                      <w:rPr>
                        <w:rFonts w:ascii="Cambria Math" w:hAnsi="Cambria Math"/>
                        <w:b/>
                        <w:color w:val="auto"/>
                      </w:rPr>
                    </m:ctrlPr>
                  </m:sSubPr>
                  <m:e>
                    <m:r>
                      <m:rPr>
                        <m:sty m:val="bi"/>
                      </m:rPr>
                      <w:rPr>
                        <w:rFonts w:hint="default" w:ascii="Cambria Math" w:hAnsi="Cambria Math"/>
                        <w:color w:val="auto"/>
                      </w:rPr>
                      <m:t>S</m:t>
                    </m:r>
                    <m:ctrlPr>
                      <w:rPr>
                        <w:rFonts w:ascii="Cambria Math" w:hAnsi="Cambria Math"/>
                        <w:b/>
                        <w:color w:val="auto"/>
                      </w:rPr>
                    </m:ctrlPr>
                  </m:e>
                  <m:sub>
                    <m:r>
                      <m:rPr>
                        <m:sty m:val="bi"/>
                      </m:rPr>
                      <w:rPr>
                        <w:rFonts w:hint="default" w:ascii="Cambria Math" w:hAnsi="Cambria Math"/>
                        <w:color w:val="auto"/>
                      </w:rPr>
                      <m:t>o</m:t>
                    </m:r>
                    <m:ctrlPr>
                      <w:rPr>
                        <w:rFonts w:ascii="Cambria Math" w:hAnsi="Cambria Math"/>
                        <w:b/>
                        <w:color w:val="auto"/>
                      </w:rPr>
                    </m:ctrlPr>
                  </m:sub>
                </m:sSub>
                <m:r>
                  <m:rPr>
                    <m:sty m:val="bi"/>
                  </m:rPr>
                  <w:rPr>
                    <w:rFonts w:ascii="Cambria Math" w:hAnsi="Cambria Math"/>
                    <w:color w:val="auto"/>
                  </w:rPr>
                  <m:t>,</m:t>
                </m:r>
                <m:sSub>
                  <m:sSubPr>
                    <m:ctrlPr>
                      <w:rPr>
                        <w:rFonts w:ascii="Cambria Math" w:hAnsi="Cambria Math"/>
                        <w:b/>
                        <w:color w:val="auto"/>
                      </w:rPr>
                    </m:ctrlPr>
                  </m:sSubPr>
                  <m:e>
                    <m:r>
                      <m:rPr>
                        <m:sty m:val="bi"/>
                      </m:rPr>
                      <w:rPr>
                        <w:rFonts w:hint="default" w:ascii="Cambria Math" w:hAnsi="Cambria Math"/>
                        <w:color w:val="auto"/>
                      </w:rPr>
                      <m:t>S</m:t>
                    </m:r>
                    <m:ctrlPr>
                      <w:rPr>
                        <w:rFonts w:ascii="Cambria Math" w:hAnsi="Cambria Math"/>
                        <w:b/>
                        <w:color w:val="auto"/>
                      </w:rPr>
                    </m:ctrlPr>
                  </m:e>
                  <m:sub>
                    <m:r>
                      <m:rPr>
                        <m:sty m:val="bi"/>
                      </m:rPr>
                      <w:rPr>
                        <w:rFonts w:hint="default" w:ascii="Cambria Math" w:hAnsi="Cambria Math"/>
                        <w:color w:val="auto"/>
                      </w:rPr>
                      <m:t>g</m:t>
                    </m:r>
                    <m:ctrlPr>
                      <w:rPr>
                        <w:rFonts w:ascii="Cambria Math" w:hAnsi="Cambria Math"/>
                        <w:b/>
                        <w:color w:val="auto"/>
                      </w:rPr>
                    </m:ctrlPr>
                  </m:sub>
                </m:sSub>
                <m:r>
                  <m:rPr>
                    <m:sty m:val="bi"/>
                  </m:rPr>
                  <w:rPr>
                    <w:rFonts w:ascii="Cambria Math" w:hAnsi="Cambria Math"/>
                    <w:color w:val="auto"/>
                  </w:rPr>
                  <m:t>,</m:t>
                </m:r>
                <m:sSub>
                  <m:sSubPr>
                    <m:ctrlPr>
                      <w:rPr>
                        <w:rFonts w:ascii="Cambria Math" w:hAnsi="Cambria Math"/>
                        <w:b/>
                        <w:color w:val="auto"/>
                      </w:rPr>
                    </m:ctrlPr>
                  </m:sSubPr>
                  <m:e>
                    <m:r>
                      <m:rPr>
                        <m:sty m:val="bi"/>
                      </m:rPr>
                      <w:rPr>
                        <w:rFonts w:hint="default" w:ascii="Cambria Math" w:hAnsi="Cambria Math"/>
                        <w:color w:val="auto"/>
                      </w:rPr>
                      <m:t>S</m:t>
                    </m:r>
                    <m:ctrlPr>
                      <w:rPr>
                        <w:rFonts w:ascii="Cambria Math" w:hAnsi="Cambria Math"/>
                        <w:b/>
                        <w:color w:val="auto"/>
                      </w:rPr>
                    </m:ctrlPr>
                  </m:e>
                  <m:sub>
                    <m:r>
                      <m:rPr>
                        <m:sty m:val="bi"/>
                      </m:rPr>
                      <w:rPr>
                        <w:rFonts w:hint="default" w:ascii="Cambria Math" w:hAnsi="Cambria Math"/>
                        <w:color w:val="auto"/>
                      </w:rPr>
                      <m:t>w</m:t>
                    </m:r>
                    <m:ctrlPr>
                      <w:rPr>
                        <w:rFonts w:ascii="Cambria Math" w:hAnsi="Cambria Math"/>
                        <w:b/>
                        <w:color w:val="auto"/>
                      </w:rPr>
                    </m:ctrlPr>
                  </m:sub>
                </m:sSub>
              </m:oMath>
            </m:oMathPara>
          </w:p>
        </w:tc>
        <w:tc>
          <w:tcPr>
            <w:tcW w:w="5538" w:type="dxa"/>
            <w:vAlign w:val="center"/>
          </w:tcPr>
          <w:p w14:paraId="721E0676">
            <w:pPr>
              <w:pStyle w:val="24"/>
              <w:snapToGrid w:val="0"/>
              <w:ind w:left="0" w:leftChars="0" w:right="0" w:rightChars="0" w:firstLine="0" w:firstLineChars="0"/>
              <w:jc w:val="left"/>
              <w:rPr>
                <w:b/>
                <w:color w:val="auto"/>
              </w:rPr>
            </w:pPr>
            <w:r>
              <w:rPr>
                <w:b/>
                <w:color w:val="auto"/>
              </w:rPr>
              <w:t>Oil, gas, water saturations</w:t>
            </w:r>
          </w:p>
        </w:tc>
        <w:tc>
          <w:tcPr>
            <w:tcW w:w="1936" w:type="dxa"/>
            <w:vAlign w:val="center"/>
          </w:tcPr>
          <w:p w14:paraId="183B565E">
            <w:pPr>
              <w:pStyle w:val="24"/>
              <w:snapToGrid w:val="0"/>
              <w:ind w:left="0" w:leftChars="0" w:right="0" w:rightChars="0" w:firstLine="0" w:firstLineChars="0"/>
              <w:jc w:val="left"/>
              <w:rPr>
                <w:b/>
                <w:color w:val="auto"/>
              </w:rPr>
            </w:pPr>
            <w:r>
              <w:rPr>
                <w:b/>
                <w:color w:val="auto"/>
              </w:rPr>
              <w:t>—</w:t>
            </w:r>
          </w:p>
        </w:tc>
      </w:tr>
      <w:tr w14:paraId="73A2D0F3">
        <w:tblPrEx>
          <w:tblCellMar>
            <w:top w:w="0" w:type="dxa"/>
            <w:left w:w="108" w:type="dxa"/>
            <w:bottom w:w="0" w:type="dxa"/>
            <w:right w:w="108" w:type="dxa"/>
          </w:tblCellMar>
        </w:tblPrEx>
        <w:trPr>
          <w:trHeight w:val="0" w:hRule="atLeast"/>
          <w:jc w:val="center"/>
        </w:trPr>
        <w:tc>
          <w:tcPr>
            <w:tcW w:w="1377" w:type="dxa"/>
            <w:vAlign w:val="center"/>
          </w:tcPr>
          <w:p w14:paraId="15A3D1B5">
            <w:pPr>
              <w:pStyle w:val="24"/>
              <w:snapToGrid w:val="0"/>
              <w:ind w:left="0" w:leftChars="0" w:right="0" w:rightChars="0" w:firstLine="0" w:firstLineChars="0"/>
              <w:jc w:val="center"/>
              <w:rPr>
                <w:b/>
                <w:color w:val="auto"/>
              </w:rPr>
            </w:pPr>
            <m:oMathPara>
              <m:oMath>
                <m:sSub>
                  <m:sSubPr>
                    <m:ctrlPr>
                      <w:rPr>
                        <w:rFonts w:ascii="Cambria Math" w:hAnsi="Cambria Math"/>
                        <w:b/>
                        <w:color w:val="auto"/>
                      </w:rPr>
                    </m:ctrlPr>
                  </m:sSubPr>
                  <m:e>
                    <m:r>
                      <m:rPr>
                        <m:sty m:val="bi"/>
                      </m:rPr>
                      <w:rPr>
                        <w:rFonts w:hint="default" w:ascii="Cambria Math" w:hAnsi="Cambria Math"/>
                        <w:color w:val="auto"/>
                      </w:rPr>
                      <m:t>T</m:t>
                    </m:r>
                    <m:ctrlPr>
                      <w:rPr>
                        <w:rFonts w:ascii="Cambria Math" w:hAnsi="Cambria Math"/>
                        <w:b/>
                        <w:color w:val="auto"/>
                      </w:rPr>
                    </m:ctrlPr>
                  </m:e>
                  <m:sub>
                    <m:r>
                      <m:rPr>
                        <m:sty m:val="bi"/>
                      </m:rPr>
                      <w:rPr>
                        <w:rFonts w:hint="default" w:ascii="Cambria Math" w:hAnsi="Cambria Math"/>
                        <w:color w:val="auto"/>
                      </w:rPr>
                      <m:t>p,ij</m:t>
                    </m:r>
                    <m:ctrlPr>
                      <w:rPr>
                        <w:rFonts w:ascii="Cambria Math" w:hAnsi="Cambria Math"/>
                        <w:b/>
                        <w:color w:val="auto"/>
                      </w:rPr>
                    </m:ctrlPr>
                  </m:sub>
                </m:sSub>
              </m:oMath>
            </m:oMathPara>
          </w:p>
        </w:tc>
        <w:tc>
          <w:tcPr>
            <w:tcW w:w="5538" w:type="dxa"/>
            <w:vAlign w:val="center"/>
          </w:tcPr>
          <w:p w14:paraId="359D8C92">
            <w:pPr>
              <w:pStyle w:val="24"/>
              <w:snapToGrid w:val="0"/>
              <w:ind w:left="0" w:leftChars="0" w:right="0" w:rightChars="0" w:firstLine="0" w:firstLineChars="0"/>
              <w:jc w:val="left"/>
              <w:rPr>
                <w:b/>
                <w:color w:val="auto"/>
              </w:rPr>
            </w:pPr>
            <w:r>
              <w:rPr>
                <w:b/>
                <w:color w:val="auto"/>
              </w:rPr>
              <w:t xml:space="preserve">Phase transmissibility across face </w:t>
            </w:r>
            <m:oMath>
              <m:r>
                <m:rPr>
                  <m:sty m:val="bi"/>
                </m:rPr>
                <w:rPr>
                  <w:rFonts w:hint="default" w:ascii="Cambria Math" w:hAnsi="Cambria Math"/>
                  <w:color w:val="auto"/>
                </w:rPr>
                <m:t>ij</m:t>
              </m:r>
            </m:oMath>
          </w:p>
        </w:tc>
        <w:tc>
          <w:tcPr>
            <w:tcW w:w="1936" w:type="dxa"/>
            <w:vAlign w:val="center"/>
          </w:tcPr>
          <w:p w14:paraId="361885B8">
            <w:pPr>
              <w:pStyle w:val="24"/>
              <w:snapToGrid w:val="0"/>
              <w:ind w:left="0" w:leftChars="0" w:right="0" w:rightChars="0" w:firstLine="0" w:firstLineChars="0"/>
              <w:jc w:val="left"/>
              <w:rPr>
                <w:b/>
                <w:color w:val="auto"/>
              </w:rPr>
            </w:pPr>
            <w:r>
              <w:rPr>
                <w:b/>
                <w:color w:val="auto"/>
              </w:rPr>
              <w:t>m³·cP/(Pa·s)</w:t>
            </w:r>
          </w:p>
        </w:tc>
      </w:tr>
      <w:tr w14:paraId="78C1E752">
        <w:tblPrEx>
          <w:tblCellMar>
            <w:top w:w="0" w:type="dxa"/>
            <w:left w:w="108" w:type="dxa"/>
            <w:bottom w:w="0" w:type="dxa"/>
            <w:right w:w="108" w:type="dxa"/>
          </w:tblCellMar>
        </w:tblPrEx>
        <w:trPr>
          <w:trHeight w:val="0" w:hRule="atLeast"/>
          <w:jc w:val="center"/>
        </w:trPr>
        <w:tc>
          <w:tcPr>
            <w:tcW w:w="1377" w:type="dxa"/>
            <w:vAlign w:val="center"/>
          </w:tcPr>
          <w:p w14:paraId="617D7579">
            <w:pPr>
              <w:pStyle w:val="24"/>
              <w:snapToGrid w:val="0"/>
              <w:ind w:left="0" w:leftChars="0" w:right="0" w:rightChars="0" w:firstLine="0" w:firstLineChars="0"/>
              <w:jc w:val="center"/>
              <w:rPr>
                <w:color w:val="auto"/>
              </w:rPr>
            </w:pPr>
            <m:oMathPara>
              <m:oMath>
                <m:r>
                  <m:rPr/>
                  <w:rPr>
                    <w:color w:val="auto"/>
                  </w:rPr>
                  <m:t>t</m:t>
                </m:r>
              </m:oMath>
            </m:oMathPara>
          </w:p>
        </w:tc>
        <w:tc>
          <w:tcPr>
            <w:tcW w:w="5538" w:type="dxa"/>
            <w:vAlign w:val="center"/>
          </w:tcPr>
          <w:p w14:paraId="20CBE357">
            <w:pPr>
              <w:pStyle w:val="24"/>
              <w:snapToGrid w:val="0"/>
              <w:ind w:left="0" w:leftChars="0" w:right="0" w:rightChars="0" w:firstLine="0" w:firstLineChars="0"/>
              <w:jc w:val="left"/>
              <w:rPr>
                <w:color w:val="auto"/>
              </w:rPr>
            </w:pPr>
            <w:r>
              <w:rPr>
                <w:color w:val="auto"/>
              </w:rPr>
              <w:t>Time</w:t>
            </w:r>
          </w:p>
        </w:tc>
        <w:tc>
          <w:tcPr>
            <w:tcW w:w="1936" w:type="dxa"/>
            <w:vAlign w:val="center"/>
          </w:tcPr>
          <w:p w14:paraId="5BF83B84">
            <w:pPr>
              <w:pStyle w:val="24"/>
              <w:snapToGrid w:val="0"/>
              <w:ind w:left="0" w:leftChars="0" w:right="0" w:rightChars="0" w:firstLine="0" w:firstLineChars="0"/>
              <w:jc w:val="left"/>
              <w:rPr>
                <w:color w:val="auto"/>
              </w:rPr>
            </w:pPr>
            <w:r>
              <w:rPr>
                <w:color w:val="auto"/>
              </w:rPr>
              <w:t>s</w:t>
            </w:r>
          </w:p>
        </w:tc>
      </w:tr>
      <w:tr w14:paraId="4395A756">
        <w:tblPrEx>
          <w:tblCellMar>
            <w:top w:w="0" w:type="dxa"/>
            <w:left w:w="108" w:type="dxa"/>
            <w:bottom w:w="0" w:type="dxa"/>
            <w:right w:w="108" w:type="dxa"/>
          </w:tblCellMar>
        </w:tblPrEx>
        <w:trPr>
          <w:trHeight w:val="0" w:hRule="atLeast"/>
          <w:jc w:val="center"/>
        </w:trPr>
        <w:tc>
          <w:tcPr>
            <w:tcW w:w="1377" w:type="dxa"/>
            <w:vAlign w:val="center"/>
          </w:tcPr>
          <w:p w14:paraId="3C21DDA4">
            <w:pPr>
              <w:pStyle w:val="24"/>
              <w:snapToGrid w:val="0"/>
              <w:ind w:left="0" w:leftChars="0" w:right="0" w:rightChars="0" w:firstLine="0" w:firstLineChars="0"/>
              <w:jc w:val="center"/>
              <w:rPr>
                <w:color w:val="auto"/>
              </w:rPr>
            </w:pPr>
            <m:oMathPara>
              <m:oMath>
                <m:sSub>
                  <m:sSubPr>
                    <m:ctrlPr>
                      <w:rPr>
                        <w:color w:val="auto"/>
                      </w:rPr>
                    </m:ctrlPr>
                  </m:sSubPr>
                  <m:e>
                    <m:r>
                      <m:rPr/>
                      <w:rPr>
                        <w:color w:val="auto"/>
                      </w:rPr>
                      <m:t>t</m:t>
                    </m:r>
                    <m:ctrlPr>
                      <w:rPr>
                        <w:color w:val="auto"/>
                      </w:rPr>
                    </m:ctrlPr>
                  </m:e>
                  <m:sub>
                    <m:r>
                      <m:rPr>
                        <m:nor/>
                        <m:sty m:val="p"/>
                      </m:rPr>
                      <w:rPr>
                        <w:b w:val="0"/>
                        <w:i w:val="0"/>
                        <w:color w:val="auto"/>
                      </w:rPr>
                      <m:t>comp</m:t>
                    </m:r>
                    <m:ctrlPr>
                      <w:rPr>
                        <w:color w:val="auto"/>
                      </w:rPr>
                    </m:ctrlPr>
                  </m:sub>
                </m:sSub>
              </m:oMath>
            </m:oMathPara>
          </w:p>
        </w:tc>
        <w:tc>
          <w:tcPr>
            <w:tcW w:w="5538" w:type="dxa"/>
            <w:vAlign w:val="center"/>
          </w:tcPr>
          <w:p w14:paraId="249E007F">
            <w:pPr>
              <w:pStyle w:val="24"/>
              <w:snapToGrid w:val="0"/>
              <w:ind w:left="0" w:leftChars="0" w:right="0" w:rightChars="0" w:firstLine="0" w:firstLineChars="0"/>
              <w:jc w:val="left"/>
              <w:rPr>
                <w:color w:val="auto"/>
              </w:rPr>
            </w:pPr>
            <w:r>
              <w:rPr>
                <w:color w:val="auto"/>
              </w:rPr>
              <w:t>Computation time (interior cells)</w:t>
            </w:r>
          </w:p>
        </w:tc>
        <w:tc>
          <w:tcPr>
            <w:tcW w:w="1936" w:type="dxa"/>
            <w:vAlign w:val="center"/>
          </w:tcPr>
          <w:p w14:paraId="284BD095">
            <w:pPr>
              <w:pStyle w:val="24"/>
              <w:snapToGrid w:val="0"/>
              <w:ind w:left="0" w:leftChars="0" w:right="0" w:rightChars="0" w:firstLine="0" w:firstLineChars="0"/>
              <w:jc w:val="left"/>
              <w:rPr>
                <w:color w:val="auto"/>
              </w:rPr>
            </w:pPr>
            <w:r>
              <w:rPr>
                <w:color w:val="auto"/>
              </w:rPr>
              <w:t>s</w:t>
            </w:r>
          </w:p>
        </w:tc>
      </w:tr>
      <w:tr w14:paraId="2C030B86">
        <w:tblPrEx>
          <w:tblCellMar>
            <w:top w:w="0" w:type="dxa"/>
            <w:left w:w="108" w:type="dxa"/>
            <w:bottom w:w="0" w:type="dxa"/>
            <w:right w:w="108" w:type="dxa"/>
          </w:tblCellMar>
        </w:tblPrEx>
        <w:trPr>
          <w:trHeight w:val="0" w:hRule="atLeast"/>
          <w:jc w:val="center"/>
        </w:trPr>
        <w:tc>
          <w:tcPr>
            <w:tcW w:w="1377" w:type="dxa"/>
            <w:vAlign w:val="center"/>
          </w:tcPr>
          <w:p w14:paraId="6DBC0F76">
            <w:pPr>
              <w:pStyle w:val="24"/>
              <w:snapToGrid w:val="0"/>
              <w:ind w:left="0" w:leftChars="0" w:right="0" w:rightChars="0" w:firstLine="0" w:firstLineChars="0"/>
              <w:jc w:val="center"/>
              <w:rPr>
                <w:color w:val="auto"/>
              </w:rPr>
            </w:pPr>
            <m:oMathPara>
              <m:oMath>
                <m:sSub>
                  <m:sSubPr>
                    <m:ctrlPr>
                      <w:rPr>
                        <w:color w:val="auto"/>
                      </w:rPr>
                    </m:ctrlPr>
                  </m:sSubPr>
                  <m:e>
                    <m:r>
                      <m:rPr/>
                      <w:rPr>
                        <w:color w:val="auto"/>
                      </w:rPr>
                      <m:t>t</m:t>
                    </m:r>
                    <m:ctrlPr>
                      <w:rPr>
                        <w:color w:val="auto"/>
                      </w:rPr>
                    </m:ctrlPr>
                  </m:e>
                  <m:sub>
                    <m:r>
                      <m:rPr>
                        <m:nor/>
                        <m:sty m:val="p"/>
                      </m:rPr>
                      <w:rPr>
                        <w:b w:val="0"/>
                        <w:i w:val="0"/>
                        <w:color w:val="auto"/>
                      </w:rPr>
                      <m:t>comm</m:t>
                    </m:r>
                    <m:ctrlPr>
                      <w:rPr>
                        <w:color w:val="auto"/>
                      </w:rPr>
                    </m:ctrlPr>
                  </m:sub>
                </m:sSub>
              </m:oMath>
            </m:oMathPara>
          </w:p>
        </w:tc>
        <w:tc>
          <w:tcPr>
            <w:tcW w:w="5538" w:type="dxa"/>
            <w:vAlign w:val="center"/>
          </w:tcPr>
          <w:p w14:paraId="471E9B07">
            <w:pPr>
              <w:pStyle w:val="24"/>
              <w:snapToGrid w:val="0"/>
              <w:ind w:left="0" w:leftChars="0" w:right="0" w:rightChars="0" w:firstLine="0" w:firstLineChars="0"/>
              <w:jc w:val="left"/>
              <w:rPr>
                <w:color w:val="auto"/>
              </w:rPr>
            </w:pPr>
            <w:r>
              <w:rPr>
                <w:color w:val="auto"/>
              </w:rPr>
              <w:t>Total communication time</w:t>
            </w:r>
          </w:p>
        </w:tc>
        <w:tc>
          <w:tcPr>
            <w:tcW w:w="1936" w:type="dxa"/>
            <w:vAlign w:val="center"/>
          </w:tcPr>
          <w:p w14:paraId="58379AF0">
            <w:pPr>
              <w:pStyle w:val="24"/>
              <w:snapToGrid w:val="0"/>
              <w:ind w:left="0" w:leftChars="0" w:right="0" w:rightChars="0" w:firstLine="0" w:firstLineChars="0"/>
              <w:jc w:val="left"/>
              <w:rPr>
                <w:color w:val="auto"/>
              </w:rPr>
            </w:pPr>
            <w:r>
              <w:rPr>
                <w:color w:val="auto"/>
              </w:rPr>
              <w:t>s</w:t>
            </w:r>
          </w:p>
        </w:tc>
      </w:tr>
      <w:tr w14:paraId="4B2BE8DF">
        <w:tblPrEx>
          <w:tblCellMar>
            <w:top w:w="0" w:type="dxa"/>
            <w:left w:w="108" w:type="dxa"/>
            <w:bottom w:w="0" w:type="dxa"/>
            <w:right w:w="108" w:type="dxa"/>
          </w:tblCellMar>
        </w:tblPrEx>
        <w:trPr>
          <w:trHeight w:val="0" w:hRule="atLeast"/>
          <w:jc w:val="center"/>
        </w:trPr>
        <w:tc>
          <w:tcPr>
            <w:tcW w:w="1377" w:type="dxa"/>
            <w:vAlign w:val="center"/>
          </w:tcPr>
          <w:p w14:paraId="4B95121E">
            <w:pPr>
              <w:pStyle w:val="24"/>
              <w:snapToGrid w:val="0"/>
              <w:ind w:left="0" w:leftChars="0" w:right="0" w:rightChars="0" w:firstLine="0" w:firstLineChars="0"/>
              <w:jc w:val="center"/>
              <w:rPr>
                <w:color w:val="auto"/>
              </w:rPr>
            </w:pPr>
            <m:oMathPara>
              <m:oMath>
                <m:sSub>
                  <m:sSubPr>
                    <m:ctrlPr>
                      <w:rPr>
                        <w:color w:val="auto"/>
                      </w:rPr>
                    </m:ctrlPr>
                  </m:sSubPr>
                  <m:e>
                    <m:r>
                      <m:rPr/>
                      <w:rPr>
                        <w:color w:val="auto"/>
                      </w:rPr>
                      <m:t>t</m:t>
                    </m:r>
                    <m:ctrlPr>
                      <w:rPr>
                        <w:color w:val="auto"/>
                      </w:rPr>
                    </m:ctrlPr>
                  </m:e>
                  <m:sub>
                    <m:r>
                      <m:rPr>
                        <m:nor/>
                        <m:sty m:val="p"/>
                      </m:rPr>
                      <w:rPr>
                        <w:b w:val="0"/>
                        <w:i w:val="0"/>
                        <w:color w:val="auto"/>
                      </w:rPr>
                      <m:t>wait</m:t>
                    </m:r>
                    <m:ctrlPr>
                      <w:rPr>
                        <w:color w:val="auto"/>
                      </w:rPr>
                    </m:ctrlPr>
                  </m:sub>
                </m:sSub>
              </m:oMath>
            </m:oMathPara>
          </w:p>
        </w:tc>
        <w:tc>
          <w:tcPr>
            <w:tcW w:w="5538" w:type="dxa"/>
            <w:vAlign w:val="center"/>
          </w:tcPr>
          <w:p w14:paraId="43B79B94">
            <w:pPr>
              <w:pStyle w:val="24"/>
              <w:snapToGrid w:val="0"/>
              <w:ind w:left="0" w:leftChars="0" w:right="0" w:rightChars="0" w:firstLine="0" w:firstLineChars="0"/>
              <w:jc w:val="left"/>
              <w:rPr>
                <w:color w:val="auto"/>
              </w:rPr>
            </w:pPr>
            <w:r>
              <w:rPr>
                <w:color w:val="auto"/>
              </w:rPr>
              <w:t>Residual MPI wait time after overlap</w:t>
            </w:r>
          </w:p>
        </w:tc>
        <w:tc>
          <w:tcPr>
            <w:tcW w:w="1936" w:type="dxa"/>
            <w:vAlign w:val="center"/>
          </w:tcPr>
          <w:p w14:paraId="4310F9C2">
            <w:pPr>
              <w:pStyle w:val="24"/>
              <w:snapToGrid w:val="0"/>
              <w:ind w:left="0" w:leftChars="0" w:right="0" w:rightChars="0" w:firstLine="0" w:firstLineChars="0"/>
              <w:jc w:val="left"/>
              <w:rPr>
                <w:color w:val="auto"/>
              </w:rPr>
            </w:pPr>
            <w:r>
              <w:rPr>
                <w:color w:val="auto"/>
              </w:rPr>
              <w:t>s</w:t>
            </w:r>
          </w:p>
        </w:tc>
      </w:tr>
      <w:tr w14:paraId="0C649C4F">
        <w:tblPrEx>
          <w:tblCellMar>
            <w:top w:w="0" w:type="dxa"/>
            <w:left w:w="108" w:type="dxa"/>
            <w:bottom w:w="0" w:type="dxa"/>
            <w:right w:w="108" w:type="dxa"/>
          </w:tblCellMar>
        </w:tblPrEx>
        <w:trPr>
          <w:trHeight w:val="0" w:hRule="atLeast"/>
          <w:jc w:val="center"/>
        </w:trPr>
        <w:tc>
          <w:tcPr>
            <w:tcW w:w="1377" w:type="dxa"/>
            <w:vAlign w:val="center"/>
          </w:tcPr>
          <w:p w14:paraId="6188745D">
            <w:pPr>
              <w:pStyle w:val="24"/>
              <w:snapToGrid w:val="0"/>
              <w:ind w:left="0" w:leftChars="0" w:right="0" w:rightChars="0" w:firstLine="0" w:firstLineChars="0"/>
              <w:jc w:val="center"/>
              <w:rPr>
                <w:color w:val="auto"/>
              </w:rPr>
            </w:pPr>
            <m:oMathPara>
              <m:oMath>
                <m:sSub>
                  <m:sSubPr>
                    <m:ctrlPr>
                      <w:rPr>
                        <w:color w:val="auto"/>
                      </w:rPr>
                    </m:ctrlPr>
                  </m:sSubPr>
                  <m:e>
                    <m:r>
                      <m:rPr>
                        <m:sty m:val="b"/>
                      </m:rPr>
                      <w:rPr>
                        <w:color w:val="auto"/>
                      </w:rPr>
                      <m:t>u</m:t>
                    </m:r>
                    <m:ctrlPr>
                      <w:rPr>
                        <w:color w:val="auto"/>
                      </w:rPr>
                    </m:ctrlPr>
                  </m:e>
                  <m:sub>
                    <m:r>
                      <m:rPr/>
                      <w:rPr>
                        <w:color w:val="auto"/>
                      </w:rPr>
                      <m:t>p</m:t>
                    </m:r>
                    <m:ctrlPr>
                      <w:rPr>
                        <w:color w:val="auto"/>
                      </w:rPr>
                    </m:ctrlPr>
                  </m:sub>
                </m:sSub>
              </m:oMath>
            </m:oMathPara>
          </w:p>
        </w:tc>
        <w:tc>
          <w:tcPr>
            <w:tcW w:w="5538" w:type="dxa"/>
            <w:vAlign w:val="center"/>
          </w:tcPr>
          <w:p w14:paraId="6E83D2C8">
            <w:pPr>
              <w:pStyle w:val="24"/>
              <w:snapToGrid w:val="0"/>
              <w:ind w:left="0" w:leftChars="0" w:right="0" w:rightChars="0" w:firstLine="0" w:firstLineChars="0"/>
              <w:jc w:val="left"/>
              <w:rPr>
                <w:color w:val="auto"/>
              </w:rPr>
            </w:pPr>
            <w:r>
              <w:rPr>
                <w:color w:val="auto"/>
              </w:rPr>
              <w:t xml:space="preserve">Darcy velocity of phase </w:t>
            </w:r>
            <m:oMath>
              <m:r>
                <m:rPr/>
                <w:rPr>
                  <w:color w:val="auto"/>
                </w:rPr>
                <m:t>p</m:t>
              </m:r>
            </m:oMath>
          </w:p>
        </w:tc>
        <w:tc>
          <w:tcPr>
            <w:tcW w:w="1936" w:type="dxa"/>
            <w:vAlign w:val="center"/>
          </w:tcPr>
          <w:p w14:paraId="3B36E237">
            <w:pPr>
              <w:pStyle w:val="24"/>
              <w:snapToGrid w:val="0"/>
              <w:ind w:left="0" w:leftChars="0" w:right="0" w:rightChars="0" w:firstLine="0" w:firstLineChars="0"/>
              <w:jc w:val="left"/>
              <w:rPr>
                <w:color w:val="auto"/>
              </w:rPr>
            </w:pPr>
            <w:r>
              <w:rPr>
                <w:color w:val="auto"/>
              </w:rPr>
              <w:t>m/s</w:t>
            </w:r>
          </w:p>
        </w:tc>
      </w:tr>
      <w:tr w14:paraId="12748C15">
        <w:tblPrEx>
          <w:tblCellMar>
            <w:top w:w="0" w:type="dxa"/>
            <w:left w:w="108" w:type="dxa"/>
            <w:bottom w:w="0" w:type="dxa"/>
            <w:right w:w="108" w:type="dxa"/>
          </w:tblCellMar>
        </w:tblPrEx>
        <w:trPr>
          <w:trHeight w:val="0" w:hRule="atLeast"/>
          <w:jc w:val="center"/>
        </w:trPr>
        <w:tc>
          <w:tcPr>
            <w:tcW w:w="1377" w:type="dxa"/>
            <w:vAlign w:val="center"/>
          </w:tcPr>
          <w:p w14:paraId="7AD2213A">
            <w:pPr>
              <w:pStyle w:val="24"/>
              <w:snapToGrid w:val="0"/>
              <w:ind w:left="0" w:leftChars="0" w:right="0" w:rightChars="0" w:firstLine="0" w:firstLineChars="0"/>
              <w:jc w:val="center"/>
              <w:rPr>
                <w:color w:val="auto"/>
              </w:rPr>
            </w:pPr>
            <m:oMathPara>
              <m:oMath>
                <m:sSub>
                  <m:sSubPr>
                    <m:ctrlPr>
                      <w:rPr>
                        <w:color w:val="auto"/>
                      </w:rPr>
                    </m:ctrlPr>
                  </m:sSubPr>
                  <m:e>
                    <m:r>
                      <m:rPr/>
                      <w:rPr>
                        <w:color w:val="auto"/>
                      </w:rPr>
                      <m:t>V</m:t>
                    </m:r>
                    <m:ctrlPr>
                      <w:rPr>
                        <w:color w:val="auto"/>
                      </w:rPr>
                    </m:ctrlPr>
                  </m:e>
                  <m:sub>
                    <m:r>
                      <m:rPr/>
                      <w:rPr>
                        <w:color w:val="auto"/>
                      </w:rPr>
                      <m:t>i</m:t>
                    </m:r>
                    <m:ctrlPr>
                      <w:rPr>
                        <w:color w:val="auto"/>
                      </w:rPr>
                    </m:ctrlPr>
                  </m:sub>
                </m:sSub>
              </m:oMath>
            </m:oMathPara>
          </w:p>
        </w:tc>
        <w:tc>
          <w:tcPr>
            <w:tcW w:w="5538" w:type="dxa"/>
            <w:vAlign w:val="center"/>
          </w:tcPr>
          <w:p w14:paraId="2F97D676">
            <w:pPr>
              <w:pStyle w:val="24"/>
              <w:snapToGrid w:val="0"/>
              <w:ind w:left="0" w:leftChars="0" w:right="0" w:rightChars="0" w:firstLine="0" w:firstLineChars="0"/>
              <w:jc w:val="left"/>
              <w:rPr>
                <w:color w:val="auto"/>
              </w:rPr>
            </w:pPr>
            <w:r>
              <w:rPr>
                <w:color w:val="auto"/>
              </w:rPr>
              <w:t xml:space="preserve">Voronoi cell of generator </w:t>
            </w:r>
            <m:oMath>
              <m:r>
                <m:rPr/>
                <w:rPr>
                  <w:color w:val="auto"/>
                </w:rPr>
                <m:t>i</m:t>
              </m:r>
            </m:oMath>
          </w:p>
        </w:tc>
        <w:tc>
          <w:tcPr>
            <w:tcW w:w="1936" w:type="dxa"/>
            <w:vAlign w:val="center"/>
          </w:tcPr>
          <w:p w14:paraId="35503EC8">
            <w:pPr>
              <w:pStyle w:val="24"/>
              <w:snapToGrid w:val="0"/>
              <w:ind w:left="0" w:leftChars="0" w:right="0" w:rightChars="0" w:firstLine="0" w:firstLineChars="0"/>
              <w:jc w:val="left"/>
              <w:rPr>
                <w:color w:val="auto"/>
              </w:rPr>
            </w:pPr>
            <w:r>
              <w:rPr>
                <w:color w:val="auto"/>
              </w:rPr>
              <w:t>—</w:t>
            </w:r>
          </w:p>
        </w:tc>
      </w:tr>
    </w:tbl>
    <w:p w14:paraId="2EF5CC1C">
      <w:pPr>
        <w:pStyle w:val="5"/>
        <w:spacing w:before="360" w:after="120"/>
        <w:ind w:firstLine="0"/>
        <w:rPr>
          <w:color w:val="auto"/>
        </w:rPr>
      </w:pPr>
      <w:bookmarkStart w:id="39" w:name="greek-symbols"/>
      <w:r>
        <w:rPr>
          <w:color w:val="auto"/>
        </w:rPr>
        <w:t>Greek Symbols</w:t>
      </w:r>
      <w:bookmarkEnd w:id="39"/>
    </w:p>
    <w:tbl>
      <w:tblPr>
        <w:tblStyle w:val="28"/>
        <w:tblW w:w="8851" w:type="dxa"/>
        <w:jc w:val="center"/>
        <w:tblLayout w:type="autofit"/>
        <w:tblCellMar>
          <w:top w:w="0" w:type="dxa"/>
          <w:left w:w="108" w:type="dxa"/>
          <w:bottom w:w="0" w:type="dxa"/>
          <w:right w:w="108" w:type="dxa"/>
        </w:tblCellMar>
      </w:tblPr>
      <w:tblGrid>
        <w:gridCol w:w="1214"/>
        <w:gridCol w:w="6371"/>
        <w:gridCol w:w="1266"/>
      </w:tblGrid>
      <w:tr w14:paraId="59CD67FC">
        <w:tblPrEx>
          <w:tblCellMar>
            <w:top w:w="0" w:type="dxa"/>
            <w:left w:w="108" w:type="dxa"/>
            <w:bottom w:w="0" w:type="dxa"/>
            <w:right w:w="108" w:type="dxa"/>
          </w:tblCellMar>
        </w:tblPrEx>
        <w:trPr>
          <w:trHeight w:val="0" w:hRule="atLeast"/>
          <w:tblHeader/>
          <w:jc w:val="center"/>
        </w:trPr>
        <w:tc>
          <w:tcPr>
            <w:tcW w:w="0" w:type="auto"/>
            <w:tcBorders>
              <w:bottom w:val="single" w:color="auto" w:sz="0" w:space="0"/>
            </w:tcBorders>
            <w:vAlign w:val="center"/>
          </w:tcPr>
          <w:p w14:paraId="37D8DC37">
            <w:pPr>
              <w:pStyle w:val="24"/>
              <w:snapToGrid w:val="0"/>
              <w:ind w:left="0" w:leftChars="0" w:right="0" w:rightChars="0" w:firstLine="0" w:firstLineChars="0"/>
              <w:jc w:val="center"/>
              <w:rPr>
                <w:b/>
                <w:color w:val="auto"/>
              </w:rPr>
            </w:pPr>
            <w:r>
              <w:rPr>
                <w:b/>
                <w:color w:val="auto"/>
              </w:rPr>
              <w:t>Symbol</w:t>
            </w:r>
          </w:p>
        </w:tc>
        <w:tc>
          <w:tcPr>
            <w:tcW w:w="0" w:type="auto"/>
            <w:tcBorders>
              <w:bottom w:val="single" w:color="auto" w:sz="0" w:space="0"/>
            </w:tcBorders>
            <w:vAlign w:val="center"/>
          </w:tcPr>
          <w:p w14:paraId="305B7F8C">
            <w:pPr>
              <w:pStyle w:val="24"/>
              <w:snapToGrid w:val="0"/>
              <w:ind w:left="0" w:leftChars="0" w:right="0" w:rightChars="0" w:firstLine="0" w:firstLineChars="0"/>
              <w:jc w:val="center"/>
              <w:rPr>
                <w:b/>
                <w:color w:val="auto"/>
              </w:rPr>
            </w:pPr>
            <w:r>
              <w:rPr>
                <w:b/>
                <w:color w:val="auto"/>
              </w:rPr>
              <w:t>Meaning</w:t>
            </w:r>
          </w:p>
        </w:tc>
        <w:tc>
          <w:tcPr>
            <w:tcW w:w="1266" w:type="dxa"/>
            <w:tcBorders>
              <w:bottom w:val="single" w:color="auto" w:sz="0" w:space="0"/>
            </w:tcBorders>
            <w:vAlign w:val="center"/>
          </w:tcPr>
          <w:p w14:paraId="78D7882A">
            <w:pPr>
              <w:pStyle w:val="24"/>
              <w:snapToGrid w:val="0"/>
              <w:ind w:left="0" w:leftChars="0" w:right="0" w:rightChars="0" w:firstLine="0" w:firstLineChars="0"/>
              <w:jc w:val="center"/>
              <w:rPr>
                <w:b/>
                <w:color w:val="auto"/>
              </w:rPr>
            </w:pPr>
            <w:r>
              <w:rPr>
                <w:b/>
                <w:color w:val="auto"/>
              </w:rPr>
              <w:t>Units</w:t>
            </w:r>
          </w:p>
        </w:tc>
      </w:tr>
      <w:tr w14:paraId="08BDA734">
        <w:tblPrEx>
          <w:tblCellMar>
            <w:top w:w="0" w:type="dxa"/>
            <w:left w:w="108" w:type="dxa"/>
            <w:bottom w:w="0" w:type="dxa"/>
            <w:right w:w="108" w:type="dxa"/>
          </w:tblCellMar>
        </w:tblPrEx>
        <w:trPr>
          <w:trHeight w:val="0" w:hRule="atLeast"/>
          <w:jc w:val="center"/>
        </w:trPr>
        <w:tc>
          <w:tcPr>
            <w:tcW w:w="0" w:type="auto"/>
            <w:vAlign w:val="center"/>
          </w:tcPr>
          <w:p w14:paraId="1C3C464E">
            <w:pPr>
              <w:pStyle w:val="24"/>
              <w:snapToGrid w:val="0"/>
              <w:ind w:left="0" w:leftChars="0" w:right="0" w:rightChars="0" w:firstLine="0" w:firstLineChars="0"/>
              <w:jc w:val="center"/>
              <w:rPr>
                <w:color w:val="auto"/>
              </w:rPr>
            </w:pPr>
            <m:oMathPara>
              <m:oMath>
                <m:r>
                  <m:rPr/>
                  <w:rPr>
                    <w:color w:val="auto"/>
                  </w:rPr>
                  <m:t>α</m:t>
                </m:r>
              </m:oMath>
            </m:oMathPara>
          </w:p>
        </w:tc>
        <w:tc>
          <w:tcPr>
            <w:tcW w:w="0" w:type="auto"/>
            <w:vAlign w:val="center"/>
          </w:tcPr>
          <w:p w14:paraId="223B8BE2">
            <w:pPr>
              <w:pStyle w:val="24"/>
              <w:snapToGrid w:val="0"/>
              <w:ind w:left="0" w:leftChars="0" w:right="0" w:rightChars="0" w:firstLine="0" w:firstLineChars="0"/>
              <w:jc w:val="left"/>
              <w:rPr>
                <w:color w:val="auto"/>
              </w:rPr>
            </w:pPr>
            <w:r>
              <w:rPr>
                <w:color w:val="auto"/>
              </w:rPr>
              <w:t>Tanh transition steepness parameter</w:t>
            </w:r>
          </w:p>
        </w:tc>
        <w:tc>
          <w:tcPr>
            <w:tcW w:w="1266" w:type="dxa"/>
            <w:vAlign w:val="center"/>
          </w:tcPr>
          <w:p w14:paraId="6BDEFDCD">
            <w:pPr>
              <w:pStyle w:val="24"/>
              <w:snapToGrid w:val="0"/>
              <w:ind w:left="0" w:leftChars="0" w:right="0" w:rightChars="0" w:firstLine="0" w:firstLineChars="0"/>
              <w:jc w:val="left"/>
              <w:rPr>
                <w:color w:val="auto"/>
              </w:rPr>
            </w:pPr>
            <w:r>
              <w:rPr>
                <w:color w:val="auto"/>
              </w:rPr>
              <w:t>m⁻¹</w:t>
            </w:r>
          </w:p>
        </w:tc>
      </w:tr>
      <w:tr w14:paraId="26D76395">
        <w:tblPrEx>
          <w:tblCellMar>
            <w:top w:w="0" w:type="dxa"/>
            <w:left w:w="108" w:type="dxa"/>
            <w:bottom w:w="0" w:type="dxa"/>
            <w:right w:w="108" w:type="dxa"/>
          </w:tblCellMar>
        </w:tblPrEx>
        <w:trPr>
          <w:trHeight w:val="0" w:hRule="atLeast"/>
          <w:jc w:val="center"/>
        </w:trPr>
        <w:tc>
          <w:tcPr>
            <w:tcW w:w="0" w:type="auto"/>
            <w:vAlign w:val="center"/>
          </w:tcPr>
          <w:p w14:paraId="372C8B8A">
            <w:pPr>
              <w:pStyle w:val="24"/>
              <w:snapToGrid w:val="0"/>
              <w:ind w:left="0" w:leftChars="0" w:right="0" w:rightChars="0" w:firstLine="0" w:firstLineChars="0"/>
              <w:jc w:val="center"/>
              <w:rPr>
                <w:color w:val="auto"/>
              </w:rPr>
            </w:pPr>
            <m:oMathPara>
              <m:oMath>
                <m:sSub>
                  <m:sSubPr>
                    <m:ctrlPr>
                      <w:rPr>
                        <w:color w:val="auto"/>
                      </w:rPr>
                    </m:ctrlPr>
                  </m:sSubPr>
                  <m:e>
                    <m:r>
                      <m:rPr/>
                      <w:rPr>
                        <w:color w:val="auto"/>
                      </w:rPr>
                      <m:t>δ</m:t>
                    </m:r>
                    <m:ctrlPr>
                      <w:rPr>
                        <w:color w:val="auto"/>
                      </w:rPr>
                    </m:ctrlPr>
                  </m:e>
                  <m:sub>
                    <m:r>
                      <m:rPr/>
                      <w:rPr>
                        <w:color w:val="auto"/>
                      </w:rPr>
                      <m:t>i</m:t>
                    </m:r>
                    <m:ctrlPr>
                      <w:rPr>
                        <w:color w:val="auto"/>
                      </w:rPr>
                    </m:ctrlPr>
                  </m:sub>
                </m:sSub>
              </m:oMath>
            </m:oMathPara>
          </w:p>
        </w:tc>
        <w:tc>
          <w:tcPr>
            <w:tcW w:w="0" w:type="auto"/>
            <w:vAlign w:val="center"/>
          </w:tcPr>
          <w:p w14:paraId="75BFA4DA">
            <w:pPr>
              <w:pStyle w:val="24"/>
              <w:snapToGrid w:val="0"/>
              <w:ind w:left="0" w:leftChars="0" w:right="0" w:rightChars="0" w:firstLine="0" w:firstLineChars="0"/>
              <w:jc w:val="left"/>
              <w:rPr>
                <w:color w:val="auto"/>
              </w:rPr>
            </w:pPr>
            <w:r>
              <w:rPr>
                <w:color w:val="auto"/>
              </w:rPr>
              <w:t xml:space="preserve">Diagonal dominance ratio </w:t>
            </w:r>
            <m:oMath>
              <m:r>
                <m:rPr/>
                <w:rPr>
                  <w:color w:val="auto"/>
                </w:rPr>
                <m:t>|</m:t>
              </m:r>
              <m:sSub>
                <m:sSubPr>
                  <m:ctrlPr>
                    <w:rPr>
                      <w:color w:val="auto"/>
                    </w:rPr>
                  </m:ctrlPr>
                </m:sSubPr>
                <m:e>
                  <m:r>
                    <m:rPr/>
                    <w:rPr>
                      <w:color w:val="auto"/>
                    </w:rPr>
                    <m:t>a</m:t>
                  </m:r>
                  <m:ctrlPr>
                    <w:rPr>
                      <w:color w:val="auto"/>
                    </w:rPr>
                  </m:ctrlPr>
                </m:e>
                <m:sub>
                  <m:r>
                    <m:rPr/>
                    <w:rPr>
                      <w:color w:val="auto"/>
                    </w:rPr>
                    <m:t>ii</m:t>
                  </m:r>
                  <m:ctrlPr>
                    <w:rPr>
                      <w:color w:val="auto"/>
                    </w:rPr>
                  </m:ctrlPr>
                </m:sub>
              </m:sSub>
              <m:r>
                <m:rPr/>
                <w:rPr>
                  <w:color w:val="auto"/>
                </w:rPr>
                <m:t>|/</m:t>
              </m:r>
              <m:nary>
                <m:naryPr>
                  <m:chr m:val="∑"/>
                  <m:limLoc m:val="undOvr"/>
                  <m:supHide m:val="1"/>
                  <m:ctrlPr>
                    <w:rPr>
                      <w:color w:val="auto"/>
                    </w:rPr>
                  </m:ctrlPr>
                </m:naryPr>
                <m:sub>
                  <m:r>
                    <m:rPr/>
                    <w:rPr>
                      <w:color w:val="auto"/>
                    </w:rPr>
                    <m:t>j≠i</m:t>
                  </m:r>
                  <m:ctrlPr>
                    <w:rPr>
                      <w:color w:val="auto"/>
                    </w:rPr>
                  </m:ctrlPr>
                </m:sub>
                <m:sup>
                  <m:r>
                    <m:rPr/>
                    <w:rPr>
                      <w:color w:val="auto"/>
                    </w:rPr>
                    <m:t>​</m:t>
                  </m:r>
                  <m:ctrlPr>
                    <w:rPr>
                      <w:color w:val="auto"/>
                    </w:rPr>
                  </m:ctrlPr>
                </m:sup>
                <m:e>
                  <m:r>
                    <m:rPr/>
                    <w:rPr>
                      <w:color w:val="auto"/>
                    </w:rPr>
                    <m:t>|</m:t>
                  </m:r>
                  <m:ctrlPr>
                    <w:rPr>
                      <w:color w:val="auto"/>
                    </w:rPr>
                  </m:ctrlPr>
                </m:e>
              </m:nary>
              <m:sSub>
                <m:sSubPr>
                  <m:ctrlPr>
                    <w:rPr>
                      <w:color w:val="auto"/>
                    </w:rPr>
                  </m:ctrlPr>
                </m:sSubPr>
                <m:e>
                  <m:r>
                    <m:rPr/>
                    <w:rPr>
                      <w:color w:val="auto"/>
                    </w:rPr>
                    <m:t>a</m:t>
                  </m:r>
                  <m:ctrlPr>
                    <w:rPr>
                      <w:color w:val="auto"/>
                    </w:rPr>
                  </m:ctrlPr>
                </m:e>
                <m:sub>
                  <m:r>
                    <m:rPr/>
                    <w:rPr>
                      <w:color w:val="auto"/>
                    </w:rPr>
                    <m:t>ij</m:t>
                  </m:r>
                  <m:ctrlPr>
                    <w:rPr>
                      <w:color w:val="auto"/>
                    </w:rPr>
                  </m:ctrlPr>
                </m:sub>
              </m:sSub>
              <m:r>
                <m:rPr/>
                <w:rPr>
                  <w:color w:val="auto"/>
                </w:rPr>
                <m:t>|</m:t>
              </m:r>
            </m:oMath>
          </w:p>
        </w:tc>
        <w:tc>
          <w:tcPr>
            <w:tcW w:w="1266" w:type="dxa"/>
            <w:vAlign w:val="center"/>
          </w:tcPr>
          <w:p w14:paraId="0723F41E">
            <w:pPr>
              <w:pStyle w:val="24"/>
              <w:snapToGrid w:val="0"/>
              <w:ind w:left="0" w:leftChars="0" w:right="0" w:rightChars="0" w:firstLine="0" w:firstLineChars="0"/>
              <w:jc w:val="left"/>
              <w:rPr>
                <w:color w:val="auto"/>
              </w:rPr>
            </w:pPr>
            <w:r>
              <w:rPr>
                <w:color w:val="auto"/>
              </w:rPr>
              <w:t>—</w:t>
            </w:r>
          </w:p>
        </w:tc>
      </w:tr>
      <w:tr w14:paraId="03D77856">
        <w:tblPrEx>
          <w:tblCellMar>
            <w:top w:w="0" w:type="dxa"/>
            <w:left w:w="108" w:type="dxa"/>
            <w:bottom w:w="0" w:type="dxa"/>
            <w:right w:w="108" w:type="dxa"/>
          </w:tblCellMar>
        </w:tblPrEx>
        <w:trPr>
          <w:trHeight w:val="0" w:hRule="atLeast"/>
          <w:jc w:val="center"/>
        </w:trPr>
        <w:tc>
          <w:tcPr>
            <w:tcW w:w="0" w:type="auto"/>
            <w:vAlign w:val="center"/>
          </w:tcPr>
          <w:p w14:paraId="0E38E0E8">
            <w:pPr>
              <w:pStyle w:val="24"/>
              <w:snapToGrid w:val="0"/>
              <w:ind w:left="0" w:leftChars="0" w:right="0" w:rightChars="0" w:firstLine="0" w:firstLineChars="0"/>
              <w:jc w:val="center"/>
              <w:rPr>
                <w:color w:val="auto"/>
              </w:rPr>
            </w:pPr>
            <m:oMathPara>
              <m:oMath>
                <m:sSub>
                  <m:sSubPr>
                    <m:ctrlPr>
                      <w:rPr>
                        <w:color w:val="auto"/>
                      </w:rPr>
                    </m:ctrlPr>
                  </m:sSubPr>
                  <m:e>
                    <m:r>
                      <m:rPr/>
                      <w:rPr>
                        <w:color w:val="auto"/>
                      </w:rPr>
                      <m:t>ε</m:t>
                    </m:r>
                    <m:ctrlPr>
                      <w:rPr>
                        <w:color w:val="auto"/>
                      </w:rPr>
                    </m:ctrlPr>
                  </m:e>
                  <m:sub>
                    <m:r>
                      <m:rPr>
                        <m:nor/>
                        <m:sty m:val="p"/>
                      </m:rPr>
                      <w:rPr>
                        <w:b w:val="0"/>
                        <w:i w:val="0"/>
                        <w:color w:val="auto"/>
                      </w:rPr>
                      <m:t>str</m:t>
                    </m:r>
                    <m:ctrlPr>
                      <w:rPr>
                        <w:color w:val="auto"/>
                      </w:rPr>
                    </m:ctrlPr>
                  </m:sub>
                </m:sSub>
              </m:oMath>
            </m:oMathPara>
          </w:p>
        </w:tc>
        <w:tc>
          <w:tcPr>
            <w:tcW w:w="0" w:type="auto"/>
            <w:vAlign w:val="center"/>
          </w:tcPr>
          <w:p w14:paraId="54DFF5FC">
            <w:pPr>
              <w:pStyle w:val="24"/>
              <w:snapToGrid w:val="0"/>
              <w:ind w:left="0" w:leftChars="0" w:right="0" w:rightChars="0" w:firstLine="0" w:firstLineChars="0"/>
              <w:jc w:val="left"/>
              <w:rPr>
                <w:color w:val="auto"/>
              </w:rPr>
            </w:pPr>
            <w:r>
              <w:rPr>
                <w:color w:val="auto"/>
              </w:rPr>
              <w:t>SA-AMG strong-coupling threshold</w:t>
            </w:r>
          </w:p>
        </w:tc>
        <w:tc>
          <w:tcPr>
            <w:tcW w:w="1266" w:type="dxa"/>
            <w:vAlign w:val="center"/>
          </w:tcPr>
          <w:p w14:paraId="262C42EA">
            <w:pPr>
              <w:pStyle w:val="24"/>
              <w:snapToGrid w:val="0"/>
              <w:ind w:left="0" w:leftChars="0" w:right="0" w:rightChars="0" w:firstLine="0" w:firstLineChars="0"/>
              <w:jc w:val="left"/>
              <w:rPr>
                <w:color w:val="auto"/>
              </w:rPr>
            </w:pPr>
            <w:r>
              <w:rPr>
                <w:color w:val="auto"/>
              </w:rPr>
              <w:t>—</w:t>
            </w:r>
          </w:p>
        </w:tc>
      </w:tr>
      <w:tr w14:paraId="52DF7D99">
        <w:tblPrEx>
          <w:tblCellMar>
            <w:top w:w="0" w:type="dxa"/>
            <w:left w:w="108" w:type="dxa"/>
            <w:bottom w:w="0" w:type="dxa"/>
            <w:right w:w="108" w:type="dxa"/>
          </w:tblCellMar>
        </w:tblPrEx>
        <w:trPr>
          <w:trHeight w:val="0" w:hRule="atLeast"/>
          <w:jc w:val="center"/>
        </w:trPr>
        <w:tc>
          <w:tcPr>
            <w:tcW w:w="0" w:type="auto"/>
            <w:vAlign w:val="center"/>
          </w:tcPr>
          <w:p w14:paraId="2858FC72">
            <w:pPr>
              <w:pStyle w:val="24"/>
              <w:snapToGrid w:val="0"/>
              <w:ind w:left="0" w:leftChars="0" w:right="0" w:rightChars="0" w:firstLine="0" w:firstLineChars="0"/>
              <w:jc w:val="center"/>
              <w:rPr>
                <w:color w:val="auto"/>
              </w:rPr>
            </w:pPr>
            <m:oMathPara>
              <m:oMath>
                <m:r>
                  <m:rPr/>
                  <w:rPr>
                    <w:color w:val="auto"/>
                  </w:rPr>
                  <m:t>η</m:t>
                </m:r>
              </m:oMath>
            </m:oMathPara>
          </w:p>
        </w:tc>
        <w:tc>
          <w:tcPr>
            <w:tcW w:w="0" w:type="auto"/>
            <w:vAlign w:val="center"/>
          </w:tcPr>
          <w:p w14:paraId="0E41BDA1">
            <w:pPr>
              <w:pStyle w:val="24"/>
              <w:snapToGrid w:val="0"/>
              <w:ind w:left="0" w:leftChars="0" w:right="0" w:rightChars="0" w:firstLine="0" w:firstLineChars="0"/>
              <w:jc w:val="left"/>
              <w:rPr>
                <w:color w:val="auto"/>
              </w:rPr>
            </w:pPr>
            <w:r>
              <w:rPr>
                <w:color w:val="auto"/>
              </w:rPr>
              <w:t>Computation–communication overlap efficiency</w:t>
            </w:r>
          </w:p>
        </w:tc>
        <w:tc>
          <w:tcPr>
            <w:tcW w:w="1266" w:type="dxa"/>
            <w:vAlign w:val="center"/>
          </w:tcPr>
          <w:p w14:paraId="75EFAF04">
            <w:pPr>
              <w:pStyle w:val="24"/>
              <w:snapToGrid w:val="0"/>
              <w:ind w:left="0" w:leftChars="0" w:right="0" w:rightChars="0" w:firstLine="0" w:firstLineChars="0"/>
              <w:jc w:val="left"/>
              <w:rPr>
                <w:color w:val="auto"/>
              </w:rPr>
            </w:pPr>
            <w:r>
              <w:rPr>
                <w:color w:val="auto"/>
              </w:rPr>
              <w:t>—</w:t>
            </w:r>
          </w:p>
        </w:tc>
      </w:tr>
      <w:tr w14:paraId="45021521">
        <w:tblPrEx>
          <w:tblCellMar>
            <w:top w:w="0" w:type="dxa"/>
            <w:left w:w="108" w:type="dxa"/>
            <w:bottom w:w="0" w:type="dxa"/>
            <w:right w:w="108" w:type="dxa"/>
          </w:tblCellMar>
        </w:tblPrEx>
        <w:trPr>
          <w:trHeight w:val="0" w:hRule="atLeast"/>
          <w:jc w:val="center"/>
        </w:trPr>
        <w:tc>
          <w:tcPr>
            <w:tcW w:w="0" w:type="auto"/>
            <w:vAlign w:val="center"/>
          </w:tcPr>
          <w:p w14:paraId="2AFA3FC7">
            <w:pPr>
              <w:pStyle w:val="24"/>
              <w:snapToGrid w:val="0"/>
              <w:ind w:left="0" w:leftChars="0" w:right="0" w:rightChars="0" w:firstLine="0" w:firstLineChars="0"/>
              <w:jc w:val="center"/>
              <w:rPr>
                <w:color w:val="auto"/>
              </w:rPr>
            </w:pPr>
            <m:oMathPara>
              <m:oMath>
                <m:r>
                  <m:rPr/>
                  <w:rPr>
                    <w:color w:val="auto"/>
                  </w:rPr>
                  <m:t>θ</m:t>
                </m:r>
              </m:oMath>
            </m:oMathPara>
          </w:p>
        </w:tc>
        <w:tc>
          <w:tcPr>
            <w:tcW w:w="0" w:type="auto"/>
            <w:vAlign w:val="center"/>
          </w:tcPr>
          <w:p w14:paraId="50828027">
            <w:pPr>
              <w:pStyle w:val="24"/>
              <w:snapToGrid w:val="0"/>
              <w:ind w:left="0" w:leftChars="0" w:right="0" w:rightChars="0" w:firstLine="0" w:firstLineChars="0"/>
              <w:jc w:val="left"/>
              <w:rPr>
                <w:color w:val="auto"/>
              </w:rPr>
            </w:pPr>
            <w:r>
              <w:rPr>
                <w:color w:val="auto"/>
              </w:rPr>
              <w:t>K-orthogonality deviation angle</w:t>
            </w:r>
          </w:p>
        </w:tc>
        <w:tc>
          <w:tcPr>
            <w:tcW w:w="1266" w:type="dxa"/>
            <w:vAlign w:val="center"/>
          </w:tcPr>
          <w:p w14:paraId="77616C76">
            <w:pPr>
              <w:pStyle w:val="24"/>
              <w:snapToGrid w:val="0"/>
              <w:ind w:left="0" w:leftChars="0" w:right="0" w:rightChars="0" w:firstLine="0" w:firstLineChars="0"/>
              <w:jc w:val="left"/>
              <w:rPr>
                <w:color w:val="auto"/>
              </w:rPr>
            </w:pPr>
            <w:r>
              <w:rPr>
                <w:color w:val="auto"/>
              </w:rPr>
              <w:t>degrees</w:t>
            </w:r>
          </w:p>
        </w:tc>
      </w:tr>
      <w:tr w14:paraId="0188F85F">
        <w:tblPrEx>
          <w:tblCellMar>
            <w:top w:w="0" w:type="dxa"/>
            <w:left w:w="108" w:type="dxa"/>
            <w:bottom w:w="0" w:type="dxa"/>
            <w:right w:w="108" w:type="dxa"/>
          </w:tblCellMar>
        </w:tblPrEx>
        <w:trPr>
          <w:trHeight w:val="0" w:hRule="atLeast"/>
          <w:jc w:val="center"/>
        </w:trPr>
        <w:tc>
          <w:tcPr>
            <w:tcW w:w="0" w:type="auto"/>
            <w:vAlign w:val="center"/>
          </w:tcPr>
          <w:p w14:paraId="0997900E">
            <w:pPr>
              <w:pStyle w:val="24"/>
              <w:snapToGrid w:val="0"/>
              <w:ind w:left="0" w:leftChars="0" w:right="0" w:rightChars="0" w:firstLine="0" w:firstLineChars="0"/>
              <w:jc w:val="center"/>
              <w:rPr>
                <w:color w:val="auto"/>
              </w:rPr>
            </w:pPr>
            <m:oMathPara>
              <m:oMath>
                <m:r>
                  <m:rPr/>
                  <w:rPr>
                    <w:color w:val="auto"/>
                  </w:rPr>
                  <m:t>κ(A)</m:t>
                </m:r>
              </m:oMath>
            </m:oMathPara>
          </w:p>
        </w:tc>
        <w:tc>
          <w:tcPr>
            <w:tcW w:w="0" w:type="auto"/>
            <w:vAlign w:val="center"/>
          </w:tcPr>
          <w:p w14:paraId="16CB9A2A">
            <w:pPr>
              <w:pStyle w:val="24"/>
              <w:snapToGrid w:val="0"/>
              <w:ind w:left="0" w:leftChars="0" w:right="0" w:rightChars="0" w:firstLine="0" w:firstLineChars="0"/>
              <w:jc w:val="left"/>
              <w:rPr>
                <w:color w:val="auto"/>
              </w:rPr>
            </w:pPr>
            <w:r>
              <w:rPr>
                <w:color w:val="auto"/>
              </w:rPr>
              <w:t xml:space="preserve">Condition number of matrix </w:t>
            </w:r>
            <m:oMath>
              <m:r>
                <m:rPr/>
                <w:rPr>
                  <w:color w:val="auto"/>
                </w:rPr>
                <m:t>A</m:t>
              </m:r>
            </m:oMath>
          </w:p>
        </w:tc>
        <w:tc>
          <w:tcPr>
            <w:tcW w:w="1266" w:type="dxa"/>
            <w:vAlign w:val="center"/>
          </w:tcPr>
          <w:p w14:paraId="68D7B69F">
            <w:pPr>
              <w:pStyle w:val="24"/>
              <w:snapToGrid w:val="0"/>
              <w:ind w:left="0" w:leftChars="0" w:right="0" w:rightChars="0" w:firstLine="0" w:firstLineChars="0"/>
              <w:jc w:val="left"/>
              <w:rPr>
                <w:color w:val="auto"/>
              </w:rPr>
            </w:pPr>
            <w:r>
              <w:rPr>
                <w:color w:val="auto"/>
              </w:rPr>
              <w:t>—</w:t>
            </w:r>
          </w:p>
        </w:tc>
      </w:tr>
      <w:tr w14:paraId="395A24E0">
        <w:tblPrEx>
          <w:tblCellMar>
            <w:top w:w="0" w:type="dxa"/>
            <w:left w:w="108" w:type="dxa"/>
            <w:bottom w:w="0" w:type="dxa"/>
            <w:right w:w="108" w:type="dxa"/>
          </w:tblCellMar>
        </w:tblPrEx>
        <w:trPr>
          <w:trHeight w:val="0" w:hRule="atLeast"/>
          <w:jc w:val="center"/>
        </w:trPr>
        <w:tc>
          <w:tcPr>
            <w:tcW w:w="0" w:type="auto"/>
            <w:vAlign w:val="center"/>
          </w:tcPr>
          <w:p w14:paraId="70C5B34F">
            <w:pPr>
              <w:pStyle w:val="24"/>
              <w:snapToGrid w:val="0"/>
              <w:ind w:left="0" w:leftChars="0" w:right="0" w:rightChars="0" w:firstLine="0" w:firstLineChars="0"/>
              <w:jc w:val="center"/>
              <w:rPr>
                <w:color w:val="auto"/>
              </w:rPr>
            </w:pPr>
            <m:oMathPara>
              <m:oMath>
                <m:sSub>
                  <m:sSubPr>
                    <m:ctrlPr>
                      <w:rPr>
                        <w:color w:val="auto"/>
                      </w:rPr>
                    </m:ctrlPr>
                  </m:sSubPr>
                  <m:e>
                    <m:r>
                      <m:rPr/>
                      <w:rPr>
                        <w:color w:val="auto"/>
                      </w:rPr>
                      <m:t>μ</m:t>
                    </m:r>
                    <m:ctrlPr>
                      <w:rPr>
                        <w:color w:val="auto"/>
                      </w:rPr>
                    </m:ctrlPr>
                  </m:e>
                  <m:sub>
                    <m:r>
                      <m:rPr/>
                      <w:rPr>
                        <w:color w:val="auto"/>
                      </w:rPr>
                      <m:t>p</m:t>
                    </m:r>
                    <m:ctrlPr>
                      <w:rPr>
                        <w:color w:val="auto"/>
                      </w:rPr>
                    </m:ctrlPr>
                  </m:sub>
                </m:sSub>
              </m:oMath>
            </m:oMathPara>
          </w:p>
        </w:tc>
        <w:tc>
          <w:tcPr>
            <w:tcW w:w="0" w:type="auto"/>
            <w:vAlign w:val="center"/>
          </w:tcPr>
          <w:p w14:paraId="2128F778">
            <w:pPr>
              <w:pStyle w:val="24"/>
              <w:snapToGrid w:val="0"/>
              <w:ind w:left="0" w:leftChars="0" w:right="0" w:rightChars="0" w:firstLine="0" w:firstLineChars="0"/>
              <w:jc w:val="left"/>
              <w:rPr>
                <w:color w:val="auto"/>
              </w:rPr>
            </w:pPr>
            <w:r>
              <w:rPr>
                <w:color w:val="auto"/>
              </w:rPr>
              <w:t xml:space="preserve">Viscosity of phase </w:t>
            </w:r>
            <m:oMath>
              <m:r>
                <m:rPr/>
                <w:rPr>
                  <w:color w:val="auto"/>
                </w:rPr>
                <m:t>p</m:t>
              </m:r>
            </m:oMath>
          </w:p>
        </w:tc>
        <w:tc>
          <w:tcPr>
            <w:tcW w:w="1266" w:type="dxa"/>
            <w:vAlign w:val="center"/>
          </w:tcPr>
          <w:p w14:paraId="11D8309D">
            <w:pPr>
              <w:pStyle w:val="24"/>
              <w:snapToGrid w:val="0"/>
              <w:ind w:left="0" w:leftChars="0" w:right="0" w:rightChars="0" w:firstLine="0" w:firstLineChars="0"/>
              <w:jc w:val="left"/>
              <w:rPr>
                <w:color w:val="auto"/>
              </w:rPr>
            </w:pPr>
            <w:r>
              <w:rPr>
                <w:color w:val="auto"/>
              </w:rPr>
              <w:t>cP</w:t>
            </w:r>
          </w:p>
        </w:tc>
      </w:tr>
      <w:tr w14:paraId="176F417B">
        <w:tblPrEx>
          <w:tblCellMar>
            <w:top w:w="0" w:type="dxa"/>
            <w:left w:w="108" w:type="dxa"/>
            <w:bottom w:w="0" w:type="dxa"/>
            <w:right w:w="108" w:type="dxa"/>
          </w:tblCellMar>
        </w:tblPrEx>
        <w:trPr>
          <w:trHeight w:val="0" w:hRule="atLeast"/>
          <w:jc w:val="center"/>
        </w:trPr>
        <w:tc>
          <w:tcPr>
            <w:tcW w:w="0" w:type="auto"/>
            <w:vAlign w:val="center"/>
          </w:tcPr>
          <w:p w14:paraId="6993682E">
            <w:pPr>
              <w:pStyle w:val="24"/>
              <w:snapToGrid w:val="0"/>
              <w:ind w:left="0" w:leftChars="0" w:right="0" w:rightChars="0" w:firstLine="0" w:firstLineChars="0"/>
              <w:jc w:val="center"/>
              <w:rPr>
                <w:color w:val="auto"/>
              </w:rPr>
            </w:pPr>
            <m:oMathPara>
              <m:oMath>
                <m:sSub>
                  <m:sSubPr>
                    <m:ctrlPr>
                      <w:rPr>
                        <w:color w:val="auto"/>
                      </w:rPr>
                    </m:ctrlPr>
                  </m:sSubPr>
                  <m:e>
                    <m:r>
                      <m:rPr/>
                      <w:rPr>
                        <w:color w:val="auto"/>
                      </w:rPr>
                      <m:t>ρ</m:t>
                    </m:r>
                    <m:ctrlPr>
                      <w:rPr>
                        <w:color w:val="auto"/>
                      </w:rPr>
                    </m:ctrlPr>
                  </m:e>
                  <m:sub>
                    <m:r>
                      <m:rPr/>
                      <w:rPr>
                        <w:color w:val="auto"/>
                      </w:rPr>
                      <m:t>p</m:t>
                    </m:r>
                    <m:ctrlPr>
                      <w:rPr>
                        <w:color w:val="auto"/>
                      </w:rPr>
                    </m:ctrlPr>
                  </m:sub>
                </m:sSub>
              </m:oMath>
            </m:oMathPara>
          </w:p>
        </w:tc>
        <w:tc>
          <w:tcPr>
            <w:tcW w:w="0" w:type="auto"/>
            <w:vAlign w:val="center"/>
          </w:tcPr>
          <w:p w14:paraId="7ECA7B74">
            <w:pPr>
              <w:pStyle w:val="24"/>
              <w:snapToGrid w:val="0"/>
              <w:ind w:left="0" w:leftChars="0" w:right="0" w:rightChars="0" w:firstLine="0" w:firstLineChars="0"/>
              <w:jc w:val="left"/>
              <w:rPr>
                <w:color w:val="auto"/>
              </w:rPr>
            </w:pPr>
            <w:r>
              <w:rPr>
                <w:color w:val="auto"/>
              </w:rPr>
              <w:t xml:space="preserve">Density of phase </w:t>
            </w:r>
            <m:oMath>
              <m:r>
                <m:rPr/>
                <w:rPr>
                  <w:color w:val="auto"/>
                </w:rPr>
                <m:t>p</m:t>
              </m:r>
            </m:oMath>
          </w:p>
        </w:tc>
        <w:tc>
          <w:tcPr>
            <w:tcW w:w="1266" w:type="dxa"/>
            <w:vAlign w:val="center"/>
          </w:tcPr>
          <w:p w14:paraId="04AF614F">
            <w:pPr>
              <w:pStyle w:val="24"/>
              <w:snapToGrid w:val="0"/>
              <w:ind w:left="0" w:leftChars="0" w:right="0" w:rightChars="0" w:firstLine="0" w:firstLineChars="0"/>
              <w:jc w:val="left"/>
              <w:rPr>
                <w:color w:val="auto"/>
              </w:rPr>
            </w:pPr>
            <w:r>
              <w:rPr>
                <w:color w:val="auto"/>
              </w:rPr>
              <w:t>kg/m³</w:t>
            </w:r>
          </w:p>
        </w:tc>
      </w:tr>
      <w:tr w14:paraId="3100FDCA">
        <w:tblPrEx>
          <w:tblCellMar>
            <w:top w:w="0" w:type="dxa"/>
            <w:left w:w="108" w:type="dxa"/>
            <w:bottom w:w="0" w:type="dxa"/>
            <w:right w:w="108" w:type="dxa"/>
          </w:tblCellMar>
        </w:tblPrEx>
        <w:trPr>
          <w:trHeight w:val="0" w:hRule="atLeast"/>
          <w:jc w:val="center"/>
        </w:trPr>
        <w:tc>
          <w:tcPr>
            <w:tcW w:w="0" w:type="auto"/>
            <w:vAlign w:val="center"/>
          </w:tcPr>
          <w:p w14:paraId="59E1D057">
            <w:pPr>
              <w:pStyle w:val="24"/>
              <w:snapToGrid w:val="0"/>
              <w:ind w:left="0" w:leftChars="0" w:right="0" w:rightChars="0" w:firstLine="0" w:firstLineChars="0"/>
              <w:jc w:val="center"/>
              <w:rPr>
                <w:color w:val="auto"/>
              </w:rPr>
            </w:pPr>
            <m:oMathPara>
              <m:oMath>
                <m:r>
                  <m:rPr/>
                  <w:rPr>
                    <w:color w:val="auto"/>
                  </w:rPr>
                  <m:t>ϕ</m:t>
                </m:r>
              </m:oMath>
            </m:oMathPara>
          </w:p>
        </w:tc>
        <w:tc>
          <w:tcPr>
            <w:tcW w:w="0" w:type="auto"/>
            <w:vAlign w:val="center"/>
          </w:tcPr>
          <w:p w14:paraId="13C1897F">
            <w:pPr>
              <w:pStyle w:val="24"/>
              <w:snapToGrid w:val="0"/>
              <w:ind w:left="0" w:leftChars="0" w:right="0" w:rightChars="0" w:firstLine="0" w:firstLineChars="0"/>
              <w:jc w:val="left"/>
              <w:rPr>
                <w:color w:val="auto"/>
              </w:rPr>
            </w:pPr>
            <w:r>
              <w:rPr>
                <w:color w:val="auto"/>
              </w:rPr>
              <w:t>Porosity</w:t>
            </w:r>
          </w:p>
        </w:tc>
        <w:tc>
          <w:tcPr>
            <w:tcW w:w="1266" w:type="dxa"/>
            <w:vAlign w:val="center"/>
          </w:tcPr>
          <w:p w14:paraId="6D1FF15B">
            <w:pPr>
              <w:pStyle w:val="24"/>
              <w:snapToGrid w:val="0"/>
              <w:ind w:left="0" w:leftChars="0" w:right="0" w:rightChars="0" w:firstLine="0" w:firstLineChars="0"/>
              <w:jc w:val="left"/>
              <w:rPr>
                <w:color w:val="auto"/>
              </w:rPr>
            </w:pPr>
            <w:r>
              <w:rPr>
                <w:color w:val="auto"/>
              </w:rPr>
              <w:t>—</w:t>
            </w:r>
          </w:p>
        </w:tc>
      </w:tr>
      <w:tr w14:paraId="67F02472">
        <w:tblPrEx>
          <w:tblCellMar>
            <w:top w:w="0" w:type="dxa"/>
            <w:left w:w="108" w:type="dxa"/>
            <w:bottom w:w="0" w:type="dxa"/>
            <w:right w:w="108" w:type="dxa"/>
          </w:tblCellMar>
        </w:tblPrEx>
        <w:trPr>
          <w:trHeight w:val="0" w:hRule="atLeast"/>
          <w:jc w:val="center"/>
        </w:trPr>
        <w:tc>
          <w:tcPr>
            <w:tcW w:w="1214" w:type="dxa"/>
            <w:vAlign w:val="center"/>
          </w:tcPr>
          <w:p w14:paraId="57956EF0">
            <w:pPr>
              <w:pStyle w:val="24"/>
              <w:snapToGrid w:val="0"/>
              <w:ind w:left="0" w:leftChars="0" w:right="0" w:rightChars="0" w:firstLine="0" w:firstLineChars="0"/>
              <w:jc w:val="center"/>
              <w:rPr>
                <w:color w:val="auto"/>
              </w:rPr>
            </w:pPr>
            <m:oMathPara>
              <m:oMath>
                <m:r>
                  <m:rPr/>
                  <w:rPr>
                    <w:color w:val="auto"/>
                  </w:rPr>
                  <m:t>ω</m:t>
                </m:r>
              </m:oMath>
            </m:oMathPara>
          </w:p>
        </w:tc>
        <w:tc>
          <w:tcPr>
            <w:tcW w:w="6371" w:type="dxa"/>
            <w:vAlign w:val="center"/>
          </w:tcPr>
          <w:p w14:paraId="2A7CE178">
            <w:pPr>
              <w:pStyle w:val="24"/>
              <w:snapToGrid w:val="0"/>
              <w:ind w:left="0" w:leftChars="0" w:right="0" w:rightChars="0" w:firstLine="0" w:firstLineChars="0"/>
              <w:jc w:val="left"/>
              <w:rPr>
                <w:color w:val="auto"/>
              </w:rPr>
            </w:pPr>
            <w:r>
              <w:rPr>
                <w:color w:val="auto"/>
              </w:rPr>
              <w:t>Damped Jacobi smoothing parameter</w:t>
            </w:r>
          </w:p>
        </w:tc>
        <w:tc>
          <w:tcPr>
            <w:tcW w:w="1266" w:type="dxa"/>
            <w:vAlign w:val="center"/>
          </w:tcPr>
          <w:p w14:paraId="50FB214B">
            <w:pPr>
              <w:pStyle w:val="24"/>
              <w:snapToGrid w:val="0"/>
              <w:ind w:left="0" w:leftChars="0" w:right="0" w:rightChars="0" w:firstLine="0" w:firstLineChars="0"/>
              <w:jc w:val="left"/>
              <w:rPr>
                <w:color w:val="auto"/>
              </w:rPr>
            </w:pPr>
            <w:r>
              <w:rPr>
                <w:color w:val="auto"/>
              </w:rPr>
              <w:t>—</w:t>
            </w:r>
          </w:p>
        </w:tc>
      </w:tr>
    </w:tbl>
    <w:p w14:paraId="34664837">
      <w:pPr>
        <w:pStyle w:val="5"/>
        <w:spacing w:before="360" w:after="120"/>
        <w:ind w:firstLine="0"/>
        <w:rPr>
          <w:color w:val="auto"/>
        </w:rPr>
      </w:pPr>
      <w:bookmarkStart w:id="40" w:name="abbreviations"/>
      <w:r>
        <w:rPr>
          <w:color w:val="auto"/>
        </w:rPr>
        <w:t>Abbreviations</w:t>
      </w:r>
      <w:bookmarkEnd w:id="40"/>
    </w:p>
    <w:tbl>
      <w:tblPr>
        <w:tblStyle w:val="28"/>
        <w:tblW w:w="8851" w:type="dxa"/>
        <w:jc w:val="center"/>
        <w:tblLayout w:type="autofit"/>
        <w:tblCellMar>
          <w:top w:w="0" w:type="dxa"/>
          <w:left w:w="108" w:type="dxa"/>
          <w:bottom w:w="0" w:type="dxa"/>
          <w:right w:w="108" w:type="dxa"/>
        </w:tblCellMar>
      </w:tblPr>
      <w:tblGrid>
        <w:gridCol w:w="1873"/>
        <w:gridCol w:w="6978"/>
      </w:tblGrid>
      <w:tr w14:paraId="037DF4FE">
        <w:tblPrEx>
          <w:tblCellMar>
            <w:top w:w="0" w:type="dxa"/>
            <w:left w:w="108" w:type="dxa"/>
            <w:bottom w:w="0" w:type="dxa"/>
            <w:right w:w="108" w:type="dxa"/>
          </w:tblCellMar>
        </w:tblPrEx>
        <w:trPr>
          <w:trHeight w:val="0" w:hRule="atLeast"/>
          <w:tblHeader/>
          <w:jc w:val="center"/>
        </w:trPr>
        <w:tc>
          <w:tcPr>
            <w:tcW w:w="1873" w:type="dxa"/>
            <w:tcBorders>
              <w:bottom w:val="single" w:color="auto" w:sz="0" w:space="0"/>
            </w:tcBorders>
            <w:vAlign w:val="center"/>
          </w:tcPr>
          <w:p w14:paraId="49D748D7">
            <w:pPr>
              <w:pStyle w:val="24"/>
              <w:snapToGrid w:val="0"/>
              <w:ind w:left="0" w:leftChars="0" w:right="0" w:rightChars="0" w:firstLine="0" w:firstLineChars="0"/>
              <w:jc w:val="center"/>
              <w:rPr>
                <w:b/>
                <w:color w:val="auto"/>
              </w:rPr>
            </w:pPr>
            <w:r>
              <w:rPr>
                <w:b/>
                <w:color w:val="auto"/>
              </w:rPr>
              <w:t>Abbreviation</w:t>
            </w:r>
          </w:p>
        </w:tc>
        <w:tc>
          <w:tcPr>
            <w:tcW w:w="6978" w:type="dxa"/>
            <w:tcBorders>
              <w:bottom w:val="single" w:color="auto" w:sz="0" w:space="0"/>
            </w:tcBorders>
            <w:vAlign w:val="center"/>
          </w:tcPr>
          <w:p w14:paraId="38A1A0E8">
            <w:pPr>
              <w:pStyle w:val="24"/>
              <w:snapToGrid w:val="0"/>
              <w:ind w:left="0" w:leftChars="0" w:right="0" w:rightChars="0" w:firstLine="0" w:firstLineChars="0"/>
              <w:jc w:val="center"/>
              <w:rPr>
                <w:b/>
                <w:color w:val="auto"/>
              </w:rPr>
            </w:pPr>
            <w:r>
              <w:rPr>
                <w:b/>
                <w:color w:val="auto"/>
              </w:rPr>
              <w:t>Meaning</w:t>
            </w:r>
          </w:p>
        </w:tc>
      </w:tr>
      <w:tr w14:paraId="32D91708">
        <w:tblPrEx>
          <w:tblCellMar>
            <w:top w:w="0" w:type="dxa"/>
            <w:left w:w="108" w:type="dxa"/>
            <w:bottom w:w="0" w:type="dxa"/>
            <w:right w:w="108" w:type="dxa"/>
          </w:tblCellMar>
        </w:tblPrEx>
        <w:trPr>
          <w:trHeight w:val="0" w:hRule="atLeast"/>
          <w:jc w:val="center"/>
        </w:trPr>
        <w:tc>
          <w:tcPr>
            <w:tcW w:w="1873" w:type="dxa"/>
            <w:vAlign w:val="center"/>
          </w:tcPr>
          <w:p w14:paraId="4ED36E21">
            <w:pPr>
              <w:pStyle w:val="24"/>
              <w:snapToGrid w:val="0"/>
              <w:ind w:left="0" w:leftChars="0" w:right="0" w:rightChars="0" w:firstLine="0" w:firstLineChars="0"/>
              <w:jc w:val="center"/>
              <w:rPr>
                <w:color w:val="auto"/>
              </w:rPr>
            </w:pPr>
            <w:r>
              <w:rPr>
                <w:color w:val="auto"/>
              </w:rPr>
              <w:t>AMG</w:t>
            </w:r>
          </w:p>
        </w:tc>
        <w:tc>
          <w:tcPr>
            <w:tcW w:w="6978" w:type="dxa"/>
            <w:vAlign w:val="center"/>
          </w:tcPr>
          <w:p w14:paraId="1FCBA627">
            <w:pPr>
              <w:pStyle w:val="24"/>
              <w:snapToGrid w:val="0"/>
              <w:ind w:left="0" w:leftChars="0" w:right="0" w:rightChars="0" w:firstLine="0" w:firstLineChars="0"/>
              <w:jc w:val="left"/>
              <w:rPr>
                <w:color w:val="auto"/>
              </w:rPr>
            </w:pPr>
            <w:r>
              <w:rPr>
                <w:color w:val="auto"/>
              </w:rPr>
              <w:t>Algebraic Multigrid</w:t>
            </w:r>
          </w:p>
        </w:tc>
      </w:tr>
      <w:tr w14:paraId="76AAEA00">
        <w:tblPrEx>
          <w:tblCellMar>
            <w:top w:w="0" w:type="dxa"/>
            <w:left w:w="108" w:type="dxa"/>
            <w:bottom w:w="0" w:type="dxa"/>
            <w:right w:w="108" w:type="dxa"/>
          </w:tblCellMar>
        </w:tblPrEx>
        <w:trPr>
          <w:trHeight w:val="0" w:hRule="atLeast"/>
          <w:jc w:val="center"/>
        </w:trPr>
        <w:tc>
          <w:tcPr>
            <w:tcW w:w="1873" w:type="dxa"/>
            <w:vAlign w:val="center"/>
          </w:tcPr>
          <w:p w14:paraId="45D56B00">
            <w:pPr>
              <w:pStyle w:val="24"/>
              <w:snapToGrid w:val="0"/>
              <w:ind w:left="0" w:leftChars="0" w:right="0" w:rightChars="0" w:firstLine="0" w:firstLineChars="0"/>
              <w:jc w:val="center"/>
              <w:rPr>
                <w:color w:val="auto"/>
              </w:rPr>
            </w:pPr>
            <w:r>
              <w:rPr>
                <w:color w:val="auto"/>
              </w:rPr>
              <w:t>Block-ILU(0)</w:t>
            </w:r>
          </w:p>
        </w:tc>
        <w:tc>
          <w:tcPr>
            <w:tcW w:w="6978" w:type="dxa"/>
            <w:vAlign w:val="center"/>
          </w:tcPr>
          <w:p w14:paraId="5C6A3935">
            <w:pPr>
              <w:pStyle w:val="24"/>
              <w:snapToGrid w:val="0"/>
              <w:ind w:left="0" w:leftChars="0" w:right="0" w:rightChars="0" w:firstLine="0" w:firstLineChars="0"/>
              <w:jc w:val="left"/>
              <w:rPr>
                <w:color w:val="auto"/>
              </w:rPr>
            </w:pPr>
            <w:r>
              <w:rPr>
                <w:color w:val="auto"/>
              </w:rPr>
              <w:t>Block Incomplete Lower-Upper factorization (zero fill)</w:t>
            </w:r>
          </w:p>
        </w:tc>
      </w:tr>
      <w:tr w14:paraId="5C366011">
        <w:tblPrEx>
          <w:tblCellMar>
            <w:top w:w="0" w:type="dxa"/>
            <w:left w:w="108" w:type="dxa"/>
            <w:bottom w:w="0" w:type="dxa"/>
            <w:right w:w="108" w:type="dxa"/>
          </w:tblCellMar>
        </w:tblPrEx>
        <w:trPr>
          <w:trHeight w:val="0" w:hRule="atLeast"/>
          <w:jc w:val="center"/>
        </w:trPr>
        <w:tc>
          <w:tcPr>
            <w:tcW w:w="1873" w:type="dxa"/>
            <w:vAlign w:val="center"/>
          </w:tcPr>
          <w:p w14:paraId="2BDEEE08">
            <w:pPr>
              <w:pStyle w:val="24"/>
              <w:snapToGrid w:val="0"/>
              <w:ind w:left="0" w:leftChars="0" w:right="0" w:rightChars="0" w:firstLine="0" w:firstLineChars="0"/>
              <w:jc w:val="center"/>
              <w:rPr>
                <w:color w:val="auto"/>
              </w:rPr>
            </w:pPr>
            <w:r>
              <w:rPr>
                <w:color w:val="auto"/>
              </w:rPr>
              <w:t>CPR</w:t>
            </w:r>
          </w:p>
        </w:tc>
        <w:tc>
          <w:tcPr>
            <w:tcW w:w="6978" w:type="dxa"/>
            <w:vAlign w:val="center"/>
          </w:tcPr>
          <w:p w14:paraId="7D985596">
            <w:pPr>
              <w:pStyle w:val="24"/>
              <w:snapToGrid w:val="0"/>
              <w:ind w:left="0" w:leftChars="0" w:right="0" w:rightChars="0" w:firstLine="0" w:firstLineChars="0"/>
              <w:jc w:val="left"/>
              <w:rPr>
                <w:color w:val="auto"/>
              </w:rPr>
            </w:pPr>
            <w:r>
              <w:rPr>
                <w:color w:val="auto"/>
              </w:rPr>
              <w:t>Constrained Pressure Residual</w:t>
            </w:r>
          </w:p>
        </w:tc>
      </w:tr>
      <w:tr w14:paraId="6613AF73">
        <w:tblPrEx>
          <w:tblCellMar>
            <w:top w:w="0" w:type="dxa"/>
            <w:left w:w="108" w:type="dxa"/>
            <w:bottom w:w="0" w:type="dxa"/>
            <w:right w:w="108" w:type="dxa"/>
          </w:tblCellMar>
        </w:tblPrEx>
        <w:trPr>
          <w:trHeight w:val="0" w:hRule="atLeast"/>
          <w:jc w:val="center"/>
        </w:trPr>
        <w:tc>
          <w:tcPr>
            <w:tcW w:w="1873" w:type="dxa"/>
            <w:vAlign w:val="center"/>
          </w:tcPr>
          <w:p w14:paraId="1E1218A2">
            <w:pPr>
              <w:pStyle w:val="24"/>
              <w:snapToGrid w:val="0"/>
              <w:ind w:left="0" w:leftChars="0" w:right="0" w:rightChars="0" w:firstLine="0" w:firstLineChars="0"/>
              <w:jc w:val="center"/>
              <w:rPr>
                <w:color w:val="auto"/>
              </w:rPr>
            </w:pPr>
            <w:r>
              <w:rPr>
                <w:color w:val="auto"/>
              </w:rPr>
              <w:t>DFN</w:t>
            </w:r>
          </w:p>
        </w:tc>
        <w:tc>
          <w:tcPr>
            <w:tcW w:w="6978" w:type="dxa"/>
            <w:vAlign w:val="center"/>
          </w:tcPr>
          <w:p w14:paraId="310F73E6">
            <w:pPr>
              <w:pStyle w:val="24"/>
              <w:snapToGrid w:val="0"/>
              <w:ind w:left="0" w:leftChars="0" w:right="0" w:rightChars="0" w:firstLine="0" w:firstLineChars="0"/>
              <w:jc w:val="left"/>
              <w:rPr>
                <w:color w:val="auto"/>
              </w:rPr>
            </w:pPr>
            <w:r>
              <w:rPr>
                <w:color w:val="auto"/>
              </w:rPr>
              <w:t>Discrete Fracture Network</w:t>
            </w:r>
          </w:p>
        </w:tc>
      </w:tr>
      <w:tr w14:paraId="60FE41EF">
        <w:tblPrEx>
          <w:tblCellMar>
            <w:top w:w="0" w:type="dxa"/>
            <w:left w:w="108" w:type="dxa"/>
            <w:bottom w:w="0" w:type="dxa"/>
            <w:right w:w="108" w:type="dxa"/>
          </w:tblCellMar>
        </w:tblPrEx>
        <w:trPr>
          <w:trHeight w:val="0" w:hRule="atLeast"/>
          <w:jc w:val="center"/>
        </w:trPr>
        <w:tc>
          <w:tcPr>
            <w:tcW w:w="1873" w:type="dxa"/>
            <w:vAlign w:val="center"/>
          </w:tcPr>
          <w:p w14:paraId="18733394">
            <w:pPr>
              <w:pStyle w:val="24"/>
              <w:snapToGrid w:val="0"/>
              <w:ind w:left="0" w:leftChars="0" w:right="0" w:rightChars="0" w:firstLine="0" w:firstLineChars="0"/>
              <w:jc w:val="center"/>
              <w:rPr>
                <w:color w:val="auto"/>
              </w:rPr>
            </w:pPr>
            <w:r>
              <w:rPr>
                <w:color w:val="auto"/>
              </w:rPr>
              <w:t>EDFM</w:t>
            </w:r>
          </w:p>
        </w:tc>
        <w:tc>
          <w:tcPr>
            <w:tcW w:w="6978" w:type="dxa"/>
            <w:vAlign w:val="center"/>
          </w:tcPr>
          <w:p w14:paraId="0BE2A830">
            <w:pPr>
              <w:pStyle w:val="24"/>
              <w:snapToGrid w:val="0"/>
              <w:ind w:left="0" w:leftChars="0" w:right="0" w:rightChars="0" w:firstLine="0" w:firstLineChars="0"/>
              <w:jc w:val="left"/>
              <w:rPr>
                <w:color w:val="auto"/>
              </w:rPr>
            </w:pPr>
            <w:r>
              <w:rPr>
                <w:color w:val="auto"/>
              </w:rPr>
              <w:t>Embedded Discrete Fracture Model</w:t>
            </w:r>
          </w:p>
        </w:tc>
      </w:tr>
      <w:tr w14:paraId="2EB8F4E1">
        <w:tblPrEx>
          <w:tblCellMar>
            <w:top w:w="0" w:type="dxa"/>
            <w:left w:w="108" w:type="dxa"/>
            <w:bottom w:w="0" w:type="dxa"/>
            <w:right w:w="108" w:type="dxa"/>
          </w:tblCellMar>
        </w:tblPrEx>
        <w:trPr>
          <w:trHeight w:val="0" w:hRule="atLeast"/>
          <w:jc w:val="center"/>
        </w:trPr>
        <w:tc>
          <w:tcPr>
            <w:tcW w:w="1873" w:type="dxa"/>
            <w:vAlign w:val="center"/>
          </w:tcPr>
          <w:p w14:paraId="2355AA84">
            <w:pPr>
              <w:pStyle w:val="24"/>
              <w:snapToGrid w:val="0"/>
              <w:ind w:left="0" w:leftChars="0" w:right="0" w:rightChars="0" w:firstLine="0" w:firstLineChars="0"/>
              <w:jc w:val="center"/>
              <w:rPr>
                <w:color w:val="auto"/>
              </w:rPr>
            </w:pPr>
            <w:r>
              <w:rPr>
                <w:color w:val="auto"/>
              </w:rPr>
              <w:t>GMRES</w:t>
            </w:r>
          </w:p>
        </w:tc>
        <w:tc>
          <w:tcPr>
            <w:tcW w:w="6978" w:type="dxa"/>
            <w:vAlign w:val="center"/>
          </w:tcPr>
          <w:p w14:paraId="53C93E3B">
            <w:pPr>
              <w:pStyle w:val="24"/>
              <w:snapToGrid w:val="0"/>
              <w:ind w:left="0" w:leftChars="0" w:right="0" w:rightChars="0" w:firstLine="0" w:firstLineChars="0"/>
              <w:jc w:val="left"/>
              <w:rPr>
                <w:color w:val="auto"/>
              </w:rPr>
            </w:pPr>
            <w:r>
              <w:rPr>
                <w:color w:val="auto"/>
              </w:rPr>
              <w:t>Generalized Minimum Residual</w:t>
            </w:r>
          </w:p>
        </w:tc>
      </w:tr>
      <w:tr w14:paraId="1CC76EEA">
        <w:tblPrEx>
          <w:tblCellMar>
            <w:top w:w="0" w:type="dxa"/>
            <w:left w:w="108" w:type="dxa"/>
            <w:bottom w:w="0" w:type="dxa"/>
            <w:right w:w="108" w:type="dxa"/>
          </w:tblCellMar>
        </w:tblPrEx>
        <w:trPr>
          <w:trHeight w:val="0" w:hRule="atLeast"/>
          <w:jc w:val="center"/>
        </w:trPr>
        <w:tc>
          <w:tcPr>
            <w:tcW w:w="1873" w:type="dxa"/>
            <w:vAlign w:val="center"/>
          </w:tcPr>
          <w:p w14:paraId="485FEE56">
            <w:pPr>
              <w:pStyle w:val="24"/>
              <w:snapToGrid w:val="0"/>
              <w:ind w:left="0" w:leftChars="0" w:right="0" w:rightChars="0" w:firstLine="0" w:firstLineChars="0"/>
              <w:jc w:val="center"/>
              <w:rPr>
                <w:color w:val="auto"/>
              </w:rPr>
            </w:pPr>
            <w:r>
              <w:rPr>
                <w:color w:val="auto"/>
              </w:rPr>
              <w:t>LGR</w:t>
            </w:r>
          </w:p>
        </w:tc>
        <w:tc>
          <w:tcPr>
            <w:tcW w:w="6978" w:type="dxa"/>
            <w:vAlign w:val="center"/>
          </w:tcPr>
          <w:p w14:paraId="0AF55928">
            <w:pPr>
              <w:pStyle w:val="24"/>
              <w:snapToGrid w:val="0"/>
              <w:ind w:left="0" w:leftChars="0" w:right="0" w:rightChars="0" w:firstLine="0" w:firstLineChars="0"/>
              <w:jc w:val="left"/>
              <w:rPr>
                <w:color w:val="auto"/>
              </w:rPr>
            </w:pPr>
            <w:r>
              <w:rPr>
                <w:color w:val="auto"/>
              </w:rPr>
              <w:t>Local Grid Refinement</w:t>
            </w:r>
          </w:p>
        </w:tc>
      </w:tr>
      <w:tr w14:paraId="7DF5DE12">
        <w:tblPrEx>
          <w:tblCellMar>
            <w:top w:w="0" w:type="dxa"/>
            <w:left w:w="108" w:type="dxa"/>
            <w:bottom w:w="0" w:type="dxa"/>
            <w:right w:w="108" w:type="dxa"/>
          </w:tblCellMar>
        </w:tblPrEx>
        <w:trPr>
          <w:trHeight w:val="0" w:hRule="atLeast"/>
          <w:jc w:val="center"/>
        </w:trPr>
        <w:tc>
          <w:tcPr>
            <w:tcW w:w="1873" w:type="dxa"/>
            <w:vAlign w:val="center"/>
          </w:tcPr>
          <w:p w14:paraId="423E1AD7">
            <w:pPr>
              <w:pStyle w:val="24"/>
              <w:snapToGrid w:val="0"/>
              <w:ind w:left="0" w:leftChars="0" w:right="0" w:rightChars="0" w:firstLine="0" w:firstLineChars="0"/>
              <w:jc w:val="center"/>
              <w:rPr>
                <w:color w:val="auto"/>
              </w:rPr>
            </w:pPr>
            <w:r>
              <w:rPr>
                <w:color w:val="auto"/>
              </w:rPr>
              <w:t>MC</w:t>
            </w:r>
          </w:p>
        </w:tc>
        <w:tc>
          <w:tcPr>
            <w:tcW w:w="6978" w:type="dxa"/>
            <w:vAlign w:val="center"/>
          </w:tcPr>
          <w:p w14:paraId="33E9A024">
            <w:pPr>
              <w:pStyle w:val="24"/>
              <w:snapToGrid w:val="0"/>
              <w:ind w:left="0" w:leftChars="0" w:right="0" w:rightChars="0" w:firstLine="0" w:firstLineChars="0"/>
              <w:jc w:val="left"/>
              <w:rPr>
                <w:color w:val="auto"/>
              </w:rPr>
            </w:pPr>
            <w:r>
              <w:rPr>
                <w:color w:val="auto"/>
              </w:rPr>
              <w:t>Monte Carlo</w:t>
            </w:r>
          </w:p>
        </w:tc>
      </w:tr>
      <w:tr w14:paraId="437AA9AF">
        <w:tblPrEx>
          <w:tblCellMar>
            <w:top w:w="0" w:type="dxa"/>
            <w:left w:w="108" w:type="dxa"/>
            <w:bottom w:w="0" w:type="dxa"/>
            <w:right w:w="108" w:type="dxa"/>
          </w:tblCellMar>
        </w:tblPrEx>
        <w:trPr>
          <w:trHeight w:val="0" w:hRule="atLeast"/>
          <w:jc w:val="center"/>
        </w:trPr>
        <w:tc>
          <w:tcPr>
            <w:tcW w:w="1873" w:type="dxa"/>
            <w:vAlign w:val="center"/>
          </w:tcPr>
          <w:p w14:paraId="49CFBF7D">
            <w:pPr>
              <w:pStyle w:val="24"/>
              <w:snapToGrid w:val="0"/>
              <w:ind w:left="0" w:leftChars="0" w:right="0" w:rightChars="0" w:firstLine="0" w:firstLineChars="0"/>
              <w:jc w:val="center"/>
              <w:rPr>
                <w:color w:val="auto"/>
              </w:rPr>
            </w:pPr>
            <w:r>
              <w:rPr>
                <w:color w:val="auto"/>
              </w:rPr>
              <w:t>MPI</w:t>
            </w:r>
          </w:p>
        </w:tc>
        <w:tc>
          <w:tcPr>
            <w:tcW w:w="6978" w:type="dxa"/>
            <w:vAlign w:val="center"/>
          </w:tcPr>
          <w:p w14:paraId="34041DE5">
            <w:pPr>
              <w:pStyle w:val="24"/>
              <w:snapToGrid w:val="0"/>
              <w:ind w:left="0" w:leftChars="0" w:right="0" w:rightChars="0" w:firstLine="0" w:firstLineChars="0"/>
              <w:jc w:val="left"/>
              <w:rPr>
                <w:color w:val="auto"/>
              </w:rPr>
            </w:pPr>
            <w:r>
              <w:rPr>
                <w:color w:val="auto"/>
              </w:rPr>
              <w:t>Message Passing Interface</w:t>
            </w:r>
          </w:p>
        </w:tc>
      </w:tr>
      <w:tr w14:paraId="14135049">
        <w:tblPrEx>
          <w:tblCellMar>
            <w:top w:w="0" w:type="dxa"/>
            <w:left w:w="108" w:type="dxa"/>
            <w:bottom w:w="0" w:type="dxa"/>
            <w:right w:w="108" w:type="dxa"/>
          </w:tblCellMar>
        </w:tblPrEx>
        <w:trPr>
          <w:trHeight w:val="0" w:hRule="atLeast"/>
          <w:jc w:val="center"/>
        </w:trPr>
        <w:tc>
          <w:tcPr>
            <w:tcW w:w="1873" w:type="dxa"/>
            <w:vAlign w:val="center"/>
          </w:tcPr>
          <w:p w14:paraId="1AC897B0">
            <w:pPr>
              <w:pStyle w:val="24"/>
              <w:snapToGrid w:val="0"/>
              <w:ind w:left="0" w:leftChars="0" w:right="0" w:rightChars="0" w:firstLine="0" w:firstLineChars="0"/>
              <w:jc w:val="center"/>
              <w:rPr>
                <w:color w:val="auto"/>
              </w:rPr>
            </w:pPr>
            <w:r>
              <w:rPr>
                <w:color w:val="auto"/>
              </w:rPr>
              <w:t>NNC</w:t>
            </w:r>
          </w:p>
        </w:tc>
        <w:tc>
          <w:tcPr>
            <w:tcW w:w="6978" w:type="dxa"/>
            <w:vAlign w:val="center"/>
          </w:tcPr>
          <w:p w14:paraId="61C6C641">
            <w:pPr>
              <w:pStyle w:val="24"/>
              <w:snapToGrid w:val="0"/>
              <w:ind w:left="0" w:leftChars="0" w:right="0" w:rightChars="0" w:firstLine="0" w:firstLineChars="0"/>
              <w:jc w:val="left"/>
              <w:rPr>
                <w:color w:val="auto"/>
              </w:rPr>
            </w:pPr>
            <w:r>
              <w:rPr>
                <w:color w:val="auto"/>
              </w:rPr>
              <w:t>Non-Neighboring Connection</w:t>
            </w:r>
          </w:p>
        </w:tc>
      </w:tr>
      <w:tr w14:paraId="2FD95A1C">
        <w:tblPrEx>
          <w:tblCellMar>
            <w:top w:w="0" w:type="dxa"/>
            <w:left w:w="108" w:type="dxa"/>
            <w:bottom w:w="0" w:type="dxa"/>
            <w:right w:w="108" w:type="dxa"/>
          </w:tblCellMar>
        </w:tblPrEx>
        <w:trPr>
          <w:trHeight w:val="0" w:hRule="atLeast"/>
          <w:jc w:val="center"/>
        </w:trPr>
        <w:tc>
          <w:tcPr>
            <w:tcW w:w="1873" w:type="dxa"/>
            <w:vAlign w:val="center"/>
          </w:tcPr>
          <w:p w14:paraId="676E8F19">
            <w:pPr>
              <w:pStyle w:val="24"/>
              <w:snapToGrid w:val="0"/>
              <w:ind w:left="0" w:leftChars="0" w:right="0" w:rightChars="0" w:firstLine="0" w:firstLineChars="0"/>
              <w:jc w:val="center"/>
              <w:rPr>
                <w:color w:val="auto"/>
              </w:rPr>
            </w:pPr>
            <w:r>
              <w:rPr>
                <w:color w:val="auto"/>
              </w:rPr>
              <w:t>PEBI</w:t>
            </w:r>
          </w:p>
        </w:tc>
        <w:tc>
          <w:tcPr>
            <w:tcW w:w="6978" w:type="dxa"/>
            <w:vAlign w:val="center"/>
          </w:tcPr>
          <w:p w14:paraId="35217DF0">
            <w:pPr>
              <w:pStyle w:val="24"/>
              <w:snapToGrid w:val="0"/>
              <w:ind w:left="0" w:leftChars="0" w:right="0" w:rightChars="0" w:firstLine="0" w:firstLineChars="0"/>
              <w:jc w:val="left"/>
              <w:rPr>
                <w:color w:val="auto"/>
              </w:rPr>
            </w:pPr>
            <w:r>
              <w:rPr>
                <w:color w:val="auto"/>
              </w:rPr>
              <w:t>Perpendicular Bisector</w:t>
            </w:r>
          </w:p>
        </w:tc>
      </w:tr>
      <w:tr w14:paraId="1CCAA52D">
        <w:tblPrEx>
          <w:tblCellMar>
            <w:top w:w="0" w:type="dxa"/>
            <w:left w:w="108" w:type="dxa"/>
            <w:bottom w:w="0" w:type="dxa"/>
            <w:right w:w="108" w:type="dxa"/>
          </w:tblCellMar>
        </w:tblPrEx>
        <w:trPr>
          <w:trHeight w:val="0" w:hRule="atLeast"/>
          <w:jc w:val="center"/>
        </w:trPr>
        <w:tc>
          <w:tcPr>
            <w:tcW w:w="1873" w:type="dxa"/>
            <w:vAlign w:val="center"/>
          </w:tcPr>
          <w:p w14:paraId="537FFBAB">
            <w:pPr>
              <w:pStyle w:val="24"/>
              <w:snapToGrid w:val="0"/>
              <w:ind w:left="0" w:leftChars="0" w:right="0" w:rightChars="0" w:firstLine="0" w:firstLineChars="0"/>
              <w:jc w:val="center"/>
              <w:rPr>
                <w:color w:val="auto"/>
              </w:rPr>
            </w:pPr>
            <w:r>
              <w:rPr>
                <w:color w:val="auto"/>
              </w:rPr>
              <w:t>RTA</w:t>
            </w:r>
          </w:p>
        </w:tc>
        <w:tc>
          <w:tcPr>
            <w:tcW w:w="6978" w:type="dxa"/>
            <w:vAlign w:val="center"/>
          </w:tcPr>
          <w:p w14:paraId="773A9FC4">
            <w:pPr>
              <w:pStyle w:val="24"/>
              <w:snapToGrid w:val="0"/>
              <w:ind w:left="0" w:leftChars="0" w:right="0" w:rightChars="0" w:firstLine="0" w:firstLineChars="0"/>
              <w:jc w:val="left"/>
              <w:rPr>
                <w:color w:val="auto"/>
              </w:rPr>
            </w:pPr>
            <w:r>
              <w:rPr>
                <w:color w:val="auto"/>
              </w:rPr>
              <w:t>Rate Transient Analysis</w:t>
            </w:r>
          </w:p>
        </w:tc>
      </w:tr>
      <w:tr w14:paraId="698B7EFB">
        <w:tblPrEx>
          <w:tblCellMar>
            <w:top w:w="0" w:type="dxa"/>
            <w:left w:w="108" w:type="dxa"/>
            <w:bottom w:w="0" w:type="dxa"/>
            <w:right w:w="108" w:type="dxa"/>
          </w:tblCellMar>
        </w:tblPrEx>
        <w:trPr>
          <w:trHeight w:val="0" w:hRule="atLeast"/>
          <w:jc w:val="center"/>
        </w:trPr>
        <w:tc>
          <w:tcPr>
            <w:tcW w:w="1873" w:type="dxa"/>
            <w:vAlign w:val="center"/>
          </w:tcPr>
          <w:p w14:paraId="0D6242DB">
            <w:pPr>
              <w:pStyle w:val="24"/>
              <w:snapToGrid w:val="0"/>
              <w:ind w:left="0" w:leftChars="0" w:right="0" w:rightChars="0" w:firstLine="0" w:firstLineChars="0"/>
              <w:jc w:val="center"/>
              <w:rPr>
                <w:color w:val="auto"/>
              </w:rPr>
            </w:pPr>
            <w:r>
              <w:rPr>
                <w:color w:val="auto"/>
              </w:rPr>
              <w:t>SA</w:t>
            </w:r>
          </w:p>
        </w:tc>
        <w:tc>
          <w:tcPr>
            <w:tcW w:w="6978" w:type="dxa"/>
            <w:vAlign w:val="center"/>
          </w:tcPr>
          <w:p w14:paraId="5CD1FC0A">
            <w:pPr>
              <w:pStyle w:val="24"/>
              <w:snapToGrid w:val="0"/>
              <w:ind w:left="0" w:leftChars="0" w:right="0" w:rightChars="0" w:firstLine="0" w:firstLineChars="0"/>
              <w:jc w:val="left"/>
              <w:rPr>
                <w:color w:val="auto"/>
              </w:rPr>
            </w:pPr>
            <w:r>
              <w:rPr>
                <w:color w:val="auto"/>
              </w:rPr>
              <w:t>Smoothed Aggregation</w:t>
            </w:r>
          </w:p>
        </w:tc>
      </w:tr>
      <w:tr w14:paraId="2C616312">
        <w:tblPrEx>
          <w:tblCellMar>
            <w:top w:w="0" w:type="dxa"/>
            <w:left w:w="108" w:type="dxa"/>
            <w:bottom w:w="0" w:type="dxa"/>
            <w:right w:w="108" w:type="dxa"/>
          </w:tblCellMar>
        </w:tblPrEx>
        <w:trPr>
          <w:trHeight w:val="0" w:hRule="atLeast"/>
          <w:jc w:val="center"/>
        </w:trPr>
        <w:tc>
          <w:tcPr>
            <w:tcW w:w="1873" w:type="dxa"/>
            <w:vAlign w:val="center"/>
          </w:tcPr>
          <w:p w14:paraId="171362AE">
            <w:pPr>
              <w:pStyle w:val="24"/>
              <w:snapToGrid w:val="0"/>
              <w:ind w:left="0" w:leftChars="0" w:right="0" w:rightChars="0" w:firstLine="0" w:firstLineChars="0"/>
              <w:jc w:val="center"/>
              <w:rPr>
                <w:color w:val="auto"/>
              </w:rPr>
            </w:pPr>
            <w:r>
              <w:rPr>
                <w:color w:val="auto"/>
              </w:rPr>
              <w:t>SPE</w:t>
            </w:r>
          </w:p>
        </w:tc>
        <w:tc>
          <w:tcPr>
            <w:tcW w:w="6978" w:type="dxa"/>
            <w:vAlign w:val="center"/>
          </w:tcPr>
          <w:p w14:paraId="2FDC3745">
            <w:pPr>
              <w:pStyle w:val="24"/>
              <w:snapToGrid w:val="0"/>
              <w:ind w:left="0" w:leftChars="0" w:right="0" w:rightChars="0" w:firstLine="0" w:firstLineChars="0"/>
              <w:jc w:val="left"/>
              <w:rPr>
                <w:color w:val="auto"/>
              </w:rPr>
            </w:pPr>
            <w:r>
              <w:rPr>
                <w:color w:val="auto"/>
              </w:rPr>
              <w:t>Society of Petroleum Engineers</w:t>
            </w:r>
          </w:p>
        </w:tc>
      </w:tr>
      <w:tr w14:paraId="2EAAE9DE">
        <w:tblPrEx>
          <w:tblCellMar>
            <w:top w:w="0" w:type="dxa"/>
            <w:left w:w="108" w:type="dxa"/>
            <w:bottom w:w="0" w:type="dxa"/>
            <w:right w:w="108" w:type="dxa"/>
          </w:tblCellMar>
        </w:tblPrEx>
        <w:trPr>
          <w:trHeight w:val="0" w:hRule="atLeast"/>
          <w:jc w:val="center"/>
        </w:trPr>
        <w:tc>
          <w:tcPr>
            <w:tcW w:w="1873" w:type="dxa"/>
            <w:vAlign w:val="center"/>
          </w:tcPr>
          <w:p w14:paraId="2F6A4105">
            <w:pPr>
              <w:pStyle w:val="24"/>
              <w:snapToGrid w:val="0"/>
              <w:ind w:left="0" w:leftChars="0" w:right="0" w:rightChars="0" w:firstLine="0" w:firstLineChars="0"/>
              <w:jc w:val="center"/>
              <w:rPr>
                <w:color w:val="auto"/>
              </w:rPr>
            </w:pPr>
            <w:r>
              <w:rPr>
                <w:color w:val="auto"/>
              </w:rPr>
              <w:t>SRV</w:t>
            </w:r>
          </w:p>
        </w:tc>
        <w:tc>
          <w:tcPr>
            <w:tcW w:w="6978" w:type="dxa"/>
            <w:vAlign w:val="center"/>
          </w:tcPr>
          <w:p w14:paraId="1FED295B">
            <w:pPr>
              <w:pStyle w:val="24"/>
              <w:snapToGrid w:val="0"/>
              <w:ind w:left="0" w:leftChars="0" w:right="0" w:rightChars="0" w:firstLine="0" w:firstLineChars="0"/>
              <w:jc w:val="left"/>
              <w:rPr>
                <w:color w:val="auto"/>
              </w:rPr>
            </w:pPr>
            <w:r>
              <w:rPr>
                <w:color w:val="auto"/>
              </w:rPr>
              <w:t>Stimulated Reservoir Volume</w:t>
            </w:r>
          </w:p>
        </w:tc>
      </w:tr>
      <w:tr w14:paraId="42CD7E24">
        <w:tblPrEx>
          <w:tblCellMar>
            <w:top w:w="0" w:type="dxa"/>
            <w:left w:w="108" w:type="dxa"/>
            <w:bottom w:w="0" w:type="dxa"/>
            <w:right w:w="108" w:type="dxa"/>
          </w:tblCellMar>
        </w:tblPrEx>
        <w:trPr>
          <w:trHeight w:val="0" w:hRule="atLeast"/>
          <w:jc w:val="center"/>
        </w:trPr>
        <w:tc>
          <w:tcPr>
            <w:tcW w:w="1873" w:type="dxa"/>
            <w:vAlign w:val="center"/>
          </w:tcPr>
          <w:p w14:paraId="2CF3AA63">
            <w:pPr>
              <w:pStyle w:val="24"/>
              <w:snapToGrid w:val="0"/>
              <w:ind w:left="0" w:leftChars="0" w:right="0" w:rightChars="0" w:firstLine="0" w:firstLineChars="0"/>
              <w:jc w:val="center"/>
              <w:rPr>
                <w:color w:val="auto"/>
              </w:rPr>
            </w:pPr>
            <w:r>
              <w:rPr>
                <w:color w:val="auto"/>
              </w:rPr>
              <w:t>TPFA</w:t>
            </w:r>
          </w:p>
        </w:tc>
        <w:tc>
          <w:tcPr>
            <w:tcW w:w="6978" w:type="dxa"/>
            <w:vAlign w:val="center"/>
          </w:tcPr>
          <w:p w14:paraId="499F3F58">
            <w:pPr>
              <w:pStyle w:val="24"/>
              <w:snapToGrid w:val="0"/>
              <w:ind w:left="0" w:leftChars="0" w:right="0" w:rightChars="0" w:firstLine="0" w:firstLineChars="0"/>
              <w:jc w:val="left"/>
              <w:rPr>
                <w:color w:val="auto"/>
              </w:rPr>
            </w:pPr>
            <w:r>
              <w:rPr>
                <w:color w:val="auto"/>
              </w:rPr>
              <w:t>Two-Point Flux Approximation</w:t>
            </w:r>
          </w:p>
        </w:tc>
      </w:tr>
    </w:tbl>
    <w:p w14:paraId="6AB57CCA">
      <w:pPr>
        <w:rPr>
          <w:color w:val="auto"/>
        </w:rPr>
      </w:pPr>
    </w:p>
    <w:bookmarkEnd w:id="41"/>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454B4C"/>
    <w:multiLevelType w:val="multilevel"/>
    <w:tmpl w:val="EA454B4C"/>
    <w:lvl w:ilvl="0" w:tentative="0">
      <w:start w:val="0"/>
      <w:numFmt w:val="bullet"/>
      <w:lvlText w:val="•"/>
      <w:lvlJc w:val="left"/>
      <w:pPr>
        <w:tabs>
          <w:tab w:val="left" w:pos="0"/>
        </w:tabs>
        <w:ind w:left="480" w:hanging="480"/>
      </w:pPr>
    </w:lvl>
    <w:lvl w:ilvl="1" w:tentative="0">
      <w:start w:val="0"/>
      <w:numFmt w:val="bullet"/>
      <w:lvlText w:val="–"/>
      <w:lvlJc w:val="left"/>
      <w:pPr>
        <w:tabs>
          <w:tab w:val="left" w:pos="720"/>
        </w:tabs>
        <w:ind w:left="1200" w:hanging="480"/>
      </w:pPr>
    </w:lvl>
    <w:lvl w:ilvl="2" w:tentative="0">
      <w:start w:val="0"/>
      <w:numFmt w:val="bullet"/>
      <w:lvlText w:val="•"/>
      <w:lvlJc w:val="left"/>
      <w:pPr>
        <w:tabs>
          <w:tab w:val="left" w:pos="1440"/>
        </w:tabs>
        <w:ind w:left="1920" w:hanging="480"/>
      </w:pPr>
    </w:lvl>
    <w:lvl w:ilvl="3" w:tentative="0">
      <w:start w:val="0"/>
      <w:numFmt w:val="bullet"/>
      <w:lvlText w:val="–"/>
      <w:lvlJc w:val="left"/>
      <w:pPr>
        <w:tabs>
          <w:tab w:val="left" w:pos="2160"/>
        </w:tabs>
        <w:ind w:left="2640" w:hanging="480"/>
      </w:pPr>
    </w:lvl>
    <w:lvl w:ilvl="4" w:tentative="0">
      <w:start w:val="0"/>
      <w:numFmt w:val="bullet"/>
      <w:lvlText w:val="•"/>
      <w:lvlJc w:val="left"/>
      <w:pPr>
        <w:tabs>
          <w:tab w:val="left" w:pos="2880"/>
        </w:tabs>
        <w:ind w:left="3360" w:hanging="480"/>
      </w:pPr>
    </w:lvl>
    <w:lvl w:ilvl="5" w:tentative="0">
      <w:start w:val="0"/>
      <w:numFmt w:val="bullet"/>
      <w:lvlText w:val="–"/>
      <w:lvlJc w:val="left"/>
      <w:pPr>
        <w:tabs>
          <w:tab w:val="left" w:pos="3600"/>
        </w:tabs>
        <w:ind w:left="4080" w:hanging="480"/>
      </w:pPr>
    </w:lvl>
    <w:lvl w:ilvl="6" w:tentative="0">
      <w:start w:val="0"/>
      <w:numFmt w:val="bullet"/>
      <w:lvlText w:val="•"/>
      <w:lvlJc w:val="left"/>
      <w:pPr>
        <w:tabs>
          <w:tab w:val="left" w:pos="4320"/>
        </w:tabs>
        <w:ind w:left="4800" w:hanging="480"/>
      </w:pPr>
    </w:lvl>
    <w:lvl w:ilvl="7" w:tentative="0">
      <w:start w:val="0"/>
      <w:numFmt w:val="bullet"/>
      <w:lvlText w:val="–"/>
      <w:lvlJc w:val="left"/>
      <w:pPr>
        <w:tabs>
          <w:tab w:val="left" w:pos="5040"/>
        </w:tabs>
        <w:ind w:left="5520" w:hanging="480"/>
      </w:pPr>
    </w:lvl>
    <w:lvl w:ilvl="8" w:tentative="0">
      <w:start w:val="0"/>
      <w:numFmt w:val="bullet"/>
      <w:lvlText w:val="•"/>
      <w:lvlJc w:val="left"/>
      <w:pPr>
        <w:tabs>
          <w:tab w:val="left" w:pos="5760"/>
        </w:tabs>
        <w:ind w:left="6240" w:hanging="480"/>
      </w:pPr>
    </w:lvl>
  </w:abstractNum>
  <w:abstractNum w:abstractNumId="1">
    <w:nsid w:val="71315DCA"/>
    <w:multiLevelType w:val="multilevel"/>
    <w:tmpl w:val="71315DCA"/>
    <w:lvl w:ilvl="0" w:tentative="0">
      <w:start w:val="1"/>
      <w:numFmt w:val="decimal"/>
      <w:lvlText w:val="%1."/>
      <w:lvlJc w:val="left"/>
      <w:pPr>
        <w:tabs>
          <w:tab w:val="left" w:pos="0"/>
        </w:tabs>
        <w:ind w:left="480" w:hanging="480"/>
      </w:pPr>
    </w:lvl>
    <w:lvl w:ilvl="1" w:tentative="0">
      <w:start w:val="1"/>
      <w:numFmt w:val="decimal"/>
      <w:lvlText w:val="%2."/>
      <w:lvlJc w:val="left"/>
      <w:pPr>
        <w:tabs>
          <w:tab w:val="left" w:pos="720"/>
        </w:tabs>
        <w:ind w:left="1200" w:hanging="480"/>
      </w:pPr>
    </w:lvl>
    <w:lvl w:ilvl="2" w:tentative="0">
      <w:start w:val="1"/>
      <w:numFmt w:val="decimal"/>
      <w:lvlText w:val="%3."/>
      <w:lvlJc w:val="left"/>
      <w:pPr>
        <w:tabs>
          <w:tab w:val="left" w:pos="1440"/>
        </w:tabs>
        <w:ind w:left="1920" w:hanging="480"/>
      </w:pPr>
    </w:lvl>
    <w:lvl w:ilvl="3" w:tentative="0">
      <w:start w:val="1"/>
      <w:numFmt w:val="decimal"/>
      <w:lvlText w:val="%4."/>
      <w:lvlJc w:val="left"/>
      <w:pPr>
        <w:tabs>
          <w:tab w:val="left" w:pos="2160"/>
        </w:tabs>
        <w:ind w:left="2640" w:hanging="480"/>
      </w:pPr>
    </w:lvl>
    <w:lvl w:ilvl="4" w:tentative="0">
      <w:start w:val="1"/>
      <w:numFmt w:val="decimal"/>
      <w:lvlText w:val="%5."/>
      <w:lvlJc w:val="left"/>
      <w:pPr>
        <w:tabs>
          <w:tab w:val="left" w:pos="2880"/>
        </w:tabs>
        <w:ind w:left="3360" w:hanging="480"/>
      </w:pPr>
    </w:lvl>
    <w:lvl w:ilvl="5" w:tentative="0">
      <w:start w:val="1"/>
      <w:numFmt w:val="decimal"/>
      <w:lvlText w:val="%6."/>
      <w:lvlJc w:val="left"/>
      <w:pPr>
        <w:tabs>
          <w:tab w:val="left" w:pos="3600"/>
        </w:tabs>
        <w:ind w:left="4080" w:hanging="480"/>
      </w:pPr>
    </w:lvl>
    <w:lvl w:ilvl="6" w:tentative="0">
      <w:start w:val="1"/>
      <w:numFmt w:val="decimal"/>
      <w:lvlText w:val="%7."/>
      <w:lvlJc w:val="left"/>
      <w:pPr>
        <w:tabs>
          <w:tab w:val="left" w:pos="4320"/>
        </w:tabs>
        <w:ind w:left="4800" w:hanging="480"/>
      </w:pPr>
    </w:lvl>
    <w:lvl w:ilvl="7" w:tentative="0">
      <w:start w:val="1"/>
      <w:numFmt w:val="decimal"/>
      <w:lvlText w:val="%8."/>
      <w:lvlJc w:val="left"/>
      <w:pPr>
        <w:tabs>
          <w:tab w:val="left" w:pos="5040"/>
        </w:tabs>
        <w:ind w:left="5520" w:hanging="480"/>
      </w:pPr>
    </w:lvl>
    <w:lvl w:ilvl="8" w:tentative="0">
      <w:start w:val="1"/>
      <w:numFmt w:val="decimal"/>
      <w:lvlText w:val="%9."/>
      <w:lvlJc w:val="left"/>
      <w:pPr>
        <w:tabs>
          <w:tab w:val="left" w:pos="5760"/>
        </w:tabs>
        <w:ind w:left="624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2E8066CA"/>
    <w:rsid w:val="69344C1E"/>
    <w:rsid w:val="71E9219F"/>
    <w:rsid w:val="72DB0834"/>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ind w:firstLine="720"/>
      <w:jc w:val="both"/>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0" w:after="120"/>
      <w:ind w:firstLine="720"/>
      <w:jc w:val="both"/>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pPr>
      <w:spacing w:before="0" w:after="120"/>
      <w:ind w:firstLine="720"/>
      <w:jc w:val="both"/>
    </w:pPr>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style>
  <w:style w:type="paragraph" w:customStyle="1" w:styleId="29">
    <w:name w:val="Definition Term"/>
    <w:basedOn w:val="1"/>
    <w:next w:val="30"/>
    <w:uiPriority w:val="0"/>
    <w:pPr>
      <w:keepNext/>
      <w:keepLines/>
      <w:spacing w:after="0"/>
    </w:pPr>
    <w:rPr>
      <w:b/>
    </w:rPr>
  </w:style>
  <w:style w:type="paragraph" w:customStyle="1" w:styleId="30">
    <w:name w:val="Definition"/>
    <w:basedOn w:val="1"/>
    <w:uiPriority w:val="0"/>
  </w:style>
  <w:style w:type="paragraph" w:customStyle="1" w:styleId="31">
    <w:name w:val="Table Caption"/>
    <w:basedOn w:val="12"/>
    <w:uiPriority w:val="0"/>
    <w:pPr>
      <w:keepNext/>
    </w:pPr>
  </w:style>
  <w:style w:type="paragraph" w:customStyle="1" w:styleId="32">
    <w:name w:val="Image Caption"/>
    <w:basedOn w:val="12"/>
    <w:qFormat/>
    <w:uiPriority w:val="0"/>
  </w:style>
  <w:style w:type="paragraph" w:customStyle="1" w:styleId="33">
    <w:name w:val="Figure"/>
    <w:basedOn w:val="1"/>
    <w:qFormat/>
    <w:uiPriority w:val="0"/>
  </w:style>
  <w:style w:type="paragraph" w:customStyle="1" w:styleId="34">
    <w:name w:val="Captioned Figure"/>
    <w:basedOn w:val="33"/>
    <w:qFormat/>
    <w:uiPriority w:val="0"/>
    <w:pPr>
      <w:keepNext/>
    </w:pPr>
  </w:style>
  <w:style w:type="character" w:customStyle="1" w:styleId="35">
    <w:name w:val="Verbatim Char"/>
    <w:basedOn w:val="21"/>
    <w:link w:val="36"/>
    <w:uiPriority w:val="0"/>
    <w:rPr>
      <w:rFonts w:ascii="Consolas" w:hAnsi="Consolas"/>
      <w:sz w:val="22"/>
    </w:rPr>
  </w:style>
  <w:style w:type="paragraph" w:customStyle="1" w:styleId="36">
    <w:name w:val="Source Code"/>
    <w:basedOn w:val="1"/>
    <w:link w:val="35"/>
    <w:qFormat/>
    <w:uiPriority w:val="0"/>
    <w:pPr>
      <w:wordWrap w:val="0"/>
    </w:pPr>
  </w:style>
  <w:style w:type="paragraph" w:customStyle="1" w:styleId="37">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8">
    <w:name w:val="KeywordTok"/>
    <w:basedOn w:val="35"/>
    <w:qFormat/>
    <w:uiPriority w:val="0"/>
    <w:rPr>
      <w:b/>
      <w:color w:val="007020"/>
    </w:rPr>
  </w:style>
  <w:style w:type="character" w:customStyle="1" w:styleId="39">
    <w:name w:val="DataTypeTok"/>
    <w:basedOn w:val="35"/>
    <w:qFormat/>
    <w:uiPriority w:val="0"/>
    <w:rPr>
      <w:color w:val="902000"/>
    </w:rPr>
  </w:style>
  <w:style w:type="character" w:customStyle="1" w:styleId="40">
    <w:name w:val="DecValTok"/>
    <w:basedOn w:val="35"/>
    <w:qFormat/>
    <w:uiPriority w:val="0"/>
    <w:rPr>
      <w:color w:val="40A070"/>
    </w:rPr>
  </w:style>
  <w:style w:type="character" w:customStyle="1" w:styleId="41">
    <w:name w:val="BaseNTok"/>
    <w:basedOn w:val="35"/>
    <w:qFormat/>
    <w:uiPriority w:val="0"/>
    <w:rPr>
      <w:color w:val="40A070"/>
    </w:rPr>
  </w:style>
  <w:style w:type="character" w:customStyle="1" w:styleId="42">
    <w:name w:val="FloatTok"/>
    <w:basedOn w:val="35"/>
    <w:qFormat/>
    <w:uiPriority w:val="0"/>
    <w:rPr>
      <w:color w:val="40A070"/>
    </w:rPr>
  </w:style>
  <w:style w:type="character" w:customStyle="1" w:styleId="43">
    <w:name w:val="ConstantTok"/>
    <w:basedOn w:val="35"/>
    <w:qFormat/>
    <w:uiPriority w:val="0"/>
    <w:rPr>
      <w:color w:val="880000"/>
    </w:rPr>
  </w:style>
  <w:style w:type="character" w:customStyle="1" w:styleId="44">
    <w:name w:val="CharTok"/>
    <w:basedOn w:val="35"/>
    <w:qFormat/>
    <w:uiPriority w:val="0"/>
    <w:rPr>
      <w:color w:val="4070A0"/>
    </w:rPr>
  </w:style>
  <w:style w:type="character" w:customStyle="1" w:styleId="45">
    <w:name w:val="SpecialCharTok"/>
    <w:basedOn w:val="35"/>
    <w:qFormat/>
    <w:uiPriority w:val="0"/>
    <w:rPr>
      <w:color w:val="4070A0"/>
    </w:rPr>
  </w:style>
  <w:style w:type="character" w:customStyle="1" w:styleId="46">
    <w:name w:val="StringTok"/>
    <w:basedOn w:val="35"/>
    <w:qFormat/>
    <w:uiPriority w:val="0"/>
    <w:rPr>
      <w:color w:val="4070A0"/>
    </w:rPr>
  </w:style>
  <w:style w:type="character" w:customStyle="1" w:styleId="47">
    <w:name w:val="VerbatimStringTok"/>
    <w:basedOn w:val="35"/>
    <w:qFormat/>
    <w:uiPriority w:val="0"/>
    <w:rPr>
      <w:color w:val="4070A0"/>
    </w:rPr>
  </w:style>
  <w:style w:type="character" w:customStyle="1" w:styleId="48">
    <w:name w:val="SpecialStringTok"/>
    <w:basedOn w:val="35"/>
    <w:qFormat/>
    <w:uiPriority w:val="0"/>
    <w:rPr>
      <w:color w:val="BB6688"/>
    </w:rPr>
  </w:style>
  <w:style w:type="character" w:customStyle="1" w:styleId="49">
    <w:name w:val="ImportTok"/>
    <w:basedOn w:val="35"/>
    <w:qFormat/>
    <w:uiPriority w:val="0"/>
  </w:style>
  <w:style w:type="character" w:customStyle="1" w:styleId="50">
    <w:name w:val="CommentTok"/>
    <w:basedOn w:val="35"/>
    <w:qFormat/>
    <w:uiPriority w:val="0"/>
    <w:rPr>
      <w:i/>
      <w:color w:val="60A0B0"/>
    </w:rPr>
  </w:style>
  <w:style w:type="character" w:customStyle="1" w:styleId="51">
    <w:name w:val="DocumentationTok"/>
    <w:basedOn w:val="35"/>
    <w:qFormat/>
    <w:uiPriority w:val="0"/>
    <w:rPr>
      <w:i/>
      <w:color w:val="BA2121"/>
    </w:rPr>
  </w:style>
  <w:style w:type="character" w:customStyle="1" w:styleId="52">
    <w:name w:val="AnnotationTok"/>
    <w:basedOn w:val="35"/>
    <w:qFormat/>
    <w:uiPriority w:val="0"/>
    <w:rPr>
      <w:b/>
      <w:i/>
      <w:color w:val="60A0B0"/>
    </w:rPr>
  </w:style>
  <w:style w:type="character" w:customStyle="1" w:styleId="53">
    <w:name w:val="CommentVarTok"/>
    <w:basedOn w:val="35"/>
    <w:qFormat/>
    <w:uiPriority w:val="0"/>
    <w:rPr>
      <w:b/>
      <w:i/>
      <w:color w:val="60A0B0"/>
    </w:rPr>
  </w:style>
  <w:style w:type="character" w:customStyle="1" w:styleId="54">
    <w:name w:val="OtherTok"/>
    <w:basedOn w:val="35"/>
    <w:qFormat/>
    <w:uiPriority w:val="0"/>
    <w:rPr>
      <w:color w:val="007020"/>
    </w:rPr>
  </w:style>
  <w:style w:type="character" w:customStyle="1" w:styleId="55">
    <w:name w:val="FunctionTok"/>
    <w:basedOn w:val="35"/>
    <w:qFormat/>
    <w:uiPriority w:val="0"/>
    <w:rPr>
      <w:color w:val="06287E"/>
    </w:rPr>
  </w:style>
  <w:style w:type="character" w:customStyle="1" w:styleId="56">
    <w:name w:val="VariableTok"/>
    <w:basedOn w:val="35"/>
    <w:qFormat/>
    <w:uiPriority w:val="0"/>
    <w:rPr>
      <w:color w:val="19177C"/>
    </w:rPr>
  </w:style>
  <w:style w:type="character" w:customStyle="1" w:styleId="57">
    <w:name w:val="ControlFlowTok"/>
    <w:basedOn w:val="35"/>
    <w:qFormat/>
    <w:uiPriority w:val="0"/>
    <w:rPr>
      <w:b/>
      <w:color w:val="007020"/>
    </w:rPr>
  </w:style>
  <w:style w:type="character" w:customStyle="1" w:styleId="58">
    <w:name w:val="OperatorTok"/>
    <w:basedOn w:val="35"/>
    <w:qFormat/>
    <w:uiPriority w:val="0"/>
    <w:rPr>
      <w:color w:val="666666"/>
    </w:rPr>
  </w:style>
  <w:style w:type="character" w:customStyle="1" w:styleId="59">
    <w:name w:val="BuiltInTok"/>
    <w:basedOn w:val="35"/>
    <w:qFormat/>
    <w:uiPriority w:val="0"/>
  </w:style>
  <w:style w:type="character" w:customStyle="1" w:styleId="60">
    <w:name w:val="ExtensionTok"/>
    <w:basedOn w:val="35"/>
    <w:qFormat/>
    <w:uiPriority w:val="0"/>
  </w:style>
  <w:style w:type="character" w:customStyle="1" w:styleId="61">
    <w:name w:val="PreprocessorTok"/>
    <w:basedOn w:val="35"/>
    <w:qFormat/>
    <w:uiPriority w:val="0"/>
    <w:rPr>
      <w:color w:val="BC7A00"/>
    </w:rPr>
  </w:style>
  <w:style w:type="character" w:customStyle="1" w:styleId="62">
    <w:name w:val="AttributeTok"/>
    <w:basedOn w:val="35"/>
    <w:qFormat/>
    <w:uiPriority w:val="0"/>
    <w:rPr>
      <w:color w:val="7D9029"/>
    </w:rPr>
  </w:style>
  <w:style w:type="character" w:customStyle="1" w:styleId="63">
    <w:name w:val="RegionMarkerTok"/>
    <w:basedOn w:val="35"/>
    <w:qFormat/>
    <w:uiPriority w:val="0"/>
  </w:style>
  <w:style w:type="character" w:customStyle="1" w:styleId="64">
    <w:name w:val="InformationTok"/>
    <w:basedOn w:val="35"/>
    <w:qFormat/>
    <w:uiPriority w:val="0"/>
    <w:rPr>
      <w:b/>
      <w:i/>
      <w:color w:val="60A0B0"/>
    </w:rPr>
  </w:style>
  <w:style w:type="character" w:customStyle="1" w:styleId="65">
    <w:name w:val="WarningTok"/>
    <w:basedOn w:val="35"/>
    <w:qFormat/>
    <w:uiPriority w:val="0"/>
    <w:rPr>
      <w:b/>
      <w:i/>
      <w:color w:val="60A0B0"/>
    </w:rPr>
  </w:style>
  <w:style w:type="character" w:customStyle="1" w:styleId="66">
    <w:name w:val="AlertTok"/>
    <w:basedOn w:val="35"/>
    <w:qFormat/>
    <w:uiPriority w:val="0"/>
    <w:rPr>
      <w:b/>
      <w:color w:val="FF0000"/>
    </w:rPr>
  </w:style>
  <w:style w:type="character" w:customStyle="1" w:styleId="67">
    <w:name w:val="ErrorTok"/>
    <w:basedOn w:val="35"/>
    <w:qFormat/>
    <w:uiPriority w:val="0"/>
    <w:rPr>
      <w:b/>
      <w:color w:val="FF0000"/>
    </w:rPr>
  </w:style>
  <w:style w:type="character" w:customStyle="1" w:styleId="68">
    <w:name w:val="NormalTok"/>
    <w:basedOn w:val="35"/>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49</Pages>
  <Words>1442</Words>
  <Characters>9458</Characters>
  <Lines>12</Lines>
  <Paragraphs>8</Paragraphs>
  <TotalTime>9</TotalTime>
  <ScaleCrop>false</ScaleCrop>
  <LinksUpToDate>false</LinksUpToDate>
  <CharactersWithSpaces>10862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2026-05-25T15:11:00Z</dcterms:created>
  <dc:creator>无为</dc:creator>
  <cp:lastModifiedBy>无为</cp:lastModifiedBy>
  <dcterms:modified xsi:type="dcterms:W3CDTF">2026-06-04T23:27:30Z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eyJoZGlkIjoiNzlhNTE5MGFkZTE2YTc5NGMwYzE1YmZjNWFlNDYzMTkiLCJ1c2VySWQiOiIxMjM2NzIwODI2In0=</vt:lpwstr>
  </property>
  <property fmtid="{D5CDD505-2E9C-101B-9397-08002B2CF9AE}" pid="3" name="KSOProductBuildVer">
    <vt:lpwstr>2052-12.1.0.26375</vt:lpwstr>
  </property>
  <property fmtid="{D5CDD505-2E9C-101B-9397-08002B2CF9AE}" pid="4" name="ICV">
    <vt:lpwstr>D00D5091913443E99741BC6494997341_12</vt:lpwstr>
  </property>
</Properties>
</file>