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Highlights</w:t>
      </w:r>
    </w:p>
    <w:p>
      <w:pPr>
        <w:pStyle w:val="ListBullet"/>
      </w:pPr>
      <w:r>
        <w:rPr>
          <w:rFonts w:ascii="Times New Roman" w:hAnsi="Times New Roman"/>
          <w:sz w:val="24"/>
        </w:rPr>
        <w:t>Fracture-conforming PEBI grids achieve 97.1% K-orthogonality for shale oil simulation</w:t>
      </w:r>
    </w:p>
    <w:p>
      <w:pPr>
        <w:pStyle w:val="ListBullet"/>
      </w:pPr>
      <w:r>
        <w:rPr>
          <w:rFonts w:ascii="Times New Roman" w:hAnsi="Times New Roman"/>
          <w:sz w:val="24"/>
        </w:rPr>
        <w:t>CPR–SA-AMG reduces GMRES iterations from 312 to 21, cutting solve time by 72.7%</w:t>
      </w:r>
    </w:p>
    <w:p>
      <w:pPr>
        <w:pStyle w:val="ListBullet"/>
      </w:pPr>
      <w:r>
        <w:rPr>
          <w:rFonts w:ascii="Times New Roman" w:hAnsi="Times New Roman"/>
          <w:sz w:val="24"/>
        </w:rPr>
        <w:t>Non-blocking MPI overlaps 73% communication, sustaining 82% efficiency to 512 cores</w:t>
      </w:r>
    </w:p>
    <w:p>
      <w:pPr>
        <w:pStyle w:val="ListBullet"/>
      </w:pPr>
      <w:r>
        <w:rPr>
          <w:rFonts w:ascii="Times New Roman" w:hAnsi="Times New Roman"/>
          <w:sz w:val="24"/>
        </w:rPr>
        <w:t>DFN Monte Carlo: PEBI spectral conditioning proxy rises 6.3× slower than standard grids</w:t>
      </w:r>
    </w:p>
    <w:p>
      <w:pPr>
        <w:pStyle w:val="ListBullet"/>
      </w:pPr>
      <w:r>
        <w:rPr>
          <w:rFonts w:ascii="Times New Roman" w:hAnsi="Times New Roman"/>
          <w:sz w:val="24"/>
        </w:rPr>
        <w:t>SPE 10: PEBI matches 1.12M-cell reference to 0.93% cumulative oil with half the cells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