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21A7" w14:textId="77777777" w:rsidR="0042550E" w:rsidRDefault="00000000">
      <w:pPr>
        <w:pStyle w:val="a3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2F53E826" w14:textId="147681D0" w:rsidR="0042550E" w:rsidRDefault="00000000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/>
          <w:szCs w:val="21"/>
        </w:rPr>
        <w:t>202</w:t>
      </w:r>
      <w:r w:rsidR="00494733">
        <w:rPr>
          <w:rFonts w:ascii="宋体"/>
          <w:szCs w:val="21"/>
        </w:rPr>
        <w:t>3</w:t>
      </w:r>
      <w:r>
        <w:rPr>
          <w:rFonts w:ascii="宋体" w:hint="eastAsia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11</w:t>
      </w:r>
      <w:r>
        <w:rPr>
          <w:rFonts w:ascii="宋体" w:hint="eastAsia"/>
          <w:szCs w:val="21"/>
          <w:lang w:eastAsia="zh-Hans"/>
        </w:rPr>
        <w:t>.</w:t>
      </w:r>
      <w:r w:rsidR="00E10BB1">
        <w:rPr>
          <w:rFonts w:ascii="宋体"/>
          <w:szCs w:val="21"/>
          <w:lang w:eastAsia="zh-Hans"/>
        </w:rPr>
        <w:t>20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2550E" w14:paraId="7DC09B11" w14:textId="77777777">
        <w:tc>
          <w:tcPr>
            <w:tcW w:w="1674" w:type="dxa"/>
            <w:shd w:val="clear" w:color="auto" w:fill="auto"/>
          </w:tcPr>
          <w:p w14:paraId="40FDC389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62432E6B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46589BE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062EA3A" w14:textId="29670EF3" w:rsidR="0042550E" w:rsidRDefault="00494733">
            <w:pPr>
              <w:pStyle w:val="ListParagraph1"/>
              <w:ind w:firstLineChars="0" w:firstLine="0"/>
              <w:rPr>
                <w:rFonts w:eastAsia="黑体"/>
                <w:color w:val="0070C0"/>
                <w:szCs w:val="21"/>
                <w:lang w:eastAsia="zh-Hans"/>
              </w:rPr>
            </w:pPr>
            <w:r w:rsidRPr="00B8274D">
              <w:rPr>
                <w:rFonts w:eastAsia="黑体" w:hint="eastAsia"/>
                <w:color w:val="0070C0"/>
                <w:szCs w:val="21"/>
              </w:rPr>
              <w:t>面向工业制造领域的多模态数据治理平</w:t>
            </w:r>
            <w:r>
              <w:rPr>
                <w:rFonts w:eastAsia="黑体" w:hint="eastAsia"/>
                <w:color w:val="0070C0"/>
                <w:szCs w:val="21"/>
                <w:lang w:eastAsia="zh-Hans"/>
              </w:rPr>
              <w:t>台</w:t>
            </w:r>
          </w:p>
        </w:tc>
      </w:tr>
      <w:tr w:rsidR="0042550E" w14:paraId="16433A3C" w14:textId="77777777">
        <w:tc>
          <w:tcPr>
            <w:tcW w:w="1674" w:type="dxa"/>
            <w:shd w:val="clear" w:color="auto" w:fill="auto"/>
          </w:tcPr>
          <w:p w14:paraId="6109DFD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2DE623A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386B1A58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FDE828C" w14:textId="545F1736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</w:t>
            </w:r>
            <w:r w:rsidR="00494733">
              <w:rPr>
                <w:szCs w:val="21"/>
              </w:rPr>
              <w:t>3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 w:rsidR="00E10BB1"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 w:rsidR="00E10BB1">
              <w:rPr>
                <w:szCs w:val="21"/>
                <w:lang w:eastAsia="zh-Hans"/>
              </w:rPr>
              <w:t>1</w:t>
            </w:r>
            <w:r>
              <w:rPr>
                <w:szCs w:val="21"/>
                <w:lang w:eastAsia="zh-Hans"/>
              </w:rPr>
              <w:t>～</w:t>
            </w:r>
            <w:r>
              <w:rPr>
                <w:szCs w:val="21"/>
                <w:lang w:eastAsia="zh-Hans"/>
              </w:rPr>
              <w:t>202</w:t>
            </w:r>
            <w:r w:rsidR="00E10BB1">
              <w:rPr>
                <w:szCs w:val="21"/>
                <w:lang w:eastAsia="zh-Hans"/>
              </w:rPr>
              <w:t>3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 w:rsidR="00E10BB1">
              <w:rPr>
                <w:szCs w:val="21"/>
                <w:lang w:eastAsia="zh-Hans"/>
              </w:rPr>
              <w:t>21</w:t>
            </w:r>
          </w:p>
        </w:tc>
      </w:tr>
      <w:tr w:rsidR="0042550E" w14:paraId="4EC3285B" w14:textId="77777777">
        <w:tc>
          <w:tcPr>
            <w:tcW w:w="8593" w:type="dxa"/>
            <w:gridSpan w:val="4"/>
            <w:shd w:val="clear" w:color="auto" w:fill="auto"/>
          </w:tcPr>
          <w:p w14:paraId="2C1DCF90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EB090E5" w14:textId="77777777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完成用户注册登录功能的前后端联调；</w:t>
            </w:r>
          </w:p>
          <w:p w14:paraId="26B362E8" w14:textId="40706935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10BB1">
              <w:rPr>
                <w:rFonts w:hint="eastAsia"/>
                <w:szCs w:val="21"/>
              </w:rPr>
              <w:t>多源</w:t>
            </w:r>
            <w:r>
              <w:rPr>
                <w:rFonts w:hint="eastAsia"/>
                <w:szCs w:val="21"/>
              </w:rPr>
              <w:t>数据</w:t>
            </w:r>
            <w:r w:rsidR="00E10BB1">
              <w:rPr>
                <w:rFonts w:hint="eastAsia"/>
                <w:szCs w:val="21"/>
              </w:rPr>
              <w:t>库</w:t>
            </w:r>
            <w:r>
              <w:rPr>
                <w:rFonts w:hint="eastAsia"/>
                <w:szCs w:val="21"/>
              </w:rPr>
              <w:t>连接功能的前后端联调；</w:t>
            </w:r>
          </w:p>
          <w:p w14:paraId="4AE61D38" w14:textId="72503AAB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10BB1">
              <w:rPr>
                <w:rFonts w:hint="eastAsia"/>
                <w:szCs w:val="21"/>
              </w:rPr>
              <w:t>多源数据</w:t>
            </w:r>
            <w:r>
              <w:rPr>
                <w:rFonts w:hint="eastAsia"/>
                <w:szCs w:val="21"/>
              </w:rPr>
              <w:t>管理功能的前后端联调；</w:t>
            </w:r>
          </w:p>
          <w:p w14:paraId="78FBDD5C" w14:textId="77777777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完成数据资产查询功能的前后端联调；</w:t>
            </w:r>
          </w:p>
          <w:p w14:paraId="71680177" w14:textId="77777777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实现对结构化、半结构化、非结构化的数据抽取功能；</w:t>
            </w:r>
          </w:p>
          <w:p w14:paraId="3E0D1390" w14:textId="77777777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实现数据注入功能；</w:t>
            </w:r>
          </w:p>
          <w:p w14:paraId="16B4535B" w14:textId="0092EB28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 w:rsidR="00E10BB1">
              <w:rPr>
                <w:rFonts w:hint="eastAsia"/>
                <w:szCs w:val="21"/>
                <w:lang w:eastAsia="zh-Hans"/>
              </w:rPr>
              <w:t>数据自动化监控</w:t>
            </w:r>
            <w:r>
              <w:rPr>
                <w:rFonts w:hint="eastAsia"/>
                <w:szCs w:val="21"/>
              </w:rPr>
              <w:t>工作流及调度；</w:t>
            </w:r>
          </w:p>
          <w:p w14:paraId="1EEE8DF2" w14:textId="4C0B1BE8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10BB1">
              <w:rPr>
                <w:rFonts w:hint="eastAsia"/>
                <w:szCs w:val="21"/>
              </w:rPr>
              <w:t>数据资产</w:t>
            </w:r>
            <w:r>
              <w:rPr>
                <w:rFonts w:hint="eastAsia"/>
                <w:szCs w:val="21"/>
              </w:rPr>
              <w:t>查询的前后端联调；</w:t>
            </w:r>
          </w:p>
          <w:p w14:paraId="40C8461F" w14:textId="77777777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功能模块的测试；</w:t>
            </w:r>
          </w:p>
          <w:p w14:paraId="5E36D87E" w14:textId="77777777" w:rsidR="0042550E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改进版本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功能模块存在的问题；</w:t>
            </w:r>
          </w:p>
          <w:p w14:paraId="791C53AE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2550E" w14:paraId="3EC016AD" w14:textId="77777777">
        <w:tc>
          <w:tcPr>
            <w:tcW w:w="8593" w:type="dxa"/>
            <w:gridSpan w:val="4"/>
            <w:shd w:val="clear" w:color="auto" w:fill="auto"/>
          </w:tcPr>
          <w:p w14:paraId="2FF00580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60FBC32" w14:textId="77777777" w:rsidR="0042550E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</w:t>
            </w:r>
            <w:r>
              <w:rPr>
                <w:rFonts w:hint="eastAsia"/>
                <w:szCs w:val="21"/>
                <w:lang w:eastAsia="zh-Hans"/>
              </w:rPr>
              <w:t>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每周定期将分支内容整合到主分支</w:t>
            </w:r>
            <w:r>
              <w:rPr>
                <w:szCs w:val="21"/>
                <w:lang w:eastAsia="zh-Hans"/>
              </w:rPr>
              <w:t>。</w:t>
            </w:r>
          </w:p>
          <w:p w14:paraId="44B38296" w14:textId="210C8E59" w:rsidR="0042550E" w:rsidRDefault="00E10BB1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多源数据库</w:t>
            </w:r>
            <w:r>
              <w:rPr>
                <w:rFonts w:hint="eastAsia"/>
                <w:szCs w:val="21"/>
                <w:lang w:eastAsia="zh-Hans"/>
              </w:rPr>
              <w:t>连接功能测试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 w14:paraId="35A585B7" w14:textId="0D34E97D" w:rsidR="0042550E" w:rsidRDefault="00E10BB1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多源数据库</w:t>
            </w:r>
            <w:r>
              <w:rPr>
                <w:rFonts w:hint="eastAsia"/>
                <w:szCs w:val="21"/>
                <w:lang w:eastAsia="zh-Hans"/>
              </w:rPr>
              <w:t>管理功能测试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 w14:paraId="2A07936D" w14:textId="77777777" w:rsidR="0042550E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数据资产查询功能测试：顺利实现。</w:t>
            </w:r>
          </w:p>
          <w:p w14:paraId="7FAF7D2F" w14:textId="695E5C10" w:rsidR="0042550E" w:rsidRDefault="00E10BB1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数据自动化监控功能测试：顺利实现。</w:t>
            </w:r>
          </w:p>
          <w:p w14:paraId="0A6263F2" w14:textId="77777777" w:rsidR="0042550E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功能模块测试：</w:t>
            </w:r>
          </w:p>
          <w:p w14:paraId="7BA0F5BB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8FFF753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2550E" w14:paraId="66E214E5" w14:textId="77777777">
        <w:tc>
          <w:tcPr>
            <w:tcW w:w="8593" w:type="dxa"/>
            <w:gridSpan w:val="4"/>
            <w:shd w:val="clear" w:color="auto" w:fill="auto"/>
          </w:tcPr>
          <w:p w14:paraId="6A32B76C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6B39C80" w14:textId="77777777" w:rsidR="0042550E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</w:t>
            </w:r>
            <w:r>
              <w:rPr>
                <w:rFonts w:hint="eastAsia"/>
                <w:szCs w:val="21"/>
                <w:lang w:eastAsia="zh-Hans"/>
              </w:rPr>
              <w:t>主分支应及时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erge</w:t>
            </w:r>
            <w:r>
              <w:rPr>
                <w:rFonts w:hint="eastAsia"/>
                <w:szCs w:val="21"/>
              </w:rPr>
              <w:t>各个子分支</w:t>
            </w:r>
            <w:r>
              <w:rPr>
                <w:szCs w:val="21"/>
                <w:lang w:eastAsia="zh-Hans"/>
              </w:rPr>
              <w:t>。</w:t>
            </w:r>
          </w:p>
          <w:p w14:paraId="2387B46A" w14:textId="77777777" w:rsidR="0042550E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前后端的交互联调需进行统一</w:t>
            </w:r>
            <w:r>
              <w:rPr>
                <w:szCs w:val="21"/>
                <w:lang w:eastAsia="zh-Hans"/>
              </w:rPr>
              <w:t>。</w:t>
            </w:r>
          </w:p>
          <w:p w14:paraId="28211F26" w14:textId="77777777" w:rsidR="0042550E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datax</w:t>
            </w:r>
            <w:r>
              <w:rPr>
                <w:rFonts w:hint="eastAsia"/>
                <w:szCs w:val="21"/>
                <w:lang w:eastAsia="zh-Hans"/>
              </w:rPr>
              <w:t>占内存太多</w:t>
            </w:r>
            <w:r>
              <w:rPr>
                <w:szCs w:val="21"/>
                <w:lang w:eastAsia="zh-Hans"/>
              </w:rPr>
              <w:t>。</w:t>
            </w:r>
          </w:p>
          <w:p w14:paraId="19B4CA13" w14:textId="77777777" w:rsidR="0042550E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目前计算存储只支持在本地运行，未进行分布式配置。</w:t>
            </w:r>
          </w:p>
          <w:p w14:paraId="47B90981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0AE6219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CF61074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2550E" w14:paraId="20F6FFD9" w14:textId="77777777">
        <w:tc>
          <w:tcPr>
            <w:tcW w:w="8593" w:type="dxa"/>
            <w:gridSpan w:val="4"/>
            <w:shd w:val="clear" w:color="auto" w:fill="auto"/>
          </w:tcPr>
          <w:p w14:paraId="0A487E78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1A287CF1" w14:textId="4743C2E4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在</w:t>
            </w:r>
            <w:r>
              <w:rPr>
                <w:szCs w:val="21"/>
                <w:lang w:eastAsia="zh-Hans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阶段，小组成员分工协作，依据迭代计划以及软件开发计划进行相应功能模块的开发。</w:t>
            </w:r>
            <w:r w:rsidR="00E10BB1">
              <w:rPr>
                <w:rFonts w:hint="eastAsia"/>
                <w:szCs w:val="21"/>
                <w:lang w:eastAsia="zh-Hans"/>
              </w:rPr>
              <w:t>曾宇欣</w:t>
            </w:r>
            <w:r>
              <w:rPr>
                <w:rFonts w:hint="eastAsia"/>
                <w:szCs w:val="21"/>
                <w:lang w:eastAsia="zh-Hans"/>
              </w:rPr>
              <w:t>同学首先对迭代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中的原型界面进行了</w:t>
            </w:r>
            <w:r>
              <w:rPr>
                <w:szCs w:val="21"/>
                <w:lang w:eastAsia="zh-Hans"/>
              </w:rPr>
              <w:t>Web</w:t>
            </w:r>
            <w:r>
              <w:rPr>
                <w:rFonts w:hint="eastAsia"/>
                <w:szCs w:val="21"/>
                <w:lang w:eastAsia="zh-Hans"/>
              </w:rPr>
              <w:t>前端界面的初步</w:t>
            </w:r>
            <w:r>
              <w:rPr>
                <w:rFonts w:hint="eastAsia"/>
                <w:szCs w:val="21"/>
              </w:rPr>
              <w:t>实现；</w:t>
            </w:r>
            <w:r w:rsidR="00E10BB1">
              <w:rPr>
                <w:rFonts w:hint="eastAsia"/>
                <w:szCs w:val="21"/>
              </w:rPr>
              <w:t>陈诺</w:t>
            </w:r>
            <w:r>
              <w:rPr>
                <w:rFonts w:hint="eastAsia"/>
                <w:szCs w:val="21"/>
              </w:rPr>
              <w:t>同学负责后端</w:t>
            </w:r>
            <w:r>
              <w:rPr>
                <w:rFonts w:hint="eastAsia"/>
                <w:szCs w:val="21"/>
                <w:lang w:eastAsia="zh-Hans"/>
              </w:rPr>
              <w:t>架构设计和业务流程开发</w:t>
            </w:r>
            <w:r>
              <w:rPr>
                <w:rFonts w:hint="eastAsia"/>
                <w:szCs w:val="21"/>
              </w:rPr>
              <w:t>，并通过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ESTful API</w:t>
            </w:r>
            <w:r>
              <w:rPr>
                <w:rFonts w:hint="eastAsia"/>
                <w:szCs w:val="21"/>
              </w:rPr>
              <w:t>与前端部分进行对接。对接过程中发现了一些</w:t>
            </w:r>
            <w:r>
              <w:rPr>
                <w:szCs w:val="21"/>
              </w:rPr>
              <w:t>Ajax</w:t>
            </w:r>
            <w:r>
              <w:rPr>
                <w:rFonts w:hint="eastAsia"/>
                <w:szCs w:val="21"/>
              </w:rPr>
              <w:t>通信接口的数据格式统一问题，并及时进行协调统一；</w:t>
            </w:r>
            <w:r w:rsidR="00E10BB1">
              <w:rPr>
                <w:rFonts w:hint="eastAsia"/>
                <w:szCs w:val="21"/>
              </w:rPr>
              <w:t>钱麒丹</w:t>
            </w:r>
            <w:r>
              <w:rPr>
                <w:rFonts w:hint="eastAsia"/>
                <w:szCs w:val="21"/>
              </w:rPr>
              <w:t>同学整体把控各功能模块与项目需求的对应关系，并辅助</w:t>
            </w:r>
            <w:r w:rsidR="00E10BB1">
              <w:rPr>
                <w:rFonts w:hint="eastAsia"/>
                <w:szCs w:val="21"/>
              </w:rPr>
              <w:t>陈诺</w:t>
            </w:r>
            <w:r>
              <w:rPr>
                <w:rFonts w:hint="eastAsia"/>
                <w:szCs w:val="21"/>
              </w:rPr>
              <w:t>同学完成后端开发；</w:t>
            </w:r>
            <w:r w:rsidR="00E10BB1">
              <w:rPr>
                <w:rFonts w:hint="eastAsia"/>
                <w:szCs w:val="21"/>
              </w:rPr>
              <w:t>陈治源</w:t>
            </w:r>
            <w:r>
              <w:rPr>
                <w:rFonts w:hint="eastAsia"/>
                <w:szCs w:val="21"/>
              </w:rPr>
              <w:t>同学在上周搭建的后端环境基础上完成对</w:t>
            </w:r>
            <w:r w:rsidR="00E10BB1">
              <w:rPr>
                <w:rFonts w:hint="eastAsia"/>
                <w:szCs w:val="21"/>
                <w:lang w:eastAsia="zh-Hans"/>
              </w:rPr>
              <w:t>数据自动化监控功能</w:t>
            </w:r>
            <w:r>
              <w:rPr>
                <w:rFonts w:hint="eastAsia"/>
                <w:szCs w:val="21"/>
              </w:rPr>
              <w:t>的开发</w:t>
            </w:r>
            <w:r w:rsidR="00E10BB1">
              <w:rPr>
                <w:rFonts w:hint="eastAsia"/>
                <w:szCs w:val="21"/>
              </w:rPr>
              <w:t>；张瑞轩同学完成数据资产查询的前后端联调，以及数据资产目录展示</w:t>
            </w:r>
            <w:r w:rsidR="008211B5">
              <w:rPr>
                <w:rFonts w:hint="eastAsia"/>
                <w:szCs w:val="21"/>
              </w:rPr>
              <w:t>的后端开发</w:t>
            </w:r>
            <w:r>
              <w:rPr>
                <w:rFonts w:hint="eastAsia"/>
                <w:szCs w:val="21"/>
              </w:rPr>
              <w:t>。</w:t>
            </w:r>
          </w:p>
          <w:p w14:paraId="1E4DD7A2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在迭代前期，项目成员各自分工而缺乏整体协作，导致在项目中期进行前后端交互对接时产生了一些返工问题。因此，项目开发中仍应重点关注技术风险并保证每周会议讨论的高效开展，尽可能在早期发现开发过程中潜在的问题。</w:t>
            </w:r>
          </w:p>
          <w:p w14:paraId="2B563087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907A3F" w14:textId="77777777" w:rsidR="0042550E" w:rsidRDefault="0042550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AE7623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EC1E739" w14:textId="77777777" w:rsidR="0042550E" w:rsidRDefault="0042550E">
      <w:pPr>
        <w:ind w:left="360"/>
      </w:pPr>
    </w:p>
    <w:sectPr w:rsidR="0042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2FCF" w14:textId="77777777" w:rsidR="005B2181" w:rsidRDefault="005B2181" w:rsidP="00494733">
      <w:r>
        <w:separator/>
      </w:r>
    </w:p>
  </w:endnote>
  <w:endnote w:type="continuationSeparator" w:id="0">
    <w:p w14:paraId="76369EAF" w14:textId="77777777" w:rsidR="005B2181" w:rsidRDefault="005B2181" w:rsidP="0049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A432" w14:textId="77777777" w:rsidR="005B2181" w:rsidRDefault="005B2181" w:rsidP="00494733">
      <w:r>
        <w:separator/>
      </w:r>
    </w:p>
  </w:footnote>
  <w:footnote w:type="continuationSeparator" w:id="0">
    <w:p w14:paraId="7DBC26FC" w14:textId="77777777" w:rsidR="005B2181" w:rsidRDefault="005B2181" w:rsidP="00494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0513"/>
    <w:multiLevelType w:val="singleLevel"/>
    <w:tmpl w:val="5F93051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F93085B"/>
    <w:multiLevelType w:val="singleLevel"/>
    <w:tmpl w:val="5F93085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F930B34"/>
    <w:multiLevelType w:val="singleLevel"/>
    <w:tmpl w:val="5F930B34"/>
    <w:lvl w:ilvl="0">
      <w:start w:val="1"/>
      <w:numFmt w:val="decimal"/>
      <w:suff w:val="nothing"/>
      <w:lvlText w:val="%1）"/>
      <w:lvlJc w:val="left"/>
    </w:lvl>
  </w:abstractNum>
  <w:num w:numId="1" w16cid:durableId="2093161412">
    <w:abstractNumId w:val="0"/>
  </w:num>
  <w:num w:numId="2" w16cid:durableId="1922982184">
    <w:abstractNumId w:val="1"/>
  </w:num>
  <w:num w:numId="3" w16cid:durableId="22642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7CF457F"/>
    <w:rsid w:val="EDEE0ED1"/>
    <w:rsid w:val="F9AE3EE8"/>
    <w:rsid w:val="FE9F2A8A"/>
    <w:rsid w:val="FFFBAE13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85BFB"/>
    <w:rsid w:val="00095B8A"/>
    <w:rsid w:val="000B2A00"/>
    <w:rsid w:val="000B43D1"/>
    <w:rsid w:val="000C16E3"/>
    <w:rsid w:val="000C7875"/>
    <w:rsid w:val="000D07AA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4D32"/>
    <w:rsid w:val="001A6C53"/>
    <w:rsid w:val="001B4A36"/>
    <w:rsid w:val="001C3FE8"/>
    <w:rsid w:val="001C648F"/>
    <w:rsid w:val="001E378A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1168"/>
    <w:rsid w:val="002F0552"/>
    <w:rsid w:val="003158F7"/>
    <w:rsid w:val="00324CB5"/>
    <w:rsid w:val="00357D30"/>
    <w:rsid w:val="00357E7F"/>
    <w:rsid w:val="0036145C"/>
    <w:rsid w:val="00372356"/>
    <w:rsid w:val="0038763E"/>
    <w:rsid w:val="00387AD5"/>
    <w:rsid w:val="003A2961"/>
    <w:rsid w:val="003A36DA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2550E"/>
    <w:rsid w:val="004335CE"/>
    <w:rsid w:val="00433652"/>
    <w:rsid w:val="004531BD"/>
    <w:rsid w:val="00455844"/>
    <w:rsid w:val="00460FC4"/>
    <w:rsid w:val="00465ECF"/>
    <w:rsid w:val="0047653C"/>
    <w:rsid w:val="00490B0A"/>
    <w:rsid w:val="00494733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2181"/>
    <w:rsid w:val="005B63CB"/>
    <w:rsid w:val="005D0B3A"/>
    <w:rsid w:val="005F66E9"/>
    <w:rsid w:val="00601D25"/>
    <w:rsid w:val="00621F13"/>
    <w:rsid w:val="00631083"/>
    <w:rsid w:val="0064141B"/>
    <w:rsid w:val="00641FCA"/>
    <w:rsid w:val="00644329"/>
    <w:rsid w:val="00696469"/>
    <w:rsid w:val="006A50B4"/>
    <w:rsid w:val="006D2CD1"/>
    <w:rsid w:val="006E17F7"/>
    <w:rsid w:val="006E1F01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11B5"/>
    <w:rsid w:val="00822A2D"/>
    <w:rsid w:val="008246B8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401F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818A9"/>
    <w:rsid w:val="009A2C0C"/>
    <w:rsid w:val="009A4BBC"/>
    <w:rsid w:val="009A4EA7"/>
    <w:rsid w:val="009B20B5"/>
    <w:rsid w:val="009F0368"/>
    <w:rsid w:val="009F5B31"/>
    <w:rsid w:val="009F5C91"/>
    <w:rsid w:val="00A16A7F"/>
    <w:rsid w:val="00A32A98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E796E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E5471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10BB1"/>
    <w:rsid w:val="00E20B4F"/>
    <w:rsid w:val="00E21D88"/>
    <w:rsid w:val="00E23154"/>
    <w:rsid w:val="00E314EE"/>
    <w:rsid w:val="00E32686"/>
    <w:rsid w:val="00E419F6"/>
    <w:rsid w:val="00E42673"/>
    <w:rsid w:val="00E80D09"/>
    <w:rsid w:val="00E81EDC"/>
    <w:rsid w:val="00E8278B"/>
    <w:rsid w:val="00E94D19"/>
    <w:rsid w:val="00EE292F"/>
    <w:rsid w:val="00EE3AA2"/>
    <w:rsid w:val="00EE7042"/>
    <w:rsid w:val="00EF067F"/>
    <w:rsid w:val="00F3193E"/>
    <w:rsid w:val="00F5642D"/>
    <w:rsid w:val="00F61E46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7CD6"/>
    <w:rsid w:val="00FE129B"/>
    <w:rsid w:val="00FF1CC8"/>
    <w:rsid w:val="00FF31D1"/>
    <w:rsid w:val="23DFED82"/>
    <w:rsid w:val="5CFF2931"/>
    <w:rsid w:val="7BC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2F71F"/>
  <w15:docId w15:val="{538CD90E-2941-49A7-ADDA-E96A3881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819</Characters>
  <Application>Microsoft Office Word</Application>
  <DocSecurity>0</DocSecurity>
  <Lines>6</Lines>
  <Paragraphs>1</Paragraphs>
  <ScaleCrop>false</ScaleCrop>
  <Company>SJTU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ruixuan zhang</cp:lastModifiedBy>
  <cp:revision>4</cp:revision>
  <dcterms:created xsi:type="dcterms:W3CDTF">2020-11-15T17:04:00Z</dcterms:created>
  <dcterms:modified xsi:type="dcterms:W3CDTF">2023-11-20T15:20:00Z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