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I employed the LECmd tool to investigate the contents of a lnk file, which serves as a shortcut to the original harmful file activated upon its execution. During the examination, I uncovered an embedded hta file, an HTML Application, likely containing a script capable of triggering subsequent actions.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272447" cy="38816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2447" cy="388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3632763" cy="311943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2763" cy="3119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To delve deeper into the lnk file, I utilized strings.exe, which revealed base64 encoded text and a camouflaged script. By using an online tool to reverse the obfuscation, I unearthed a vital segment of the script that not only initiates the download of a secondary payload but also includes a decryption key for an encrypted message.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3. </w:t>
      </w: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Through thorough analysis, I was able to confirm that this incident was an authentic malware assault carried out by the GhostWriter (UAC-0057) hacker collective targeting a Ukrainian state organization.</w:t>
      </w:r>
    </w:p>
    <w:p w:rsidR="00000000" w:rsidDel="00000000" w:rsidP="00000000" w:rsidRDefault="00000000" w:rsidRPr="00000000" w14:paraId="00000018">
      <w:pPr>
        <w:rPr>
          <w:color w:val="0d0d0d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0d0d0d"/>
          <w:sz w:val="24"/>
          <w:szCs w:val="24"/>
          <w:highlight w:val="whit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Source:</w:t>
      </w:r>
    </w:p>
    <w:p w:rsidR="00000000" w:rsidDel="00000000" w:rsidP="00000000" w:rsidRDefault="00000000" w:rsidRPr="00000000" w14:paraId="0000001A">
      <w:pPr>
        <w:rPr>
          <w:color w:val="0d0d0d"/>
          <w:sz w:val="24"/>
          <w:szCs w:val="24"/>
          <w:highlight w:val="white"/>
        </w:rPr>
      </w:pPr>
      <w:r w:rsidDel="00000000" w:rsidR="00000000" w:rsidRPr="00000000">
        <w:rPr>
          <w:color w:val="0d0d0d"/>
          <w:sz w:val="24"/>
          <w:szCs w:val="24"/>
          <w:highlight w:val="white"/>
          <w:rtl w:val="0"/>
        </w:rPr>
        <w:t xml:space="preserve">https://cert.gov.ua/article/5661411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C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