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F97E2">
      <w:pPr>
        <w:spacing w:after="280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sz w:val="44"/>
        </w:rPr>
        <w:t>高速公路风险监测预警处置系统软件升级和维护建设方案（业主报批稿）</w:t>
      </w:r>
    </w:p>
    <w:p w14:paraId="4A1F96A1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为进一步提升高速公路重点路段、重点边坡、重点监测点位和预警设施的风险感知、预警响应、处置协同和运维保障能力，推动现有风险监测预警处置系统由“基础可用”向“稳定可靠、业务闭环、持续运行、服务管理”升级，现结合现有系统建设基础和业主单位管理需求，提出本建设方案。</w:t>
      </w:r>
    </w:p>
    <w:p w14:paraId="3CBE172E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本方案重点围绕软件升级、软件维护、硬件协同维护、运行保障、培训支撑和持续优化等方面展开，作为后续项目审议、实施组织、服务考核和阶段验收的参考依据。</w:t>
      </w:r>
    </w:p>
    <w:p w14:paraId="075A4FAA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一、项目建设背景</w:t>
      </w:r>
    </w:p>
    <w:p w14:paraId="2EB756BB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随着高速公路沿线边坡、桥隧、高填深挖路段、重点监测区和附属预警设施数量持续增加，风险监测工作已经从传统的点状建设、单点使用，逐步进入面向全线路、全时段、全过程的运行保障阶段。</w:t>
      </w:r>
      <w:r>
        <w:rPr>
          <w:rFonts w:hint="eastAsia" w:ascii="仿宋_GB2312" w:hAnsi="仿宋_GB2312" w:eastAsia="仿宋_GB2312" w:cs="仿宋_GB2312"/>
          <w:lang w:val="en-US" w:eastAsia="zh-CN"/>
        </w:rPr>
        <w:t>使用</w:t>
      </w:r>
      <w:r>
        <w:rPr>
          <w:rFonts w:hint="eastAsia" w:ascii="仿宋_GB2312" w:hAnsi="仿宋_GB2312" w:eastAsia="仿宋_GB2312" w:cs="仿宋_GB2312"/>
        </w:rPr>
        <w:t>单位在日常管理中，既需要掌握重点区域的风险变化情况，也需要对预警处置、设备运行、维护成效和责任落实情况进行统一监管。</w:t>
      </w:r>
    </w:p>
    <w:p w14:paraId="3636F14E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从实际应用看，当前风险监测预警处置工作仍普遍存在以下问题：</w:t>
      </w:r>
    </w:p>
    <w:p w14:paraId="4411BC0E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监测设备来源多、协议差异大、建档标准不统一，新增设备和新增点位接入工作量较大。</w:t>
      </w:r>
    </w:p>
    <w:p w14:paraId="6157E7BD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监测数据、风险对象、责任单位和现场处置之间衔接不够紧密，容易出现“数据已到平台、业务尚未闭环”的情况。</w:t>
      </w:r>
    </w:p>
    <w:p w14:paraId="5919C608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告警、事件、工单、预案和反馈之间尚需进一步强化衔接，处置过程仍依赖人工协调推进。</w:t>
      </w:r>
    </w:p>
    <w:p w14:paraId="015BDC6F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软件系统运行维护更多停留在问题修复层面，缺少面向长期运行的巡检、预警、升级和考核机制。</w:t>
      </w:r>
    </w:p>
    <w:p w14:paraId="17AF35DC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软件维护与硬件维护协同不够紧密，设备离线、通讯异常、供电异常、数据漂移等问题难以及时形成联动闭环。</w:t>
      </w:r>
    </w:p>
    <w:p w14:paraId="6CF1906C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管理层对系统建设成效的关注重点在于“能否支撑管理、能否长期运行、能否持续见效”，而不仅仅是功能是否上线。</w:t>
      </w:r>
    </w:p>
    <w:p w14:paraId="6E382E5D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基于上述背景，有必要在现有系统基础上，统筹推进高速公路风险监测预警处置系统的软件升级和维护建设，进一步完善业务闭环、强化运维保障、提升管理质效。</w:t>
      </w:r>
    </w:p>
    <w:p w14:paraId="5EF19D03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二、项目建设必要性</w:t>
      </w:r>
    </w:p>
    <w:p w14:paraId="6E7E4BEB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本项目建设的必要性主要体现在以下几个方面：</w:t>
      </w:r>
    </w:p>
    <w:p w14:paraId="21C30C9E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（一）提升高速公路风险防控能力的现实需要</w:t>
      </w:r>
    </w:p>
    <w:p w14:paraId="236E2A4B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风险监测预警处置系统承担着对重点路段、重点边坡、重点设施进行实时感知、预警提示和闭环处置的重要职责。若系统仅具备基础采集和展示能力，而缺少治理、协同和复盘能力，则难以真正发挥风险防控作用。因此，有必要通过系统升级和维护建设，进一步提升风险识别、预警响应和处置闭环能力。</w:t>
      </w:r>
    </w:p>
    <w:p w14:paraId="2F77D7C1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（二）保障现有建设成果持续发挥效益的现实需要</w:t>
      </w:r>
    </w:p>
    <w:p w14:paraId="35868DCC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现有系统已经具备较好的建设基础，但系统长期运行不仅依赖初始建设，更依赖持续运维、持续优化和持续保障。若缺少统一的软件维护、版本升级、巡检排障和服务考核机制，系统运行成效将难以长期稳定保持。因此，有必要同步建立与系统建设相匹配的维护保障体系。</w:t>
      </w:r>
    </w:p>
    <w:p w14:paraId="36A19172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（三）提升软件与硬件协同管理水平的现实需要</w:t>
      </w:r>
    </w:p>
    <w:p w14:paraId="6D2213D2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高速公路风险监测预警处置系统的业务成效，不仅取决于软件平台，也取决于现场监测设备、采集设备、通讯链路和预警终端的健康运行。软件发现问题、硬件及时处置、台账同步更新、结果及时回流，已成为保障系统长期有效运行的关键。因此，有必要将硬件协同维护纳入整体建设考虑。</w:t>
      </w:r>
    </w:p>
    <w:p w14:paraId="6F247250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（四）满足</w:t>
      </w:r>
      <w:r>
        <w:rPr>
          <w:rFonts w:hint="eastAsia" w:ascii="仿宋_GB2312" w:hAnsi="仿宋_GB2312" w:eastAsia="仿宋_GB2312" w:cs="仿宋_GB2312"/>
          <w:lang w:val="en-US" w:eastAsia="zh-CN"/>
        </w:rPr>
        <w:t>客户</w:t>
      </w:r>
      <w:bookmarkStart w:id="0" w:name="_GoBack"/>
      <w:bookmarkEnd w:id="0"/>
      <w:r>
        <w:rPr>
          <w:rFonts w:hint="eastAsia" w:ascii="仿宋_GB2312" w:hAnsi="仿宋_GB2312" w:eastAsia="仿宋_GB2312" w:cs="仿宋_GB2312"/>
        </w:rPr>
        <w:t>单位管理决策需要的现实需要</w:t>
      </w:r>
    </w:p>
    <w:p w14:paraId="6EDF2C82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管理层需要通过系统掌握风险态势、设备运行、预警处置、运维成效和责任落实情况。系统升级和维护建设，应当服务于管理决策，而不是停留在技术实现层面。因此，有必要按照“业务牵引、管理导向、长期运行”的思路，对现有平台进行整体提升。</w:t>
      </w:r>
    </w:p>
    <w:p w14:paraId="2BF82543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三、项目建设目标</w:t>
      </w:r>
    </w:p>
    <w:p w14:paraId="64A90700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本项目总体目标是：依托现有系统基础，建设一套满足高速公路风险监测预警处置业务长期运行需要的“软件升级 + 运行维护 + 硬件协同 + 服务保障”一体化支撑体系。</w:t>
      </w:r>
    </w:p>
    <w:p w14:paraId="1F878C9B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具体目标如下：</w:t>
      </w:r>
    </w:p>
    <w:p w14:paraId="0C09106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建成统一、稳定、可持续运行的风险监测预警处置平台，实现监测设备接入、风险识别、预警提示、事件处置、工单协同和结果复盘的一体化管理。</w:t>
      </w:r>
    </w:p>
    <w:p w14:paraId="04A15519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建成面向管理层、业务人员、运维人员的分层工作体系，使系统既能支撑日常监管，也能支撑应急处置和运行分析。</w:t>
      </w:r>
    </w:p>
    <w:p w14:paraId="57F45147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建成“软件升级、软件维护、硬件协同维护、数据治理、运维服务”一体化保障机制，保障平台稳定运行和持续优化。</w:t>
      </w:r>
    </w:p>
    <w:p w14:paraId="4A187A73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建成全过程留痕、全过程可查、全过程可复盘的管理闭环，提升业主单位对风险点、设备、处置过程和维护成效的掌控能力。</w:t>
      </w:r>
    </w:p>
    <w:p w14:paraId="02A4168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在现有系统基础上形成可持续迭代机制，为后续能力扩展、场景深化和智能化提升预留条件。</w:t>
      </w:r>
    </w:p>
    <w:p w14:paraId="6475BE61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四、项目建设原则</w:t>
      </w:r>
    </w:p>
    <w:p w14:paraId="5DA27F60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为确保项目建设方向明确、实施路径清晰、运行机制可持续，建议坚持以下原则：</w:t>
      </w:r>
    </w:p>
    <w:p w14:paraId="0C0E2FF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坚持业务导向。所有升级和维护工作均围绕风险发现、预警处置、运维保障和管理决策展开。</w:t>
      </w:r>
    </w:p>
    <w:p w14:paraId="7AF85799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坚持稳定优先。在不破坏现有主链路稳定性的前提下推进升级优化，确保业务连续性。</w:t>
      </w:r>
    </w:p>
    <w:p w14:paraId="74B24D4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坚持统一平台。不重复建设分散系统和临时工具，统一在现有平台上完成接入、监测、预警、处置、治理和复盘。</w:t>
      </w:r>
    </w:p>
    <w:p w14:paraId="2727EE79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坚持长效运行。项目建设不仅关注功能交付，更关注巡检、升级、服务、考核和持续优化机制。</w:t>
      </w:r>
    </w:p>
    <w:p w14:paraId="6ADA77B8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坚持软硬协同。将软件维护和硬件维护统筹考虑，形成问题发现、现场处置、结果回流的协同机制。</w:t>
      </w:r>
    </w:p>
    <w:p w14:paraId="38848530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坚持可查可溯。确保关键数据、关键动作、关键处置过程有记录、有依据、可追踪、可复盘。</w:t>
      </w:r>
    </w:p>
    <w:p w14:paraId="08ABF501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五、现有建设基础</w:t>
      </w:r>
    </w:p>
    <w:p w14:paraId="2E331BD1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根据现有系统建设情况，平台已经具备较好的升级基础，主要表现在以下方面：</w:t>
      </w:r>
    </w:p>
    <w:p w14:paraId="08CF03AA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已形成统一的设备接入能力，支持 HTTP、MQTT 等通道接入，具备消息处理、协议解析、消息日志、属性更新和在线状态维护能力。</w:t>
      </w:r>
    </w:p>
    <w:p w14:paraId="7A16F3EC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已形成较完整的风险业务基础，覆盖风险监测、告警中心、事件处置、风险点管理、阈值规则、联动规则、应急预案和运营分析等能力。</w:t>
      </w:r>
    </w:p>
    <w:p w14:paraId="6B0C0CA8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已形成较完整的平台治理基础，支持组织、用户、角色、权限、区域、字典、通知、审计、治理任务、治理运维和治理审批等管理能力。</w:t>
      </w:r>
    </w:p>
    <w:p w14:paraId="5DE72123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已形成较完整的追踪和复盘基础，支持 TraceId、系统日志、消息追踪、处理时间线、站内消息和外部通知渠道桥接。</w:t>
      </w:r>
    </w:p>
    <w:p w14:paraId="60991EF7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已具备真实环境运行和验收基础，现有系统已经按照真实环境基线开展运行验证和交付核验。</w:t>
      </w:r>
    </w:p>
    <w:p w14:paraId="51AFAD8F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综上，本项目具备“在现有基础上进一步完善提升”的良好条件，属于在既有成果上的深化建设和长效维护，不属于从零新建。</w:t>
      </w:r>
    </w:p>
    <w:p w14:paraId="3172747D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六、项目建设内容</w:t>
      </w:r>
    </w:p>
    <w:p w14:paraId="255ADB4F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本项目建设内容主要包括以下五个方面：</w:t>
      </w:r>
    </w:p>
    <w:p w14:paraId="5759DEB7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（一）软件平台升级建设</w:t>
      </w:r>
    </w:p>
    <w:p w14:paraId="21713311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围绕高速公路风险监测预警处置业务，继续完善和提升现有平台能力，重点包括：</w:t>
      </w:r>
    </w:p>
    <w:p w14:paraId="21C3979E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完善统一接入与资产治理能力，提升产品建档、设备建档、物模型治理、异常设备发现、设备更换和资产台账维护水平。</w:t>
      </w:r>
    </w:p>
    <w:p w14:paraId="5048D737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完善风险监测与态势感知能力，优化实时监测、GIS 态势、对象洞察和运营分析表达方式。</w:t>
      </w:r>
    </w:p>
    <w:p w14:paraId="00EE279E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完善预警处置闭环能力，强化告警、事件、工单、联动规则、应急预案之间的衔接和留痕。</w:t>
      </w:r>
    </w:p>
    <w:p w14:paraId="1801FA1E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完善平台治理和质量验收能力，提升权限治理、任务治理、审批治理、运维告警和质量核验能力。</w:t>
      </w:r>
    </w:p>
    <w:p w14:paraId="06499CCC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通过软件平台升级，推动系统由“功能可用”向“业务好用、管理好用、长期耐用”转变。</w:t>
      </w:r>
    </w:p>
    <w:p w14:paraId="5B83AE8A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（二）软件运行维护建设</w:t>
      </w:r>
    </w:p>
    <w:p w14:paraId="60548F67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围绕系统长期稳定运行需要，建立规范化的软件运行维护机制，重点包括：</w:t>
      </w:r>
    </w:p>
    <w:p w14:paraId="1F5F3CA8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建立日常运行监测机制，对关键服务、关键接口、关键链路和关键告警状态进行持续监测。</w:t>
      </w:r>
    </w:p>
    <w:p w14:paraId="279E165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建立例行巡检机制，对系统运行状态、设备在线率、异常趋势、任务执行情况和通知状态开展周期检查。</w:t>
      </w:r>
    </w:p>
    <w:p w14:paraId="41B2B8DD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建立故障分级响应机制，对重大故障、重要故障、一般故障和咨询优化实行分类处置。</w:t>
      </w:r>
    </w:p>
    <w:p w14:paraId="1F6B62DF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建立版本升级机制，对常规优化、专题升级和紧急修复实行计划管理和留痕管理。</w:t>
      </w:r>
    </w:p>
    <w:p w14:paraId="02BFA1DD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建立配置维护和运行优化机制，使系统能够持续适配业务变化和管理需求。</w:t>
      </w:r>
    </w:p>
    <w:p w14:paraId="778F8EC7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（三）硬件协同维护建设</w:t>
      </w:r>
    </w:p>
    <w:p w14:paraId="1EFF9C72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围绕现场设备和预警设施长期运行需要，建立软件平台与硬件维护相互协同的工作机制，重点包括：</w:t>
      </w:r>
    </w:p>
    <w:p w14:paraId="049C9FD4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建立设备在线监测和健康状态检查机制，对监测设备、采集器、网关、通讯模块和预警终端进行持续关注。</w:t>
      </w:r>
    </w:p>
    <w:p w14:paraId="35A8C6F4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建立设备异常发现与协同处置机制，对离线、断电、通讯异常、数据异常和漂移异常等问题形成联动处理。</w:t>
      </w:r>
    </w:p>
    <w:p w14:paraId="1FFD320E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建立设备更换和恢复支撑机制，对设备更换、维修恢复、重新建档、重新绑定和结果回流形成统一流程。</w:t>
      </w:r>
    </w:p>
    <w:p w14:paraId="32EAF4DC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建立设备台账和维护台账协同机制，形成设备信息、责任信息、维护记录和异常记录的统一管理。</w:t>
      </w:r>
    </w:p>
    <w:p w14:paraId="531E2E02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（四）数据治理与安全保障建设</w:t>
      </w:r>
    </w:p>
    <w:p w14:paraId="0601914B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围绕系统运行安全和业务管理规范要求，进一步强化以下内容：</w:t>
      </w:r>
    </w:p>
    <w:p w14:paraId="373BC2C4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强化租户、组织、角色、菜单和按钮权限治理，保证系统按职责使用。</w:t>
      </w:r>
    </w:p>
    <w:p w14:paraId="0B19F040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强化关键业务动作留痕，对审批、发布、回滚、策略调整和密钥轮换等动作进行审计。</w:t>
      </w:r>
    </w:p>
    <w:p w14:paraId="76872EEF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强化日志追踪和系统异常治理，确保问题可定位、可追踪、可复盘。</w:t>
      </w:r>
    </w:p>
    <w:p w14:paraId="23B24056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强化设备鉴权和密钥管理，降低接入安全风险。</w:t>
      </w:r>
    </w:p>
    <w:p w14:paraId="123B722D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强化升级过程、配置变更和运行记录管理，保证重要操作有据可查。</w:t>
      </w:r>
    </w:p>
    <w:p w14:paraId="7524E70C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（五）运维服务与培训保障建设</w:t>
      </w:r>
    </w:p>
    <w:p w14:paraId="36F74AA1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围绕系统常态化运行和人员使用能力提升需要，建立完整的服务保障机制，重点包括：</w:t>
      </w:r>
    </w:p>
    <w:p w14:paraId="6FDF01FA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建立远程支撑与现场协同相结合的服务模式。</w:t>
      </w:r>
    </w:p>
    <w:p w14:paraId="7B527391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建立面向管理层、业务人员、运维人员和管理员的分类培训机制。</w:t>
      </w:r>
    </w:p>
    <w:p w14:paraId="211F732F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建立巡检报告、运行月报、问题清单、优化建议和阶段总结的周期性交付机制。</w:t>
      </w:r>
    </w:p>
    <w:p w14:paraId="5DA84E1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建立年度升级、季度优化、月度巡检和重点时期专项保障机制。</w:t>
      </w:r>
    </w:p>
    <w:p w14:paraId="0FE1F2C2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七、项目实施路径</w:t>
      </w:r>
    </w:p>
    <w:p w14:paraId="5E75E685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建议本项目按照“摸清现状、实施升级、联调验收、持续维护”四个阶段组织实施。</w:t>
      </w:r>
    </w:p>
    <w:p w14:paraId="286E7577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（一）第一阶段：现状梳理与基线核定</w:t>
      </w:r>
    </w:p>
    <w:p w14:paraId="42069814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重点完成以下工作：</w:t>
      </w:r>
    </w:p>
    <w:p w14:paraId="36584EAE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梳理现有软件系统、设备类型、监测点位、预警流程和维护机制。</w:t>
      </w:r>
    </w:p>
    <w:p w14:paraId="0A178638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核定现有设备清单、风险点清单、组织权限和责任边界。</w:t>
      </w:r>
    </w:p>
    <w:p w14:paraId="35589B9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核定现有系统运行基线、环境基线和验收基线。</w:t>
      </w:r>
    </w:p>
    <w:p w14:paraId="22FE1FD6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形成升级清单、维护清单和问题清单。</w:t>
      </w:r>
    </w:p>
    <w:p w14:paraId="127A60D0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（二）第二阶段：软件升级与功能优化</w:t>
      </w:r>
    </w:p>
    <w:p w14:paraId="130B76C8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重点完成以下工作：</w:t>
      </w:r>
    </w:p>
    <w:p w14:paraId="166B9BB4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完成平台能力升级和页面优化。</w:t>
      </w:r>
    </w:p>
    <w:p w14:paraId="33DBA43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完成关键业务流程补强、治理能力补强和运行告警补强。</w:t>
      </w:r>
    </w:p>
    <w:p w14:paraId="691680D3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完成关键配置、角色权限和基础数据整理适配。</w:t>
      </w:r>
    </w:p>
    <w:p w14:paraId="15862005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（三）第三阶段：联调验证与上线验收</w:t>
      </w:r>
    </w:p>
    <w:p w14:paraId="15709E0E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重点完成以下工作：</w:t>
      </w:r>
    </w:p>
    <w:p w14:paraId="78BCFFEA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组织软件、硬件、网络、数据联调。</w:t>
      </w:r>
    </w:p>
    <w:p w14:paraId="1F7F6AB5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按真实环境开展业务验收、运行验收和问题整改。</w:t>
      </w:r>
    </w:p>
    <w:p w14:paraId="5FB8D426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形成上线验收结论和遗留问题整改计划。</w:t>
      </w:r>
    </w:p>
    <w:p w14:paraId="5AC4175D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（四）第四阶段：运行维护与持续优化</w:t>
      </w:r>
    </w:p>
    <w:p w14:paraId="34E4E569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重点完成以下工作：</w:t>
      </w:r>
    </w:p>
    <w:p w14:paraId="01521C2B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开展日常运维、例行巡检、故障处理和运行报告编制。</w:t>
      </w:r>
    </w:p>
    <w:p w14:paraId="6A6E7A1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开展季度优化、年度升级和重点时期专项保障。</w:t>
      </w:r>
    </w:p>
    <w:p w14:paraId="19EC65F3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持续跟踪系统运行成效和硬件维护情况，形成常态化服务机制。</w:t>
      </w:r>
    </w:p>
    <w:p w14:paraId="7F363D72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八、运维服务与保障机制</w:t>
      </w:r>
    </w:p>
    <w:p w14:paraId="7711326F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建议围绕系统长期运行建立“日常巡检、故障响应、专项保障、持续升级、培训支撑”五位一体服务机制。</w:t>
      </w:r>
    </w:p>
    <w:p w14:paraId="7C9DA78C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（一）日常巡检机制</w:t>
      </w:r>
    </w:p>
    <w:p w14:paraId="0ACEA7C7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每日检查平台运行状态、关键服务状态、告警推送状态、设备在线率和异常波动情况。</w:t>
      </w:r>
    </w:p>
    <w:p w14:paraId="60D51AC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每周检查重点风险点数据连续性、典型异常、工单闭环情况和硬件离线情况。</w:t>
      </w:r>
    </w:p>
    <w:p w14:paraId="4700F2C0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每月形成巡检报告，梳理设备健康、系统运行、问题整改和优化建议。</w:t>
      </w:r>
    </w:p>
    <w:p w14:paraId="3A676009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每季度对系统运行质量、设备维护质量、业务使用情况和升级需求进行综合评估。</w:t>
      </w:r>
    </w:p>
    <w:p w14:paraId="69F71DE2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（二）故障响应机制</w:t>
      </w:r>
    </w:p>
    <w:p w14:paraId="1B171A87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建议按故障等级建立响应机制：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5A16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  <w:vAlign w:val="center"/>
          </w:tcPr>
          <w:p w14:paraId="146EA09A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2"/>
              </w:rPr>
              <w:t>故障等级</w:t>
            </w:r>
          </w:p>
        </w:tc>
        <w:tc>
          <w:tcPr>
            <w:tcW w:w="3041" w:type="dxa"/>
            <w:vAlign w:val="center"/>
          </w:tcPr>
          <w:p w14:paraId="70CA415C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2"/>
              </w:rPr>
              <w:t>典型场景</w:t>
            </w:r>
          </w:p>
        </w:tc>
        <w:tc>
          <w:tcPr>
            <w:tcW w:w="3041" w:type="dxa"/>
            <w:vAlign w:val="center"/>
          </w:tcPr>
          <w:p w14:paraId="16B3B412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2"/>
              </w:rPr>
              <w:t>响应要求</w:t>
            </w:r>
          </w:p>
        </w:tc>
      </w:tr>
      <w:tr w14:paraId="13CE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  <w:vAlign w:val="center"/>
          </w:tcPr>
          <w:p w14:paraId="200F7FB5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一级重大故障</w:t>
            </w:r>
          </w:p>
        </w:tc>
        <w:tc>
          <w:tcPr>
            <w:tcW w:w="3041" w:type="dxa"/>
            <w:vAlign w:val="center"/>
          </w:tcPr>
          <w:p w14:paraId="68A5941F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平台整体不可用、核心预警中断、关键业务无法开展</w:t>
            </w:r>
          </w:p>
        </w:tc>
        <w:tc>
          <w:tcPr>
            <w:tcW w:w="3041" w:type="dxa"/>
            <w:vAlign w:val="center"/>
          </w:tcPr>
          <w:p w14:paraId="77719CCE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30 分钟内响应，立即组织处置，持续跟踪至恢复</w:t>
            </w:r>
          </w:p>
        </w:tc>
      </w:tr>
      <w:tr w14:paraId="2689D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  <w:vAlign w:val="center"/>
          </w:tcPr>
          <w:p w14:paraId="1332038E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二级重要故障</w:t>
            </w:r>
          </w:p>
        </w:tc>
        <w:tc>
          <w:tcPr>
            <w:tcW w:w="3041" w:type="dxa"/>
            <w:vAlign w:val="center"/>
          </w:tcPr>
          <w:p w14:paraId="2C0A2DF7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核心模块异常、重要路段数据中断、批量设备离线</w:t>
            </w:r>
          </w:p>
        </w:tc>
        <w:tc>
          <w:tcPr>
            <w:tcW w:w="3041" w:type="dxa"/>
            <w:vAlign w:val="center"/>
          </w:tcPr>
          <w:p w14:paraId="61E7187D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1 小时内响应，提出处理方案并组织修复</w:t>
            </w:r>
          </w:p>
        </w:tc>
      </w:tr>
      <w:tr w14:paraId="35D0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  <w:vAlign w:val="center"/>
          </w:tcPr>
          <w:p w14:paraId="3A5F83B7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三级一般故障</w:t>
            </w:r>
          </w:p>
        </w:tc>
        <w:tc>
          <w:tcPr>
            <w:tcW w:w="3041" w:type="dxa"/>
            <w:vAlign w:val="center"/>
          </w:tcPr>
          <w:p w14:paraId="5521EA60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单模块异常、部分点位异常、个别接口异常</w:t>
            </w:r>
          </w:p>
        </w:tc>
        <w:tc>
          <w:tcPr>
            <w:tcW w:w="3041" w:type="dxa"/>
            <w:vAlign w:val="center"/>
          </w:tcPr>
          <w:p w14:paraId="60693A6D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2 小时内响应，当日完成处置或明确整改计划</w:t>
            </w:r>
          </w:p>
        </w:tc>
      </w:tr>
      <w:tr w14:paraId="549E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  <w:vAlign w:val="center"/>
          </w:tcPr>
          <w:p w14:paraId="54A61B47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四级咨询优化</w:t>
            </w:r>
          </w:p>
        </w:tc>
        <w:tc>
          <w:tcPr>
            <w:tcW w:w="3041" w:type="dxa"/>
            <w:vAlign w:val="center"/>
          </w:tcPr>
          <w:p w14:paraId="78E86F09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使用咨询、配置调整、体验优化建议</w:t>
            </w:r>
          </w:p>
        </w:tc>
        <w:tc>
          <w:tcPr>
            <w:tcW w:w="3041" w:type="dxa"/>
            <w:vAlign w:val="center"/>
          </w:tcPr>
          <w:p w14:paraId="71C772D9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1 个工作日内反馈处理意见</w:t>
            </w:r>
          </w:p>
        </w:tc>
      </w:tr>
    </w:tbl>
    <w:p w14:paraId="698EE086">
      <w:pPr>
        <w:rPr>
          <w:rFonts w:hint="eastAsia" w:ascii="仿宋_GB2312" w:hAnsi="仿宋_GB2312" w:eastAsia="仿宋_GB2312" w:cs="仿宋_GB2312"/>
        </w:rPr>
      </w:pPr>
    </w:p>
    <w:p w14:paraId="2A920D3D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（三）专项保障机制</w:t>
      </w:r>
    </w:p>
    <w:p w14:paraId="47D41501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针对汛期、恶劣天气、重大活动、专项检查等重点时段，建议建立专项保障机制：</w:t>
      </w:r>
    </w:p>
    <w:p w14:paraId="064E6F33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提前开展系统、设备、网络和预警链路专项检查。</w:t>
      </w:r>
    </w:p>
    <w:p w14:paraId="5EE5E4D9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提前核查重点风险点和重点监测设备运行状态。</w:t>
      </w:r>
    </w:p>
    <w:p w14:paraId="24B09FDC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实施专项值守和快速响应。</w:t>
      </w:r>
    </w:p>
    <w:p w14:paraId="51B6859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形成专项保障记录和阶段总结。</w:t>
      </w:r>
    </w:p>
    <w:p w14:paraId="4F2C16D9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（四）版本升级机制</w:t>
      </w:r>
    </w:p>
    <w:p w14:paraId="061247DE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建议建立稳定可控的版本升级机制：</w:t>
      </w:r>
    </w:p>
    <w:p w14:paraId="0DA133AB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常规优化按季度组织实施。</w:t>
      </w:r>
    </w:p>
    <w:p w14:paraId="073F24FC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重要业务升级按专题组织实施。</w:t>
      </w:r>
    </w:p>
    <w:p w14:paraId="50CC8834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紧急修复按问题等级快速处理。</w:t>
      </w:r>
    </w:p>
    <w:p w14:paraId="6841977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每次升级均须完成升级前评估、升级中控制、升级后验证和升级后留痕。</w:t>
      </w:r>
    </w:p>
    <w:p w14:paraId="6C65841B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（五）培训服务机制</w:t>
      </w:r>
    </w:p>
    <w:p w14:paraId="2C08F063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建议按角色开展分类培训：</w:t>
      </w:r>
    </w:p>
    <w:p w14:paraId="65FB1BDF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管理层培训，重点讲系统价值、决策看板、考核指标和督办机制。</w:t>
      </w:r>
    </w:p>
    <w:p w14:paraId="7CA3CED5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业务人员培训，重点讲监测查看、告警处置、事件反馈和日常使用。</w:t>
      </w:r>
    </w:p>
    <w:p w14:paraId="0F823322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运维人员培训，重点讲巡检、排障、设备维护协同和问题上报。</w:t>
      </w:r>
    </w:p>
    <w:p w14:paraId="4E6FE2B6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管理员培训，重点讲权限配置、基础数据维护、通知配置和系统治理。</w:t>
      </w:r>
    </w:p>
    <w:p w14:paraId="35937F41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九、硬件协同维护机制</w:t>
      </w:r>
    </w:p>
    <w:p w14:paraId="7B55F383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为保证软件平台建设成效真正落实到现场，建议将硬件协同维护纳入项目整体实施范围，形成“平台发现问题、现场及时处置、结果同步回流”的协同机制。</w:t>
      </w:r>
    </w:p>
    <w:p w14:paraId="1E6F5980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重点包括：</w:t>
      </w:r>
    </w:p>
    <w:p w14:paraId="6503F27E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建立设备台账协同机制，对设备编码、安装位置、所属风险点、责任单位和维护记录进行统一管理。</w:t>
      </w:r>
    </w:p>
    <w:p w14:paraId="450EEF78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建立在线率协同机制，以平台在线状态和现场巡检结果双向核验设备运行状况。</w:t>
      </w:r>
    </w:p>
    <w:p w14:paraId="468A1716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建立故障处置协同机制，对离线、断电、通讯异常、采集异常和漂移异常等情况形成维护闭环。</w:t>
      </w:r>
    </w:p>
    <w:p w14:paraId="2D5F7DAA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建立更换恢复协同机制，对设备更换、恢复、复测、重新建档和重新绑定形成标准流程。</w:t>
      </w:r>
    </w:p>
    <w:p w14:paraId="2B46746A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建立备件和维护计划协同机制，对关键设备和易损部件提前做好维护安排。</w:t>
      </w:r>
    </w:p>
    <w:p w14:paraId="424754D2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十、项目实施后的综合效益</w:t>
      </w:r>
    </w:p>
    <w:p w14:paraId="48EB88BA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本项目实施后，预期将取得以下综合效益：</w:t>
      </w:r>
    </w:p>
    <w:p w14:paraId="0680369B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（一）管理效益</w:t>
      </w:r>
    </w:p>
    <w:p w14:paraId="7AEB015B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管理层能够更加直观掌握重点路段、重点风险点和重点设备运行状况。</w:t>
      </w:r>
    </w:p>
    <w:p w14:paraId="2D90E1F4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业主单位能够及时掌握告警数量、事件进度、工单闭环效率和运维成效。</w:t>
      </w:r>
    </w:p>
    <w:p w14:paraId="3CE5ED2F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系统建设成果、维护成果和使用成效能够实现统一归集和持续考核。</w:t>
      </w:r>
    </w:p>
    <w:p w14:paraId="2D92F2E1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（二）业务效益</w:t>
      </w:r>
    </w:p>
    <w:p w14:paraId="52CBFB01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监测、预警、处置、反馈工作可在同一平台完成，业务协同更加顺畅。</w:t>
      </w:r>
    </w:p>
    <w:p w14:paraId="5E9678B9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风险点、设备、策略、预案和责任单位能够统一关联，管理更加清晰。</w:t>
      </w:r>
    </w:p>
    <w:p w14:paraId="0EB36ADC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告警和事件处置全过程可留痕、可督办、可复盘，业务闭环更加扎实。</w:t>
      </w:r>
    </w:p>
    <w:p w14:paraId="372340F4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（三）运维效益</w:t>
      </w:r>
    </w:p>
    <w:p w14:paraId="4B6D3CE8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通过在线监测、链路追踪、异常归档和运行告警，降低被动排障比例。</w:t>
      </w:r>
    </w:p>
    <w:p w14:paraId="536E9698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通过巡检、报表、趋势和日志分析，提升问题发现和预防能力。</w:t>
      </w:r>
    </w:p>
    <w:p w14:paraId="5CD8B4DF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通过软件与硬件协同维护，提升设备完好率、在线率和数据有效率。</w:t>
      </w:r>
    </w:p>
    <w:p w14:paraId="0AF0C90E">
      <w:pPr>
        <w:pStyle w:val="5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（四）安全保障效益</w:t>
      </w:r>
    </w:p>
    <w:p w14:paraId="50BBC24D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重要风险能够更早发现、更快响应。</w:t>
      </w:r>
    </w:p>
    <w:p w14:paraId="76B3AF3D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处置过程更加规范，责任链条更加清晰。</w:t>
      </w:r>
    </w:p>
    <w:p w14:paraId="0DD7C989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重大事件和异常问题能够形成全过程复盘，为持续改进提供依据。</w:t>
      </w:r>
    </w:p>
    <w:p w14:paraId="310F4553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十一、风险分析与控制措施</w:t>
      </w:r>
    </w:p>
    <w:p w14:paraId="2854F5CB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为确保项目实施和运行平稳推进，建议重点关注以下风险并采取相应控制措施：</w:t>
      </w:r>
    </w:p>
    <w:p w14:paraId="367636B4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对软件升级影响现网运行的风险，采取分阶段升级、升级前演练、升级后回归验证和必要回退预案。</w:t>
      </w:r>
    </w:p>
    <w:p w14:paraId="67A7E09D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对数据质量不稳定影响预警准确性的风险，强化设备治理、字段治理、异常监测和数据校核机制。</w:t>
      </w:r>
    </w:p>
    <w:p w14:paraId="223BB598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对硬件故障导致系统感知失真的风险，强化在线监测、离线告警、巡检协同和设备更换机制。</w:t>
      </w:r>
    </w:p>
    <w:p w14:paraId="119D1B4A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对运维力量不足导致问题积压的风险，强化服务分级、故障响应、巡检制度和月度问题复盘机制。</w:t>
      </w:r>
    </w:p>
    <w:p w14:paraId="039856E6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对人员使用不熟悉影响系统效果的风险，强化分类培训、操作手册和常见问题支撑。</w:t>
      </w:r>
    </w:p>
    <w:p w14:paraId="41CFDBAB">
      <w:pPr>
        <w:pStyle w:val="14"/>
        <w:spacing w:after="60"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对系统建设与业务需求脱节的风险，坚持业务牵引和持续优化，结合业主单位管理要求动态完善。</w:t>
      </w:r>
    </w:p>
    <w:p w14:paraId="51A30249">
      <w:pPr>
        <w:pStyle w:val="4"/>
        <w:spacing w:before="1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十二、报批建议</w:t>
      </w:r>
    </w:p>
    <w:p w14:paraId="382539E9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综合现有建设基础、业务管理需要和长期运行保障要求，本项目具备明确的建设必要性、较好的实施基础和显著的业务价值。建议将“高速公路风险监测预警处置系统软件升级和维护建设”作为业主单位提升风险防控能力、运维保障能力和管理决策能力的重要工作统筹推进。</w:t>
      </w:r>
    </w:p>
    <w:p w14:paraId="04082B06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议批复按照“软件平台升级、软件运行维护、硬件协同维护、数据治理保障、运维服务支撑”五位一体模式组织实施，并同步建立阶段验收、运行考核、巡检报告、月度复盘和年度升级机制，确保项目建设成果真正服务于高速公路风险监测预警处置业务，形成可落地、可运行、可持续的长效支撑体系。</w:t>
      </w:r>
    </w:p>
    <w:p w14:paraId="17A36873">
      <w:pPr>
        <w:spacing w:after="120" w:line="360" w:lineRule="auto"/>
        <w:ind w:firstLine="4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以上方案，提请审议。</w:t>
      </w:r>
    </w:p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?????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A650B0"/>
    <w:rsid w:val="124F46F3"/>
    <w:rsid w:val="13906D71"/>
    <w:rsid w:val="175E2CE2"/>
    <w:rsid w:val="17712A16"/>
    <w:rsid w:val="1D1174A6"/>
    <w:rsid w:val="211C7E96"/>
    <w:rsid w:val="23F01166"/>
    <w:rsid w:val="2DC84F02"/>
    <w:rsid w:val="2EC15BD9"/>
    <w:rsid w:val="32F56799"/>
    <w:rsid w:val="3652180C"/>
    <w:rsid w:val="37357164"/>
    <w:rsid w:val="394F0285"/>
    <w:rsid w:val="424A1F26"/>
    <w:rsid w:val="43CC70A2"/>
    <w:rsid w:val="46FD7572"/>
    <w:rsid w:val="48D12A65"/>
    <w:rsid w:val="4CCC3C6F"/>
    <w:rsid w:val="5435566B"/>
    <w:rsid w:val="576B22D6"/>
    <w:rsid w:val="58AB32D2"/>
    <w:rsid w:val="593E7CA2"/>
    <w:rsid w:val="5A4532B2"/>
    <w:rsid w:val="5BDE39BF"/>
    <w:rsid w:val="63402869"/>
    <w:rsid w:val="635D78BF"/>
    <w:rsid w:val="685F3791"/>
    <w:rsid w:val="6CCE0EE6"/>
    <w:rsid w:val="6FE74798"/>
    <w:rsid w:val="74561EEC"/>
    <w:rsid w:val="77CD4BBB"/>
    <w:rsid w:val="796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??" w:hAnsi="??" w:eastAsia="??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4496</Words>
  <Characters>4637</Characters>
  <Lines>0</Lines>
  <Paragraphs>0</Paragraphs>
  <TotalTime>2</TotalTime>
  <ScaleCrop>false</ScaleCrop>
  <LinksUpToDate>false</LinksUpToDate>
  <CharactersWithSpaces>4650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任小斌</cp:lastModifiedBy>
  <dcterms:modified xsi:type="dcterms:W3CDTF">2026-04-10T06:31:24Z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eyJoZGlkIjoiZTJjOWM5NTdkZjBiZjQzNzI1OTlmNDJmZWRhM2M3Y2YiLCJ1c2VySWQiOiIxNjQ1NDgxNjExIn0=</vt:lpwstr>
  </property>
  <property fmtid="{D5CDD505-2E9C-101B-9397-08002B2CF9AE}" pid="3" name="KSOProductBuildVer">
    <vt:lpwstr>2052-12.1.0.23542</vt:lpwstr>
  </property>
  <property fmtid="{D5CDD505-2E9C-101B-9397-08002B2CF9AE}" pid="4" name="ICV">
    <vt:lpwstr>D51F03A3370E42F9AA094107D0E5DB64_12</vt:lpwstr>
  </property>
</Properties>
</file>