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360" w:lineRule="auto" w:before="0" w:after="240"/>
        <w:jc w:val="center"/>
      </w:pPr>
      <w:r>
        <w:rPr>
          <w:rFonts w:ascii="???????" w:hAnsi="???????" w:eastAsia="???????" w:cs="???????"/>
          <w:b w:val="0"/>
          <w:sz w:val="44"/>
        </w:rPr>
        <w:t>高速公路风险监测预警处置平台优化升级及首年运行保障建设方案（业主报批稿）</w:t>
      </w:r>
    </w:p>
    <w:p>
      <w:pPr>
        <w:spacing w:line="360" w:lineRule="auto" w:before="0" w:after="240"/>
        <w:jc w:val="center"/>
      </w:pPr>
      <w:r>
        <w:rPr>
          <w:rFonts w:ascii="??_GB2312" w:hAnsi="??_GB2312" w:eastAsia="??_GB2312" w:cs="??_GB2312"/>
          <w:b w:val="0"/>
          <w:sz w:val="32"/>
        </w:rPr>
        <w:t>???????</w:t>
      </w:r>
    </w:p>
    <w:p/>
    <w:p/>
    <w:p/>
    <w:p/>
    <w:p/>
    <w:p/>
    <w:p/>
    <w:p/>
    <w:p/>
    <w:p/>
    <w:p/>
    <w:p/>
    <w:p>
      <w:pPr>
        <w:spacing w:line="360" w:lineRule="auto" w:before="0" w:after="0"/>
        <w:jc w:val="center"/>
      </w:pPr>
      <w:r>
        <w:rPr>
          <w:rFonts w:ascii="??_GB2312" w:hAnsi="??_GB2312" w:eastAsia="??_GB2312" w:cs="??_GB2312"/>
          <w:b w:val="0"/>
          <w:sz w:val="32"/>
        </w:rPr>
        <w:t>???????</w:t>
      </w:r>
    </w:p>
    <w:p>
      <w:pPr>
        <w:sectPr>
          <w:pgSz w:w="11906" w:h="16838"/>
          <w:pgMar w:top="1701" w:right="1474" w:bottom="1417" w:left="1587" w:header="850" w:footer="850" w:gutter="0"/>
          <w:cols w:space="720"/>
          <w:docGrid w:linePitch="360"/>
        </w:sectPr>
      </w:pPr>
    </w:p>
    <w:p>
      <w:pPr>
        <w:spacing w:line="360" w:lineRule="auto" w:before="0" w:after="240"/>
        <w:jc w:val="center"/>
      </w:pPr>
      <w:r>
        <w:rPr>
          <w:rFonts w:ascii="???????" w:hAnsi="???????" w:eastAsia="???????" w:cs="???????"/>
          <w:b w:val="0"/>
          <w:sz w:val="36"/>
        </w:rPr>
        <w:t>高速公路风险监测预警处置平台优化升级及首年运行保障建设方案（业主报批稿）</w:t>
      </w:r>
    </w:p>
    <w:p>
      <w:pPr>
        <w:spacing w:line="360" w:lineRule="auto" w:before="0" w:after="240"/>
        <w:jc w:val="center"/>
      </w:pPr>
      <w:r>
        <w:rPr>
          <w:rFonts w:ascii="??_GB2312" w:hAnsi="??_GB2312" w:eastAsia="??_GB2312" w:cs="??_GB2312"/>
          <w:b w:val="0"/>
          <w:sz w:val="30"/>
        </w:rPr>
        <w:t>???????</w:t>
      </w:r>
    </w:p>
    <w:p>
      <w:pPr>
        <w:spacing w:line="360" w:lineRule="auto" w:before="0" w:after="0"/>
        <w:ind w:firstLine="640"/>
        <w:jc w:val="both"/>
      </w:pPr>
      <w:r>
        <w:rPr>
          <w:rFonts w:ascii="??_GB2312" w:hAnsi="??_GB2312" w:eastAsia="??_GB2312" w:cs="??_GB2312"/>
          <w:b w:val="0"/>
          <w:sz w:val="32"/>
        </w:rPr>
        <w:t>为进一步提升高速公路重点路段、重点边坡、桥隧结构、预警设施和关联监测设备的风险感知、预警响应、处置协同和运维保障能力，推动现有风险监测预警系统由 1.0 阶段的“基础应用”向“平台化、闭环化、稳定化、可持续运行”升级，现结合 1.0 版本系统设计情况、当前已建成平台能力和业主单位管理需要，提出本建设方案。</w:t>
      </w:r>
    </w:p>
    <w:p>
      <w:pPr>
        <w:spacing w:line="360" w:lineRule="auto" w:before="0" w:after="0"/>
        <w:ind w:firstLine="640"/>
        <w:jc w:val="both"/>
      </w:pPr>
      <w:r>
        <w:rPr>
          <w:rFonts w:ascii="??_GB2312" w:hAnsi="??_GB2312" w:eastAsia="??_GB2312" w:cs="??_GB2312"/>
          <w:b w:val="0"/>
          <w:sz w:val="32"/>
        </w:rPr>
        <w:t>本方案按照“现有基础整合提升、重点能力补强、首年运行保障同步建设、后续年度运维机制提前明确”的思路编制，既强调现有系统建设成果，也强调本次优化升级的必要投入和后续长期运行保障要求，可作为项目审议、投资测算、实施组织、验收考核和后续维护采购的依据。</w:t>
      </w:r>
    </w:p>
    <w:p>
      <w:pPr>
        <w:spacing w:line="360" w:lineRule="auto" w:before="120" w:after="120"/>
        <w:jc w:val="left"/>
      </w:pPr>
      <w:r>
        <w:rPr>
          <w:rFonts w:ascii="??" w:hAnsi="??" w:eastAsia="??" w:cs="??"/>
          <w:b/>
          <w:sz w:val="32"/>
        </w:rPr>
        <w:t>一、项目概况与现有建设基础</w:t>
      </w:r>
    </w:p>
    <w:p>
      <w:pPr>
        <w:spacing w:line="360" w:lineRule="auto" w:before="60" w:after="60"/>
        <w:jc w:val="left"/>
      </w:pPr>
      <w:r>
        <w:rPr>
          <w:rFonts w:ascii="??_GB2312" w:hAnsi="??_GB2312" w:eastAsia="??_GB2312" w:cs="??_GB2312"/>
          <w:b/>
          <w:sz w:val="32"/>
        </w:rPr>
        <w:t>（一）1.0 版本系统建设情况</w:t>
      </w:r>
    </w:p>
    <w:p>
      <w:pPr>
        <w:spacing w:line="360" w:lineRule="auto" w:before="0" w:after="0"/>
        <w:ind w:firstLine="640"/>
        <w:jc w:val="both"/>
      </w:pPr>
      <w:r>
        <w:rPr>
          <w:rFonts w:ascii="??_GB2312" w:hAnsi="??_GB2312" w:eastAsia="??_GB2312" w:cs="??_GB2312"/>
          <w:b w:val="0"/>
          <w:sz w:val="32"/>
        </w:rPr>
        <w:t>根据现有 1.0 版本系统设计资料，高速公路风险监测预警系统已在甘肃省公航旅集团重点场景投入应用，覆盖 9 条国家高速、1 条国道、2 条省级高速，共计 12 条公路、65 处风险点，其中桥梁 8 处、隧道 6 处、边坡 51 处。系统已具备一定的风险监测、预警提示和处置支撑基础，是当前病害路段和重点结构安全管理的重要技术支撑平台。</w:t>
      </w:r>
    </w:p>
    <w:p>
      <w:pPr>
        <w:spacing w:line="360" w:lineRule="auto" w:before="0" w:after="0"/>
        <w:ind w:firstLine="640"/>
        <w:jc w:val="both"/>
      </w:pPr>
      <w:r>
        <w:rPr>
          <w:rFonts w:ascii="??_GB2312" w:hAnsi="??_GB2312" w:eastAsia="??_GB2312" w:cs="??_GB2312"/>
          <w:b w:val="0"/>
          <w:sz w:val="32"/>
        </w:rPr>
        <w:t>1.0 版本已形成的业务功能，主要包括：</w:t>
      </w:r>
    </w:p>
    <w:p>
      <w:pPr>
        <w:spacing w:line="360" w:lineRule="auto" w:before="0" w:after="0"/>
        <w:ind w:left="0"/>
        <w:jc w:val="both"/>
      </w:pPr>
      <w:r>
        <w:rPr>
          <w:rFonts w:ascii="??_GB2312" w:hAnsi="??_GB2312" w:eastAsia="??_GB2312" w:cs="??_GB2312"/>
          <w:b w:val="0"/>
          <w:sz w:val="32"/>
        </w:rPr>
        <w:t>1. 数字看板与首页预警提示。</w:t>
      </w:r>
    </w:p>
    <w:p>
      <w:pPr>
        <w:spacing w:line="360" w:lineRule="auto" w:before="0" w:after="0"/>
        <w:ind w:left="0"/>
        <w:jc w:val="both"/>
      </w:pPr>
      <w:r>
        <w:rPr>
          <w:rFonts w:ascii="??_GB2312" w:hAnsi="??_GB2312" w:eastAsia="??_GB2312" w:cs="??_GB2312"/>
          <w:b w:val="0"/>
          <w:sz w:val="32"/>
        </w:rPr>
        <w:t>2. 项目管理与基础管控。</w:t>
      </w:r>
    </w:p>
    <w:p>
      <w:pPr>
        <w:spacing w:line="360" w:lineRule="auto" w:before="0" w:after="0"/>
        <w:ind w:left="0"/>
        <w:jc w:val="both"/>
      </w:pPr>
      <w:r>
        <w:rPr>
          <w:rFonts w:ascii="??_GB2312" w:hAnsi="??_GB2312" w:eastAsia="??_GB2312" w:cs="??_GB2312"/>
          <w:b w:val="0"/>
          <w:sz w:val="32"/>
        </w:rPr>
        <w:t>3. 预警管理、预警触发、预警处置和手工录入。</w:t>
      </w:r>
    </w:p>
    <w:p>
      <w:pPr>
        <w:spacing w:line="360" w:lineRule="auto" w:before="0" w:after="0"/>
        <w:ind w:left="0"/>
        <w:jc w:val="both"/>
      </w:pPr>
      <w:r>
        <w:rPr>
          <w:rFonts w:ascii="??_GB2312" w:hAnsi="??_GB2312" w:eastAsia="??_GB2312" w:cs="??_GB2312"/>
          <w:b w:val="0"/>
          <w:sz w:val="32"/>
        </w:rPr>
        <w:t>4. 设备管理、阈值设置、数据分析、视频监控和设备调试。</w:t>
      </w:r>
    </w:p>
    <w:p>
      <w:pPr>
        <w:spacing w:line="360" w:lineRule="auto" w:before="0" w:after="0"/>
        <w:ind w:left="0"/>
        <w:jc w:val="both"/>
      </w:pPr>
      <w:r>
        <w:rPr>
          <w:rFonts w:ascii="??_GB2312" w:hAnsi="??_GB2312" w:eastAsia="??_GB2312" w:cs="??_GB2312"/>
          <w:b w:val="0"/>
          <w:sz w:val="32"/>
        </w:rPr>
        <w:t>5. 供应商管理、系统管理、日志管理。</w:t>
      </w:r>
    </w:p>
    <w:p>
      <w:pPr>
        <w:spacing w:line="360" w:lineRule="auto" w:before="0" w:after="0"/>
        <w:ind w:left="0"/>
        <w:jc w:val="both"/>
      </w:pPr>
      <w:r>
        <w:rPr>
          <w:rFonts w:ascii="??_GB2312" w:hAnsi="??_GB2312" w:eastAsia="??_GB2312" w:cs="??_GB2312"/>
          <w:b w:val="0"/>
          <w:sz w:val="32"/>
        </w:rPr>
        <w:t>6. 网关组件、数据解析、数据传输存储、加解密处理。</w:t>
      </w:r>
    </w:p>
    <w:p>
      <w:pPr>
        <w:spacing w:line="360" w:lineRule="auto" w:before="0" w:after="0"/>
        <w:ind w:firstLine="640"/>
        <w:jc w:val="both"/>
      </w:pPr>
      <w:r>
        <w:rPr>
          <w:rFonts w:ascii="??_GB2312" w:hAnsi="??_GB2312" w:eastAsia="??_GB2312" w:cs="??_GB2312"/>
          <w:b w:val="0"/>
          <w:sz w:val="32"/>
        </w:rPr>
        <w:t>1.0 版本还提出了后续升级方向，包括：</w:t>
      </w:r>
    </w:p>
    <w:p>
      <w:pPr>
        <w:spacing w:line="360" w:lineRule="auto" w:before="0" w:after="0"/>
        <w:ind w:left="0"/>
        <w:jc w:val="both"/>
      </w:pPr>
      <w:r>
        <w:rPr>
          <w:rFonts w:ascii="??_GB2312" w:hAnsi="??_GB2312" w:eastAsia="??_GB2312" w:cs="??_GB2312"/>
          <w:b w:val="0"/>
          <w:sz w:val="32"/>
        </w:rPr>
        <w:t>1. 数据分析引擎增强。</w:t>
      </w:r>
    </w:p>
    <w:p>
      <w:pPr>
        <w:spacing w:line="360" w:lineRule="auto" w:before="0" w:after="0"/>
        <w:ind w:left="0"/>
        <w:jc w:val="both"/>
      </w:pPr>
      <w:r>
        <w:rPr>
          <w:rFonts w:ascii="??_GB2312" w:hAnsi="??_GB2312" w:eastAsia="??_GB2312" w:cs="??_GB2312"/>
          <w:b w:val="0"/>
          <w:sz w:val="32"/>
        </w:rPr>
        <w:t>2. 综合预警模型优化。</w:t>
      </w:r>
    </w:p>
    <w:p>
      <w:pPr>
        <w:spacing w:line="360" w:lineRule="auto" w:before="0" w:after="0"/>
        <w:ind w:left="0"/>
        <w:jc w:val="both"/>
      </w:pPr>
      <w:r>
        <w:rPr>
          <w:rFonts w:ascii="??_GB2312" w:hAnsi="??_GB2312" w:eastAsia="??_GB2312" w:cs="??_GB2312"/>
          <w:b w:val="0"/>
          <w:sz w:val="32"/>
        </w:rPr>
        <w:t>3. 报告管理模块建设。</w:t>
      </w:r>
    </w:p>
    <w:p>
      <w:pPr>
        <w:spacing w:line="360" w:lineRule="auto" w:before="0" w:after="0"/>
        <w:ind w:left="0"/>
        <w:jc w:val="both"/>
      </w:pPr>
      <w:r>
        <w:rPr>
          <w:rFonts w:ascii="??_GB2312" w:hAnsi="??_GB2312" w:eastAsia="??_GB2312" w:cs="??_GB2312"/>
          <w:b w:val="0"/>
          <w:sz w:val="32"/>
        </w:rPr>
        <w:t>4. 设备运维管理建设。</w:t>
      </w:r>
    </w:p>
    <w:p>
      <w:pPr>
        <w:spacing w:line="360" w:lineRule="auto" w:before="0" w:after="0"/>
        <w:ind w:left="0"/>
        <w:jc w:val="both"/>
      </w:pPr>
      <w:r>
        <w:rPr>
          <w:rFonts w:ascii="??_GB2312" w:hAnsi="??_GB2312" w:eastAsia="??_GB2312" w:cs="??_GB2312"/>
          <w:b w:val="0"/>
          <w:sz w:val="32"/>
        </w:rPr>
        <w:t>5. 人工巡视管理建设。</w:t>
      </w:r>
    </w:p>
    <w:p>
      <w:pPr>
        <w:spacing w:line="360" w:lineRule="auto" w:before="0" w:after="0"/>
        <w:ind w:left="0"/>
        <w:jc w:val="both"/>
      </w:pPr>
      <w:r>
        <w:rPr>
          <w:rFonts w:ascii="??_GB2312" w:hAnsi="??_GB2312" w:eastAsia="??_GB2312" w:cs="??_GB2312"/>
          <w:b w:val="0"/>
          <w:sz w:val="32"/>
        </w:rPr>
        <w:t>6. H5 移动端能力建设。</w:t>
      </w:r>
    </w:p>
    <w:p>
      <w:pPr>
        <w:spacing w:line="360" w:lineRule="auto" w:before="0" w:after="0"/>
        <w:ind w:firstLine="640"/>
        <w:jc w:val="both"/>
      </w:pPr>
      <w:r>
        <w:rPr>
          <w:rFonts w:ascii="??_GB2312" w:hAnsi="??_GB2312" w:eastAsia="??_GB2312" w:cs="??_GB2312"/>
          <w:b w:val="0"/>
          <w:sz w:val="32"/>
        </w:rPr>
        <w:t>上述内容说明，1.0 系统已经覆盖了高速公路风险监测预警处置的核心业务雏形，但在平台化、治理化、稳定运行和持续维护方面，仍需进一步提升。</w:t>
      </w:r>
    </w:p>
    <w:p>
      <w:pPr>
        <w:spacing w:line="360" w:lineRule="auto" w:before="60" w:after="60"/>
        <w:jc w:val="left"/>
      </w:pPr>
      <w:r>
        <w:rPr>
          <w:rFonts w:ascii="??_GB2312" w:hAnsi="??_GB2312" w:eastAsia="??_GB2312" w:cs="??_GB2312"/>
          <w:b/>
          <w:sz w:val="32"/>
        </w:rPr>
        <w:t>（二）现有平台建设情况</w:t>
      </w:r>
    </w:p>
    <w:p>
      <w:pPr>
        <w:spacing w:line="360" w:lineRule="auto" w:before="0" w:after="0"/>
        <w:ind w:firstLine="640"/>
        <w:jc w:val="both"/>
      </w:pPr>
      <w:r>
        <w:rPr>
          <w:rFonts w:ascii="??_GB2312" w:hAnsi="??_GB2312" w:eastAsia="??_GB2312" w:cs="??_GB2312"/>
          <w:b w:val="0"/>
          <w:sz w:val="32"/>
        </w:rPr>
        <w:t>依据当前系统权威文档，现有平台已经由单点系统向统一平台演进，形成了较完整的“设备接入 + 风险运营 + 风险策略 + 平台治理 + 质量工场”五大工作台体系，并已在真实环境基线上形成以下建设成果：</w:t>
      </w:r>
    </w:p>
    <w:p>
      <w:pPr>
        <w:spacing w:line="360" w:lineRule="auto" w:before="0" w:after="0"/>
        <w:ind w:left="0"/>
        <w:jc w:val="both"/>
      </w:pPr>
      <w:r>
        <w:rPr>
          <w:rFonts w:ascii="??_GB2312" w:hAnsi="??_GB2312" w:eastAsia="??_GB2312" w:cs="??_GB2312"/>
          <w:b w:val="0"/>
          <w:sz w:val="32"/>
        </w:rPr>
        <w:t>1. 已形成统一的设备接入能力，支持 HTTP、MQTT 等通道接入，具备固定 Pipeline、协议解析、消息日志、最新属性、在线状态和风险分发能力。</w:t>
      </w:r>
    </w:p>
    <w:p>
      <w:pPr>
        <w:spacing w:line="360" w:lineRule="auto" w:before="0" w:after="0"/>
        <w:ind w:left="0"/>
        <w:jc w:val="both"/>
      </w:pPr>
      <w:r>
        <w:rPr>
          <w:rFonts w:ascii="??_GB2312" w:hAnsi="??_GB2312" w:eastAsia="??_GB2312" w:cs="??_GB2312"/>
          <w:b w:val="0"/>
          <w:sz w:val="32"/>
        </w:rPr>
        <w:t>2. 已形成较完整的风险业务基础，覆盖风险监测、GIS 态势、告警中心、事件处置、风险点管理、阈值规则、联动规则、应急预案和运营分析等能力。</w:t>
      </w:r>
    </w:p>
    <w:p>
      <w:pPr>
        <w:spacing w:line="360" w:lineRule="auto" w:before="0" w:after="0"/>
        <w:ind w:left="0"/>
        <w:jc w:val="both"/>
      </w:pPr>
      <w:r>
        <w:rPr>
          <w:rFonts w:ascii="??_GB2312" w:hAnsi="??_GB2312" w:eastAsia="??_GB2312" w:cs="??_GB2312"/>
          <w:b w:val="0"/>
          <w:sz w:val="32"/>
        </w:rPr>
        <w:t>3. 已形成较完整的平台治理基础，支持组织、用户、角色、权限、区域、字典、通知渠道、审计日志、治理任务、治理运维和治理审批等能力。</w:t>
      </w:r>
    </w:p>
    <w:p>
      <w:pPr>
        <w:spacing w:line="360" w:lineRule="auto" w:before="0" w:after="0"/>
        <w:ind w:left="0"/>
        <w:jc w:val="both"/>
      </w:pPr>
      <w:r>
        <w:rPr>
          <w:rFonts w:ascii="??_GB2312" w:hAnsi="??_GB2312" w:eastAsia="??_GB2312" w:cs="??_GB2312"/>
          <w:b w:val="0"/>
          <w:sz w:val="32"/>
        </w:rPr>
        <w:t>4. 已形成较完整的可追踪能力，支持 TraceId、系统日志、消息追踪、处理时间线、站内消息和外部通知桥接能力。</w:t>
      </w:r>
    </w:p>
    <w:p>
      <w:pPr>
        <w:spacing w:line="360" w:lineRule="auto" w:before="0" w:after="0"/>
        <w:ind w:left="0"/>
        <w:jc w:val="both"/>
      </w:pPr>
      <w:r>
        <w:rPr>
          <w:rFonts w:ascii="??_GB2312" w:hAnsi="??_GB2312" w:eastAsia="??_GB2312" w:cs="??_GB2312"/>
          <w:b w:val="0"/>
          <w:sz w:val="32"/>
        </w:rPr>
        <w:t>5. 已形成真实环境运行与验收基线，具备版本验证、问题定位、证据留痕和运行核验能力。</w:t>
      </w:r>
    </w:p>
    <w:p>
      <w:pPr>
        <w:spacing w:line="360" w:lineRule="auto" w:before="0" w:after="0"/>
        <w:ind w:firstLine="640"/>
        <w:jc w:val="both"/>
      </w:pPr>
      <w:r>
        <w:rPr>
          <w:rFonts w:ascii="??_GB2312" w:hAnsi="??_GB2312" w:eastAsia="??_GB2312" w:cs="??_GB2312"/>
          <w:b w:val="0"/>
          <w:sz w:val="32"/>
        </w:rPr>
        <w:t>上述基础说明，当前系统已具备比 1.0 更强的平台底座、治理能力和稳定性保障条件，为本次优化升级提供了良好基础。</w:t>
      </w:r>
    </w:p>
    <w:p>
      <w:pPr>
        <w:spacing w:line="360" w:lineRule="auto" w:before="60" w:after="60"/>
        <w:jc w:val="left"/>
      </w:pPr>
      <w:r>
        <w:rPr>
          <w:rFonts w:ascii="??_GB2312" w:hAnsi="??_GB2312" w:eastAsia="??_GB2312" w:cs="??_GB2312"/>
          <w:b/>
          <w:sz w:val="32"/>
        </w:rPr>
        <w:t>（三）两套材料的互补关系</w:t>
      </w:r>
    </w:p>
    <w:p>
      <w:pPr>
        <w:spacing w:line="360" w:lineRule="auto" w:before="0" w:after="0"/>
        <w:ind w:firstLine="640"/>
        <w:jc w:val="both"/>
      </w:pPr>
      <w:r>
        <w:rPr>
          <w:rFonts w:ascii="??_GB2312" w:hAnsi="??_GB2312" w:eastAsia="??_GB2312" w:cs="??_GB2312"/>
          <w:b w:val="0"/>
          <w:sz w:val="32"/>
        </w:rPr>
        <w:t>本次方案编制，不是将 1.0 文档和现有报批稿简单叠加，而是按照“互相弥补、相互借鉴、统一收口”的思路进行整合。</w:t>
      </w:r>
    </w:p>
    <w:tbl>
      <w:tblPr>
        <w:tblStyle w:val="TableGrid"/>
        <w:tblW w:type="auto" w:w="0"/>
        <w:jc w:val="center"/>
        <w:tblLayout w:type="autofit"/>
        <w:tblLook w:firstColumn="1" w:firstRow="1" w:lastColumn="0" w:lastRow="0" w:noHBand="0" w:noVBand="1" w:val="04A0"/>
      </w:tblPr>
      <w:tblGrid>
        <w:gridCol w:w="2948"/>
        <w:gridCol w:w="2948"/>
        <w:gridCol w:w="2948"/>
      </w:tblGrid>
      <w:tr>
        <w:tc>
          <w:tcPr>
            <w:tcW w:type="dxa" w:w="2948"/>
            <w:vAlign w:val="center"/>
          </w:tcPr>
          <w:p>
            <w:pPr>
              <w:spacing w:line="240" w:lineRule="auto" w:before="0" w:after="0"/>
              <w:jc w:val="center"/>
            </w:pPr>
            <w:r/>
            <w:r>
              <w:rPr>
                <w:rFonts w:ascii="??" w:hAnsi="??" w:eastAsia="??" w:cs="??"/>
                <w:b/>
                <w:sz w:val="24"/>
              </w:rPr>
              <w:t>来源</w:t>
            </w:r>
          </w:p>
        </w:tc>
        <w:tc>
          <w:tcPr>
            <w:tcW w:type="dxa" w:w="2948"/>
            <w:vAlign w:val="center"/>
          </w:tcPr>
          <w:p>
            <w:pPr>
              <w:spacing w:line="240" w:lineRule="auto" w:before="0" w:after="0"/>
              <w:jc w:val="center"/>
            </w:pPr>
            <w:r/>
            <w:r>
              <w:rPr>
                <w:rFonts w:ascii="??" w:hAnsi="??" w:eastAsia="??" w:cs="??"/>
                <w:b/>
                <w:sz w:val="24"/>
              </w:rPr>
              <w:t>优势内容</w:t>
            </w:r>
          </w:p>
        </w:tc>
        <w:tc>
          <w:tcPr>
            <w:tcW w:type="dxa" w:w="2948"/>
            <w:vAlign w:val="center"/>
          </w:tcPr>
          <w:p>
            <w:pPr>
              <w:spacing w:line="240" w:lineRule="auto" w:before="0" w:after="0"/>
              <w:jc w:val="center"/>
            </w:pPr>
            <w:r/>
            <w:r>
              <w:rPr>
                <w:rFonts w:ascii="??" w:hAnsi="??" w:eastAsia="??" w:cs="??"/>
                <w:b/>
                <w:sz w:val="24"/>
              </w:rPr>
              <w:t>本次整合方式</w:t>
            </w:r>
          </w:p>
        </w:tc>
      </w:tr>
      <w:tr>
        <w:tc>
          <w:tcPr>
            <w:tcW w:type="dxa" w:w="2948"/>
            <w:vAlign w:val="center"/>
          </w:tcPr>
          <w:p>
            <w:pPr>
              <w:spacing w:line="240" w:lineRule="auto" w:before="0" w:after="0"/>
              <w:jc w:val="center"/>
            </w:pPr>
            <w:r/>
            <w:r>
              <w:rPr>
                <w:rFonts w:ascii="??_GB2312" w:hAnsi="??_GB2312" w:eastAsia="??_GB2312" w:cs="??_GB2312"/>
                <w:b w:val="0"/>
                <w:sz w:val="24"/>
              </w:rPr>
              <w:t>1.0 版本系统设计资料</w:t>
            </w:r>
          </w:p>
        </w:tc>
        <w:tc>
          <w:tcPr>
            <w:tcW w:type="dxa" w:w="2948"/>
            <w:vAlign w:val="center"/>
          </w:tcPr>
          <w:p>
            <w:pPr>
              <w:spacing w:line="240" w:lineRule="auto" w:before="0" w:after="0"/>
              <w:jc w:val="center"/>
            </w:pPr>
            <w:r/>
            <w:r>
              <w:rPr>
                <w:rFonts w:ascii="??_GB2312" w:hAnsi="??_GB2312" w:eastAsia="??_GB2312" w:cs="??_GB2312"/>
                <w:b w:val="0"/>
                <w:sz w:val="24"/>
              </w:rPr>
              <w:t>场景覆盖范围清晰，维护目标、人员配置、故障分级、服务承诺、交付物描述完整</w:t>
            </w:r>
          </w:p>
        </w:tc>
        <w:tc>
          <w:tcPr>
            <w:tcW w:type="dxa" w:w="2948"/>
            <w:vAlign w:val="center"/>
          </w:tcPr>
          <w:p>
            <w:pPr>
              <w:spacing w:line="240" w:lineRule="auto" w:before="0" w:after="0"/>
              <w:jc w:val="center"/>
            </w:pPr>
            <w:r/>
            <w:r>
              <w:rPr>
                <w:rFonts w:ascii="??_GB2312" w:hAnsi="??_GB2312" w:eastAsia="??_GB2312" w:cs="??_GB2312"/>
                <w:b w:val="0"/>
                <w:sz w:val="24"/>
              </w:rPr>
              <w:t>作为本次方案中“业务场景规模、维护服务体系、人员机制、响应机制、交付机制”的主要依据</w:t>
            </w:r>
          </w:p>
        </w:tc>
      </w:tr>
      <w:tr>
        <w:tc>
          <w:tcPr>
            <w:tcW w:type="dxa" w:w="2948"/>
            <w:vAlign w:val="center"/>
          </w:tcPr>
          <w:p>
            <w:pPr>
              <w:spacing w:line="240" w:lineRule="auto" w:before="0" w:after="0"/>
              <w:jc w:val="center"/>
            </w:pPr>
            <w:r/>
            <w:r>
              <w:rPr>
                <w:rFonts w:ascii="??_GB2312" w:hAnsi="??_GB2312" w:eastAsia="??_GB2312" w:cs="??_GB2312"/>
                <w:b w:val="0"/>
                <w:sz w:val="24"/>
              </w:rPr>
              <w:t>现有平台报批稿与权威文档</w:t>
            </w:r>
          </w:p>
        </w:tc>
        <w:tc>
          <w:tcPr>
            <w:tcW w:type="dxa" w:w="2948"/>
            <w:vAlign w:val="center"/>
          </w:tcPr>
          <w:p>
            <w:pPr>
              <w:spacing w:line="240" w:lineRule="auto" w:before="0" w:after="0"/>
              <w:jc w:val="center"/>
            </w:pPr>
            <w:r/>
            <w:r>
              <w:rPr>
                <w:rFonts w:ascii="??_GB2312" w:hAnsi="??_GB2312" w:eastAsia="??_GB2312" w:cs="??_GB2312"/>
                <w:b w:val="0"/>
                <w:sz w:val="24"/>
              </w:rPr>
              <w:t>现有系统建设基础清楚，平台能力闭环更完整，治理能力、真实环境基线、运行稳定性和可追溯能力更强</w:t>
            </w:r>
          </w:p>
        </w:tc>
        <w:tc>
          <w:tcPr>
            <w:tcW w:type="dxa" w:w="2948"/>
            <w:vAlign w:val="center"/>
          </w:tcPr>
          <w:p>
            <w:pPr>
              <w:spacing w:line="240" w:lineRule="auto" w:before="0" w:after="0"/>
              <w:jc w:val="center"/>
            </w:pPr>
            <w:r/>
            <w:r>
              <w:rPr>
                <w:rFonts w:ascii="??_GB2312" w:hAnsi="??_GB2312" w:eastAsia="??_GB2312" w:cs="??_GB2312"/>
                <w:b w:val="0"/>
                <w:sz w:val="24"/>
              </w:rPr>
              <w:t>作为本次方案中“现有建设基础、平台化升级方向、治理与稳定性能力、可持续运行机制”的主要依据</w:t>
            </w:r>
          </w:p>
        </w:tc>
      </w:tr>
    </w:tbl>
    <w:p/>
    <w:p>
      <w:pPr>
        <w:spacing w:line="360" w:lineRule="auto" w:before="0" w:after="0"/>
        <w:ind w:firstLine="640"/>
        <w:jc w:val="both"/>
      </w:pPr>
      <w:r>
        <w:rPr>
          <w:rFonts w:ascii="??_GB2312" w:hAnsi="??_GB2312" w:eastAsia="??_GB2312" w:cs="??_GB2312"/>
          <w:b w:val="0"/>
          <w:sz w:val="32"/>
        </w:rPr>
        <w:t>因此，本次建设方案既保留 1.0 对业务模块和维护服务的成熟表达，也吸收现有平台在统一接入、风险闭环、治理管控、日志追踪和质量验收方面的建设成果，形成一份更符合当前实际、更便于业主审议和后续实施落地的整合版方案。</w:t>
      </w:r>
    </w:p>
    <w:p>
      <w:pPr>
        <w:spacing w:line="360" w:lineRule="auto" w:before="120" w:after="120"/>
        <w:jc w:val="left"/>
      </w:pPr>
      <w:r>
        <w:rPr>
          <w:rFonts w:ascii="??" w:hAnsi="??" w:eastAsia="??" w:cs="??"/>
          <w:b/>
          <w:sz w:val="32"/>
        </w:rPr>
        <w:t>二、项目建设必要性</w:t>
      </w:r>
    </w:p>
    <w:p>
      <w:pPr>
        <w:spacing w:line="360" w:lineRule="auto" w:before="0" w:after="0"/>
        <w:ind w:firstLine="640"/>
        <w:jc w:val="both"/>
      </w:pPr>
      <w:r>
        <w:rPr>
          <w:rFonts w:ascii="??_GB2312" w:hAnsi="??_GB2312" w:eastAsia="??_GB2312" w:cs="??_GB2312"/>
          <w:b w:val="0"/>
          <w:sz w:val="32"/>
        </w:rPr>
        <w:t>本项目建设的必要性主要体现在以下几个方面：</w:t>
      </w:r>
    </w:p>
    <w:p>
      <w:pPr>
        <w:spacing w:line="360" w:lineRule="auto" w:before="60" w:after="60"/>
        <w:jc w:val="left"/>
      </w:pPr>
      <w:r>
        <w:rPr>
          <w:rFonts w:ascii="??_GB2312" w:hAnsi="??_GB2312" w:eastAsia="??_GB2312" w:cs="??_GB2312"/>
          <w:b/>
          <w:sz w:val="32"/>
        </w:rPr>
        <w:t>（一）提升高速公路风险防控能力的现实需要</w:t>
      </w:r>
    </w:p>
    <w:p>
      <w:pPr>
        <w:spacing w:line="360" w:lineRule="auto" w:before="0" w:after="0"/>
        <w:ind w:firstLine="640"/>
        <w:jc w:val="both"/>
      </w:pPr>
      <w:r>
        <w:rPr>
          <w:rFonts w:ascii="??_GB2312" w:hAnsi="??_GB2312" w:eastAsia="??_GB2312" w:cs="??_GB2312"/>
          <w:b w:val="0"/>
          <w:sz w:val="32"/>
        </w:rPr>
        <w:t>风险监测预警处置平台承担着对重点路段、重点边坡、重点桥隧和预警设施进行实时感知、预警提示和闭环处置的重要职责。若系统仅具备基础采集和展示能力，而缺少数据治理、综合研判、流程协同和复盘分析能力，则难以真正发挥风险防控作用。因此，有必要在现有基础上对平台进行系统化升级。</w:t>
      </w:r>
    </w:p>
    <w:p>
      <w:pPr>
        <w:spacing w:line="360" w:lineRule="auto" w:before="60" w:after="60"/>
        <w:jc w:val="left"/>
      </w:pPr>
      <w:r>
        <w:rPr>
          <w:rFonts w:ascii="??_GB2312" w:hAnsi="??_GB2312" w:eastAsia="??_GB2312" w:cs="??_GB2312"/>
          <w:b/>
          <w:sz w:val="32"/>
        </w:rPr>
        <w:t>（二）保障既有建设成果持续发挥效益的现实需要</w:t>
      </w:r>
    </w:p>
    <w:p>
      <w:pPr>
        <w:spacing w:line="360" w:lineRule="auto" w:before="0" w:after="0"/>
        <w:ind w:firstLine="640"/>
        <w:jc w:val="both"/>
      </w:pPr>
      <w:r>
        <w:rPr>
          <w:rFonts w:ascii="??_GB2312" w:hAnsi="??_GB2312" w:eastAsia="??_GB2312" w:cs="??_GB2312"/>
          <w:b w:val="0"/>
          <w:sz w:val="32"/>
        </w:rPr>
        <w:t>现有系统已经形成了一定建设基础，但平台长期运行不只是“功能上线”，还包括版本迭代、运行监控、故障排查、数据保障、安全治理和服务支撑。若缺少首年运行保障和后续年度维护机制，系统运行质量和投资效益难以长期保持。因此，有必要把“升级建设”和“运行保障”一体统筹。</w:t>
      </w:r>
    </w:p>
    <w:p>
      <w:pPr>
        <w:spacing w:line="360" w:lineRule="auto" w:before="60" w:after="60"/>
        <w:jc w:val="left"/>
      </w:pPr>
      <w:r>
        <w:rPr>
          <w:rFonts w:ascii="??_GB2312" w:hAnsi="??_GB2312" w:eastAsia="??_GB2312" w:cs="??_GB2312"/>
          <w:b/>
          <w:sz w:val="32"/>
        </w:rPr>
        <w:t>（三）补齐 1.0 业务模块与现有平台能力之间差距的现实需要</w:t>
      </w:r>
    </w:p>
    <w:p>
      <w:pPr>
        <w:spacing w:line="360" w:lineRule="auto" w:before="0" w:after="0"/>
        <w:ind w:firstLine="640"/>
        <w:jc w:val="both"/>
      </w:pPr>
      <w:r>
        <w:rPr>
          <w:rFonts w:ascii="??_GB2312" w:hAnsi="??_GB2312" w:eastAsia="??_GB2312" w:cs="??_GB2312"/>
          <w:b w:val="0"/>
          <w:sz w:val="32"/>
        </w:rPr>
        <w:t>1.0 资料中明确提出了报告管理、人工巡视、设备运维、移动端服务等方向，这些内容与现有平台已建成的统一接入、风险运营、平台治理和可追溯能力之间具有较强互补性。通过本次建设，可把 1.0 的业务诉求与当前平台底座能力真正打通，形成更完整的业务平台。</w:t>
      </w:r>
    </w:p>
    <w:p>
      <w:pPr>
        <w:spacing w:line="360" w:lineRule="auto" w:before="60" w:after="60"/>
        <w:jc w:val="left"/>
      </w:pPr>
      <w:r>
        <w:rPr>
          <w:rFonts w:ascii="??_GB2312" w:hAnsi="??_GB2312" w:eastAsia="??_GB2312" w:cs="??_GB2312"/>
          <w:b/>
          <w:sz w:val="32"/>
        </w:rPr>
        <w:t>（四）提升软件与硬件协同管理水平的现实需要</w:t>
      </w:r>
    </w:p>
    <w:p>
      <w:pPr>
        <w:spacing w:line="360" w:lineRule="auto" w:before="0" w:after="0"/>
        <w:ind w:firstLine="640"/>
        <w:jc w:val="both"/>
      </w:pPr>
      <w:r>
        <w:rPr>
          <w:rFonts w:ascii="??_GB2312" w:hAnsi="??_GB2312" w:eastAsia="??_GB2312" w:cs="??_GB2312"/>
          <w:b w:val="0"/>
          <w:sz w:val="32"/>
        </w:rPr>
        <w:t>高速公路风险监测预警处置系统的成效，不仅取决于软件平台，也取决于现场监测设备、采集设备、通讯链路、供电环境和预警终端的健康运行。软件发现问题、硬件及时处置、台账同步更新、结果及时回流，已经成为保障系统长期有效运行的关键。因此，有必要将硬件协同维护纳入整体建设范围。</w:t>
      </w:r>
    </w:p>
    <w:p>
      <w:pPr>
        <w:spacing w:line="360" w:lineRule="auto" w:before="60" w:after="60"/>
        <w:jc w:val="left"/>
      </w:pPr>
      <w:r>
        <w:rPr>
          <w:rFonts w:ascii="??_GB2312" w:hAnsi="??_GB2312" w:eastAsia="??_GB2312" w:cs="??_GB2312"/>
          <w:b/>
          <w:sz w:val="32"/>
        </w:rPr>
        <w:t>（五）满足业主单位管理决策需要的现实需要</w:t>
      </w:r>
    </w:p>
    <w:p>
      <w:pPr>
        <w:spacing w:line="360" w:lineRule="auto" w:before="0" w:after="0"/>
        <w:ind w:firstLine="640"/>
        <w:jc w:val="both"/>
      </w:pPr>
      <w:r>
        <w:rPr>
          <w:rFonts w:ascii="??_GB2312" w:hAnsi="??_GB2312" w:eastAsia="??_GB2312" w:cs="??_GB2312"/>
          <w:b w:val="0"/>
          <w:sz w:val="32"/>
        </w:rPr>
        <w:t>管理层需要通过系统掌握风险态势、设备运行、预警处置、运维成效和责任落实情况。平台建设应服务于管理决策，而不是仅停留在技术实现层面。因此，本次建设必须兼顾业务展示、管理分析、运行保障和服务考核。</w:t>
      </w:r>
    </w:p>
    <w:p>
      <w:pPr>
        <w:spacing w:line="360" w:lineRule="auto" w:before="120" w:after="120"/>
        <w:jc w:val="left"/>
      </w:pPr>
      <w:r>
        <w:rPr>
          <w:rFonts w:ascii="??" w:hAnsi="??" w:eastAsia="??" w:cs="??"/>
          <w:b/>
          <w:sz w:val="32"/>
        </w:rPr>
        <w:t>三、项目建设目标与总体思路</w:t>
      </w:r>
    </w:p>
    <w:p>
      <w:pPr>
        <w:spacing w:line="360" w:lineRule="auto" w:before="60" w:after="60"/>
        <w:jc w:val="left"/>
      </w:pPr>
      <w:r>
        <w:rPr>
          <w:rFonts w:ascii="??_GB2312" w:hAnsi="??_GB2312" w:eastAsia="??_GB2312" w:cs="??_GB2312"/>
          <w:b/>
          <w:sz w:val="32"/>
        </w:rPr>
        <w:t>（一）建设目标</w:t>
      </w:r>
    </w:p>
    <w:p>
      <w:pPr>
        <w:spacing w:line="360" w:lineRule="auto" w:before="0" w:after="0"/>
        <w:ind w:firstLine="640"/>
        <w:jc w:val="both"/>
      </w:pPr>
      <w:r>
        <w:rPr>
          <w:rFonts w:ascii="??_GB2312" w:hAnsi="??_GB2312" w:eastAsia="??_GB2312" w:cs="??_GB2312"/>
          <w:b w:val="0"/>
          <w:sz w:val="32"/>
        </w:rPr>
        <w:t>本项目总体目标是：依托现有平台基础，建设一套满足高速公路风险监测预警处置业务长期运行需要的“平台优化升级 + 首年运行保障”一体化支撑体系。</w:t>
      </w:r>
    </w:p>
    <w:p>
      <w:pPr>
        <w:spacing w:line="360" w:lineRule="auto" w:before="0" w:after="0"/>
        <w:ind w:firstLine="640"/>
        <w:jc w:val="both"/>
      </w:pPr>
      <w:r>
        <w:rPr>
          <w:rFonts w:ascii="??_GB2312" w:hAnsi="??_GB2312" w:eastAsia="??_GB2312" w:cs="??_GB2312"/>
          <w:b w:val="0"/>
          <w:sz w:val="32"/>
        </w:rPr>
        <w:t>具体目标如下：</w:t>
      </w:r>
    </w:p>
    <w:p>
      <w:pPr>
        <w:spacing w:line="360" w:lineRule="auto" w:before="0" w:after="0"/>
        <w:ind w:left="0"/>
        <w:jc w:val="both"/>
      </w:pPr>
      <w:r>
        <w:rPr>
          <w:rFonts w:ascii="??_GB2312" w:hAnsi="??_GB2312" w:eastAsia="??_GB2312" w:cs="??_GB2312"/>
          <w:b w:val="0"/>
          <w:sz w:val="32"/>
        </w:rPr>
        <w:t>1. 建成统一、稳定、可持续运行的风险监测预警处置平台，实现设备接入、风险识别、预警提示、事件处置、工单协同和结果复盘的一体化管理。</w:t>
      </w:r>
    </w:p>
    <w:p>
      <w:pPr>
        <w:spacing w:line="360" w:lineRule="auto" w:before="0" w:after="0"/>
        <w:ind w:left="0"/>
        <w:jc w:val="both"/>
      </w:pPr>
      <w:r>
        <w:rPr>
          <w:rFonts w:ascii="??_GB2312" w:hAnsi="??_GB2312" w:eastAsia="??_GB2312" w:cs="??_GB2312"/>
          <w:b w:val="0"/>
          <w:sz w:val="32"/>
        </w:rPr>
        <w:t>2. 补齐 1.0 系统中的报告管理、人工巡视、设备运维、移动端服务等业务能力，使平台更贴合高速公路实际管理场景。</w:t>
      </w:r>
    </w:p>
    <w:p>
      <w:pPr>
        <w:spacing w:line="360" w:lineRule="auto" w:before="0" w:after="0"/>
        <w:ind w:left="0"/>
        <w:jc w:val="both"/>
      </w:pPr>
      <w:r>
        <w:rPr>
          <w:rFonts w:ascii="??_GB2312" w:hAnsi="??_GB2312" w:eastAsia="??_GB2312" w:cs="??_GB2312"/>
          <w:b w:val="0"/>
          <w:sz w:val="32"/>
        </w:rPr>
        <w:t>3. 建成“软件升级、软件维护、硬件协同维护、数据治理、运维服务”一体化保障机制，保障平台在首年能够平稳运行并持续优化。</w:t>
      </w:r>
    </w:p>
    <w:p>
      <w:pPr>
        <w:spacing w:line="360" w:lineRule="auto" w:before="0" w:after="0"/>
        <w:ind w:left="0"/>
        <w:jc w:val="both"/>
      </w:pPr>
      <w:r>
        <w:rPr>
          <w:rFonts w:ascii="??_GB2312" w:hAnsi="??_GB2312" w:eastAsia="??_GB2312" w:cs="??_GB2312"/>
          <w:b w:val="0"/>
          <w:sz w:val="32"/>
        </w:rPr>
        <w:t>4. 建成全过程留痕、全过程可查、全过程可复盘的管理闭环，提升业主单位对风险点、设备、处置过程和维护成效的掌控能力。</w:t>
      </w:r>
    </w:p>
    <w:p>
      <w:pPr>
        <w:spacing w:line="360" w:lineRule="auto" w:before="0" w:after="0"/>
        <w:ind w:left="0"/>
        <w:jc w:val="both"/>
      </w:pPr>
      <w:r>
        <w:rPr>
          <w:rFonts w:ascii="??_GB2312" w:hAnsi="??_GB2312" w:eastAsia="??_GB2312" w:cs="??_GB2312"/>
          <w:b w:val="0"/>
          <w:sz w:val="32"/>
        </w:rPr>
        <w:t>5. 为升级责任期届满后的长期运维建立费用测算口径和服务边界，为后续年度维护采购提供依据。</w:t>
      </w:r>
    </w:p>
    <w:p>
      <w:pPr>
        <w:spacing w:line="360" w:lineRule="auto" w:before="60" w:after="60"/>
        <w:jc w:val="left"/>
      </w:pPr>
      <w:r>
        <w:rPr>
          <w:rFonts w:ascii="??_GB2312" w:hAnsi="??_GB2312" w:eastAsia="??_GB2312" w:cs="??_GB2312"/>
          <w:b/>
          <w:sz w:val="32"/>
        </w:rPr>
        <w:t>（二）总体思路</w:t>
      </w:r>
    </w:p>
    <w:p>
      <w:pPr>
        <w:spacing w:line="360" w:lineRule="auto" w:before="0" w:after="0"/>
        <w:ind w:firstLine="640"/>
        <w:jc w:val="both"/>
      </w:pPr>
      <w:r>
        <w:rPr>
          <w:rFonts w:ascii="??_GB2312" w:hAnsi="??_GB2312" w:eastAsia="??_GB2312" w:cs="??_GB2312"/>
          <w:b w:val="0"/>
          <w:sz w:val="32"/>
        </w:rPr>
        <w:t>本次建设总体采用“一个平台底座、两类能力补强、三条保障主线”的思路推进。</w:t>
      </w:r>
    </w:p>
    <w:p>
      <w:pPr>
        <w:spacing w:line="360" w:lineRule="auto" w:before="0" w:after="0"/>
        <w:ind w:left="0"/>
        <w:jc w:val="both"/>
      </w:pPr>
      <w:r>
        <w:rPr>
          <w:rFonts w:ascii="??_GB2312" w:hAnsi="??_GB2312" w:eastAsia="??_GB2312" w:cs="??_GB2312"/>
          <w:b w:val="0"/>
          <w:sz w:val="32"/>
        </w:rPr>
        <w:t>1. 一个平台底座</w:t>
      </w:r>
    </w:p>
    <w:p>
      <w:pPr>
        <w:spacing w:line="360" w:lineRule="auto" w:before="0" w:after="0"/>
        <w:ind w:left="0"/>
        <w:jc w:val="both"/>
      </w:pPr>
      <w:r>
        <w:rPr>
          <w:rFonts w:ascii="??_GB2312" w:hAnsi="??_GB2312" w:eastAsia="??_GB2312" w:cs="??_GB2312"/>
          <w:b w:val="0"/>
          <w:sz w:val="32"/>
        </w:rPr>
        <w:t>?1?以现有统一平台为底座，不另起炉灶，不重复建设，持续沿用已形成的统一接入、风险运营、平台治理和质量验收能力。</w:t>
      </w:r>
    </w:p>
    <w:p>
      <w:pPr>
        <w:spacing w:line="360" w:lineRule="auto" w:before="0" w:after="0"/>
        <w:ind w:left="0"/>
        <w:jc w:val="both"/>
      </w:pPr>
      <w:r>
        <w:rPr>
          <w:rFonts w:ascii="??_GB2312" w:hAnsi="??_GB2312" w:eastAsia="??_GB2312" w:cs="??_GB2312"/>
          <w:b w:val="0"/>
          <w:sz w:val="32"/>
        </w:rPr>
        <w:t>2. 两类能力补强</w:t>
      </w:r>
    </w:p>
    <w:p>
      <w:pPr>
        <w:spacing w:line="360" w:lineRule="auto" w:before="0" w:after="0"/>
        <w:ind w:left="0"/>
        <w:jc w:val="both"/>
      </w:pPr>
      <w:r>
        <w:rPr>
          <w:rFonts w:ascii="??_GB2312" w:hAnsi="??_GB2312" w:eastAsia="??_GB2312" w:cs="??_GB2312"/>
          <w:b w:val="0"/>
          <w:sz w:val="32"/>
        </w:rPr>
        <w:t>?1?一类是业务能力补强，即把 1.0 中成熟但尚未完全平台化的报告管理、人工巡视、设备运维、移动端等内容纳入统一平台。</w:t>
      </w:r>
    </w:p>
    <w:p>
      <w:pPr>
        <w:spacing w:line="360" w:lineRule="auto" w:before="0" w:after="0"/>
        <w:ind w:left="0"/>
        <w:jc w:val="both"/>
      </w:pPr>
      <w:r>
        <w:rPr>
          <w:rFonts w:ascii="??_GB2312" w:hAnsi="??_GB2312" w:eastAsia="??_GB2312" w:cs="??_GB2312"/>
          <w:b w:val="0"/>
          <w:sz w:val="32"/>
        </w:rPr>
        <w:t>?2?一类是稳定性能力补强，即把现有平台的治理、日志、追踪、真实环境验收和运行告警能力进一步固化到首年运行保障中。</w:t>
      </w:r>
    </w:p>
    <w:p>
      <w:pPr>
        <w:spacing w:line="360" w:lineRule="auto" w:before="0" w:after="0"/>
        <w:ind w:left="0"/>
        <w:jc w:val="both"/>
      </w:pPr>
      <w:r>
        <w:rPr>
          <w:rFonts w:ascii="??_GB2312" w:hAnsi="??_GB2312" w:eastAsia="??_GB2312" w:cs="??_GB2312"/>
          <w:b w:val="0"/>
          <w:sz w:val="32"/>
        </w:rPr>
        <w:t>3. 三条保障主线</w:t>
      </w:r>
    </w:p>
    <w:p>
      <w:pPr>
        <w:spacing w:line="360" w:lineRule="auto" w:before="0" w:after="0"/>
        <w:ind w:left="0"/>
        <w:jc w:val="both"/>
      </w:pPr>
      <w:r>
        <w:rPr>
          <w:rFonts w:ascii="??_GB2312" w:hAnsi="??_GB2312" w:eastAsia="??_GB2312" w:cs="??_GB2312"/>
          <w:b w:val="0"/>
          <w:sz w:val="32"/>
        </w:rPr>
        <w:t>?1?软件升级建设主线。</w:t>
      </w:r>
    </w:p>
    <w:p>
      <w:pPr>
        <w:spacing w:line="360" w:lineRule="auto" w:before="0" w:after="0"/>
        <w:ind w:left="0"/>
        <w:jc w:val="both"/>
      </w:pPr>
      <w:r>
        <w:rPr>
          <w:rFonts w:ascii="??_GB2312" w:hAnsi="??_GB2312" w:eastAsia="??_GB2312" w:cs="??_GB2312"/>
          <w:b w:val="0"/>
          <w:sz w:val="32"/>
        </w:rPr>
        <w:t>?2?首年运行维护主线。</w:t>
      </w:r>
    </w:p>
    <w:p>
      <w:pPr>
        <w:spacing w:line="360" w:lineRule="auto" w:before="0" w:after="0"/>
        <w:ind w:left="0"/>
        <w:jc w:val="both"/>
      </w:pPr>
      <w:r>
        <w:rPr>
          <w:rFonts w:ascii="??_GB2312" w:hAnsi="??_GB2312" w:eastAsia="??_GB2312" w:cs="??_GB2312"/>
          <w:b w:val="0"/>
          <w:sz w:val="32"/>
        </w:rPr>
        <w:t>?3?硬件协同维护主线。</w:t>
      </w:r>
    </w:p>
    <w:p>
      <w:pPr>
        <w:spacing w:line="360" w:lineRule="auto" w:before="120" w:after="120"/>
        <w:jc w:val="left"/>
      </w:pPr>
      <w:r>
        <w:rPr>
          <w:rFonts w:ascii="??" w:hAnsi="??" w:eastAsia="??" w:cs="??"/>
          <w:b/>
          <w:sz w:val="32"/>
        </w:rPr>
        <w:t>四、项目建设内容</w:t>
      </w:r>
    </w:p>
    <w:p>
      <w:pPr>
        <w:spacing w:line="360" w:lineRule="auto" w:before="0" w:after="0"/>
        <w:ind w:firstLine="640"/>
        <w:jc w:val="both"/>
      </w:pPr>
      <w:r>
        <w:rPr>
          <w:rFonts w:ascii="??_GB2312" w:hAnsi="??_GB2312" w:eastAsia="??_GB2312" w:cs="??_GB2312"/>
          <w:b w:val="0"/>
          <w:sz w:val="32"/>
        </w:rPr>
        <w:t>本项目建设内容主要包括“平台能力优化升级”和“首年运行保障建设”两大部分。</w:t>
      </w:r>
    </w:p>
    <w:p>
      <w:pPr>
        <w:spacing w:line="360" w:lineRule="auto" w:before="60" w:after="60"/>
        <w:jc w:val="left"/>
      </w:pPr>
      <w:r>
        <w:rPr>
          <w:rFonts w:ascii="??_GB2312" w:hAnsi="??_GB2312" w:eastAsia="??_GB2312" w:cs="??_GB2312"/>
          <w:b/>
          <w:sz w:val="32"/>
        </w:rPr>
        <w:t>（一）平台能力优化升级</w:t>
      </w:r>
    </w:p>
    <w:p>
      <w:pPr>
        <w:spacing w:line="360" w:lineRule="auto" w:before="60" w:after="60"/>
        <w:jc w:val="left"/>
      </w:pPr>
      <w:r>
        <w:rPr>
          <w:rFonts w:ascii="??" w:hAnsi="??" w:eastAsia="??" w:cs="??"/>
          <w:b/>
          <w:sz w:val="30"/>
        </w:rPr>
        <w:t>1. 统一接入与设备资产治理升级</w:t>
      </w:r>
    </w:p>
    <w:p>
      <w:pPr>
        <w:spacing w:line="360" w:lineRule="auto" w:before="0" w:after="0"/>
        <w:ind w:firstLine="640"/>
        <w:jc w:val="both"/>
      </w:pPr>
      <w:r>
        <w:rPr>
          <w:rFonts w:ascii="??_GB2312" w:hAnsi="??_GB2312" w:eastAsia="??_GB2312" w:cs="??_GB2312"/>
          <w:b w:val="0"/>
          <w:sz w:val="32"/>
        </w:rPr>
        <w:t>在现有统一设备接入和资产管理基础上，进一步完善以下内容：</w:t>
      </w:r>
    </w:p>
    <w:p>
      <w:pPr>
        <w:spacing w:line="360" w:lineRule="auto" w:before="0" w:after="0"/>
        <w:ind w:left="0"/>
        <w:jc w:val="both"/>
      </w:pPr>
      <w:r>
        <w:rPr>
          <w:rFonts w:ascii="??_GB2312" w:hAnsi="??_GB2312" w:eastAsia="??_GB2312" w:cs="??_GB2312"/>
          <w:b w:val="0"/>
          <w:sz w:val="32"/>
        </w:rPr>
        <w:t>1. 持续完善产品建档、设备建档、物模型治理、异常设备发现、设备更换和资产台账维护能力。</w:t>
      </w:r>
    </w:p>
    <w:p>
      <w:pPr>
        <w:spacing w:line="360" w:lineRule="auto" w:before="0" w:after="0"/>
        <w:ind w:left="0"/>
        <w:jc w:val="both"/>
      </w:pPr>
      <w:r>
        <w:rPr>
          <w:rFonts w:ascii="??_GB2312" w:hAnsi="??_GB2312" w:eastAsia="??_GB2312" w:cs="??_GB2312"/>
          <w:b w:val="0"/>
          <w:sz w:val="32"/>
        </w:rPr>
        <w:t>2. 支持监测设备、采集设备、预警设备、视频设备等多类型对象的统一管理，形成清晰的产品、设备、测点、风险点关联关系。</w:t>
      </w:r>
    </w:p>
    <w:p>
      <w:pPr>
        <w:spacing w:line="360" w:lineRule="auto" w:before="0" w:after="0"/>
        <w:ind w:left="0"/>
        <w:jc w:val="both"/>
      </w:pPr>
      <w:r>
        <w:rPr>
          <w:rFonts w:ascii="??_GB2312" w:hAnsi="??_GB2312" w:eastAsia="??_GB2312" w:cs="??_GB2312"/>
          <w:b w:val="0"/>
          <w:sz w:val="32"/>
        </w:rPr>
        <w:t>3. 强化未登记设备发现、设备补录、设备状态监测、设备运维记录和设备维护提醒能力。</w:t>
      </w:r>
    </w:p>
    <w:p>
      <w:pPr>
        <w:spacing w:line="360" w:lineRule="auto" w:before="0" w:after="0"/>
        <w:ind w:left="0"/>
        <w:jc w:val="both"/>
      </w:pPr>
      <w:r>
        <w:rPr>
          <w:rFonts w:ascii="??_GB2312" w:hAnsi="??_GB2312" w:eastAsia="??_GB2312" w:cs="??_GB2312"/>
          <w:b w:val="0"/>
          <w:sz w:val="32"/>
        </w:rPr>
        <w:t>4. 对接 1.0 文档中的设备管理、阈值设置、设备调试、视频监控等业务诉求，并纳入统一平台能力体系。</w:t>
      </w:r>
    </w:p>
    <w:p>
      <w:pPr>
        <w:spacing w:line="360" w:lineRule="auto" w:before="60" w:after="60"/>
        <w:jc w:val="left"/>
      </w:pPr>
      <w:r>
        <w:rPr>
          <w:rFonts w:ascii="??" w:hAnsi="??" w:eastAsia="??" w:cs="??"/>
          <w:b/>
          <w:sz w:val="30"/>
        </w:rPr>
        <w:t>2. 风险监测、态势感知与综合预警模型升级</w:t>
      </w:r>
    </w:p>
    <w:p>
      <w:pPr>
        <w:spacing w:line="360" w:lineRule="auto" w:before="0" w:after="0"/>
        <w:ind w:firstLine="640"/>
        <w:jc w:val="both"/>
      </w:pPr>
      <w:r>
        <w:rPr>
          <w:rFonts w:ascii="??_GB2312" w:hAnsi="??_GB2312" w:eastAsia="??_GB2312" w:cs="??_GB2312"/>
          <w:b w:val="0"/>
          <w:sz w:val="32"/>
        </w:rPr>
        <w:t>在现有实时监测、GIS 态势、对象洞察和统计分析基础上，进一步完善以下内容：</w:t>
      </w:r>
    </w:p>
    <w:p>
      <w:pPr>
        <w:spacing w:line="360" w:lineRule="auto" w:before="0" w:after="0"/>
        <w:ind w:left="0"/>
        <w:jc w:val="both"/>
      </w:pPr>
      <w:r>
        <w:rPr>
          <w:rFonts w:ascii="??_GB2312" w:hAnsi="??_GB2312" w:eastAsia="??_GB2312" w:cs="??_GB2312"/>
          <w:b w:val="0"/>
          <w:sz w:val="32"/>
        </w:rPr>
        <w:t>1. 持续强化风险点、设备、测点、区域位置和责任单位的统一关联展示。</w:t>
      </w:r>
    </w:p>
    <w:p>
      <w:pPr>
        <w:spacing w:line="360" w:lineRule="auto" w:before="0" w:after="0"/>
        <w:ind w:left="0"/>
        <w:jc w:val="both"/>
      </w:pPr>
      <w:r>
        <w:rPr>
          <w:rFonts w:ascii="??_GB2312" w:hAnsi="??_GB2312" w:eastAsia="??_GB2312" w:cs="??_GB2312"/>
          <w:b w:val="0"/>
          <w:sz w:val="32"/>
        </w:rPr>
        <w:t>2. 优化数字看板、管理首页、风险态势视图和对象洞察表达方式，使之更符合管理层和业务人员使用习惯。</w:t>
      </w:r>
    </w:p>
    <w:p>
      <w:pPr>
        <w:spacing w:line="360" w:lineRule="auto" w:before="0" w:after="0"/>
        <w:ind w:left="0"/>
        <w:jc w:val="both"/>
      </w:pPr>
      <w:r>
        <w:rPr>
          <w:rFonts w:ascii="??_GB2312" w:hAnsi="??_GB2312" w:eastAsia="??_GB2312" w:cs="??_GB2312"/>
          <w:b w:val="0"/>
          <w:sz w:val="32"/>
        </w:rPr>
        <w:t>3. 引入 1.0 方案中提出的数据分析引擎增强内容，包括累计位移、变化速率、滑移方向、主滑方向、主滑断面识别和综合预警模型表达。</w:t>
      </w:r>
    </w:p>
    <w:p>
      <w:pPr>
        <w:spacing w:line="360" w:lineRule="auto" w:before="0" w:after="0"/>
        <w:ind w:left="0"/>
        <w:jc w:val="both"/>
      </w:pPr>
      <w:r>
        <w:rPr>
          <w:rFonts w:ascii="??_GB2312" w:hAnsi="??_GB2312" w:eastAsia="??_GB2312" w:cs="??_GB2312"/>
          <w:b w:val="0"/>
          <w:sz w:val="32"/>
        </w:rPr>
        <w:t>4. 优化预警触发逻辑，形成“单指标阈值 + 算法判断 + 综合判断”相结合的多层级预警机制。</w:t>
      </w:r>
    </w:p>
    <w:p>
      <w:pPr>
        <w:spacing w:line="360" w:lineRule="auto" w:before="0" w:after="0"/>
        <w:ind w:left="0"/>
        <w:jc w:val="both"/>
      </w:pPr>
      <w:r>
        <w:rPr>
          <w:rFonts w:ascii="??_GB2312" w:hAnsi="??_GB2312" w:eastAsia="??_GB2312" w:cs="??_GB2312"/>
          <w:b w:val="0"/>
          <w:sz w:val="32"/>
        </w:rPr>
        <w:t>5. 视场景需要联动广播、情报板、声光告警器等预警设备，提升预警发布的业务联动能力。</w:t>
      </w:r>
    </w:p>
    <w:p>
      <w:pPr>
        <w:spacing w:line="360" w:lineRule="auto" w:before="60" w:after="60"/>
        <w:jc w:val="left"/>
      </w:pPr>
      <w:r>
        <w:rPr>
          <w:rFonts w:ascii="??" w:hAnsi="??" w:eastAsia="??" w:cs="??"/>
          <w:b/>
          <w:sz w:val="30"/>
        </w:rPr>
        <w:t>3. 预警处置闭环与业务支撑模块升级</w:t>
      </w:r>
    </w:p>
    <w:p>
      <w:pPr>
        <w:spacing w:line="360" w:lineRule="auto" w:before="0" w:after="0"/>
        <w:ind w:firstLine="640"/>
        <w:jc w:val="both"/>
      </w:pPr>
      <w:r>
        <w:rPr>
          <w:rFonts w:ascii="??_GB2312" w:hAnsi="??_GB2312" w:eastAsia="??_GB2312" w:cs="??_GB2312"/>
          <w:b w:val="0"/>
          <w:sz w:val="32"/>
        </w:rPr>
        <w:t>围绕风险发现后的全流程闭环，持续补强以下内容：</w:t>
      </w:r>
    </w:p>
    <w:p>
      <w:pPr>
        <w:spacing w:line="360" w:lineRule="auto" w:before="0" w:after="0"/>
        <w:ind w:left="0"/>
        <w:jc w:val="both"/>
      </w:pPr>
      <w:r>
        <w:rPr>
          <w:rFonts w:ascii="??_GB2312" w:hAnsi="??_GB2312" w:eastAsia="??_GB2312" w:cs="??_GB2312"/>
          <w:b w:val="0"/>
          <w:sz w:val="32"/>
        </w:rPr>
        <w:t>1. 完善告警中心、事件处置、工单协同、联动规则和应急预案之间的衔接和留痕。</w:t>
      </w:r>
    </w:p>
    <w:p>
      <w:pPr>
        <w:spacing w:line="360" w:lineRule="auto" w:before="0" w:after="0"/>
        <w:ind w:left="0"/>
        <w:jc w:val="both"/>
      </w:pPr>
      <w:r>
        <w:rPr>
          <w:rFonts w:ascii="??_GB2312" w:hAnsi="??_GB2312" w:eastAsia="??_GB2312" w:cs="??_GB2312"/>
          <w:b w:val="0"/>
          <w:sz w:val="32"/>
        </w:rPr>
        <w:t>2. 补齐 1.0 中提出的报告管理模块，支持日报、月报、专题报告、版本留痕和批量下载。</w:t>
      </w:r>
    </w:p>
    <w:p>
      <w:pPr>
        <w:spacing w:line="360" w:lineRule="auto" w:before="0" w:after="0"/>
        <w:ind w:left="0"/>
        <w:jc w:val="both"/>
      </w:pPr>
      <w:r>
        <w:rPr>
          <w:rFonts w:ascii="??_GB2312" w:hAnsi="??_GB2312" w:eastAsia="??_GB2312" w:cs="??_GB2312"/>
          <w:b w:val="0"/>
          <w:sz w:val="32"/>
        </w:rPr>
        <w:t>3. 补齐人工巡视管理模块，形成巡视任务下发、问题上报、预警联动和处置状态同步机制。</w:t>
      </w:r>
    </w:p>
    <w:p>
      <w:pPr>
        <w:spacing w:line="360" w:lineRule="auto" w:before="0" w:after="0"/>
        <w:ind w:left="0"/>
        <w:jc w:val="both"/>
      </w:pPr>
      <w:r>
        <w:rPr>
          <w:rFonts w:ascii="??_GB2312" w:hAnsi="??_GB2312" w:eastAsia="??_GB2312" w:cs="??_GB2312"/>
          <w:b w:val="0"/>
          <w:sz w:val="32"/>
        </w:rPr>
        <w:t>4. 补齐 H5 移动端服务能力，支持预警查看、运维记录、人工巡视、报告查询与在线预览等核心业务。</w:t>
      </w:r>
    </w:p>
    <w:p>
      <w:pPr>
        <w:spacing w:line="360" w:lineRule="auto" w:before="0" w:after="0"/>
        <w:ind w:left="0"/>
        <w:jc w:val="both"/>
      </w:pPr>
      <w:r>
        <w:rPr>
          <w:rFonts w:ascii="??_GB2312" w:hAnsi="??_GB2312" w:eastAsia="??_GB2312" w:cs="??_GB2312"/>
          <w:b w:val="0"/>
          <w:sz w:val="32"/>
        </w:rPr>
        <w:t>5. 结合现有平台的消息追踪、日志复盘和质量工场能力，形成“发现问题、分析问题、验证问题、留痕问题”的完整闭环。</w:t>
      </w:r>
    </w:p>
    <w:p>
      <w:pPr>
        <w:spacing w:line="360" w:lineRule="auto" w:before="60" w:after="60"/>
        <w:jc w:val="left"/>
      </w:pPr>
      <w:r>
        <w:rPr>
          <w:rFonts w:ascii="??" w:hAnsi="??" w:eastAsia="??" w:cs="??"/>
          <w:b/>
          <w:sz w:val="30"/>
        </w:rPr>
        <w:t>4. 平台治理、日志追踪与安全稳定性升级</w:t>
      </w:r>
    </w:p>
    <w:p>
      <w:pPr>
        <w:spacing w:line="360" w:lineRule="auto" w:before="0" w:after="0"/>
        <w:ind w:firstLine="640"/>
        <w:jc w:val="both"/>
      </w:pPr>
      <w:r>
        <w:rPr>
          <w:rFonts w:ascii="??_GB2312" w:hAnsi="??_GB2312" w:eastAsia="??_GB2312" w:cs="??_GB2312"/>
          <w:b w:val="0"/>
          <w:sz w:val="32"/>
        </w:rPr>
        <w:t>围绕系统长期稳定运行和管理规范需要，重点完善以下内容：</w:t>
      </w:r>
    </w:p>
    <w:p>
      <w:pPr>
        <w:spacing w:line="360" w:lineRule="auto" w:before="0" w:after="0"/>
        <w:ind w:left="0"/>
        <w:jc w:val="both"/>
      </w:pPr>
      <w:r>
        <w:rPr>
          <w:rFonts w:ascii="??_GB2312" w:hAnsi="??_GB2312" w:eastAsia="??_GB2312" w:cs="??_GB2312"/>
          <w:b w:val="0"/>
          <w:sz w:val="32"/>
        </w:rPr>
        <w:t>1. 持续完善组织、用户、角色、权限、区域、字典、菜单、通知、审计等平台治理能力。</w:t>
      </w:r>
    </w:p>
    <w:p>
      <w:pPr>
        <w:spacing w:line="360" w:lineRule="auto" w:before="0" w:after="0"/>
        <w:ind w:left="0"/>
        <w:jc w:val="both"/>
      </w:pPr>
      <w:r>
        <w:rPr>
          <w:rFonts w:ascii="??_GB2312" w:hAnsi="??_GB2312" w:eastAsia="??_GB2312" w:cs="??_GB2312"/>
          <w:b w:val="0"/>
          <w:sz w:val="32"/>
        </w:rPr>
        <w:t>2. 固化现有 TraceId、消息追踪、系统日志、站内消息、外部通知桥接等能力，使问题排查更加高效。</w:t>
      </w:r>
    </w:p>
    <w:p>
      <w:pPr>
        <w:spacing w:line="360" w:lineRule="auto" w:before="0" w:after="0"/>
        <w:ind w:left="0"/>
        <w:jc w:val="both"/>
      </w:pPr>
      <w:r>
        <w:rPr>
          <w:rFonts w:ascii="??_GB2312" w:hAnsi="??_GB2312" w:eastAsia="??_GB2312" w:cs="??_GB2312"/>
          <w:b w:val="0"/>
          <w:sz w:val="32"/>
        </w:rPr>
        <w:t>3. 强化版本治理、审批留痕、关键动作审计、密钥治理和运维告警能力。</w:t>
      </w:r>
    </w:p>
    <w:p>
      <w:pPr>
        <w:spacing w:line="360" w:lineRule="auto" w:before="0" w:after="0"/>
        <w:ind w:left="0"/>
        <w:jc w:val="both"/>
      </w:pPr>
      <w:r>
        <w:rPr>
          <w:rFonts w:ascii="??_GB2312" w:hAnsi="??_GB2312" w:eastAsia="??_GB2312" w:cs="??_GB2312"/>
          <w:b w:val="0"/>
          <w:sz w:val="32"/>
        </w:rPr>
        <w:t>4. 强化真实环境验收和质量工场机制，使版本发布、问题回归和验收取证更加规范。</w:t>
      </w:r>
    </w:p>
    <w:p>
      <w:pPr>
        <w:spacing w:line="360" w:lineRule="auto" w:before="0" w:after="0"/>
        <w:ind w:left="0"/>
        <w:jc w:val="both"/>
      </w:pPr>
      <w:r>
        <w:rPr>
          <w:rFonts w:ascii="??_GB2312" w:hAnsi="??_GB2312" w:eastAsia="??_GB2312" w:cs="??_GB2312"/>
          <w:b w:val="0"/>
          <w:sz w:val="32"/>
        </w:rPr>
        <w:t>5. 强化接口稳定性、数据库连接稳定性、缓存治理、消息链路稳定性和日志脱敏能力，提升平台整体运行可靠性。</w:t>
      </w:r>
    </w:p>
    <w:p>
      <w:pPr>
        <w:spacing w:line="360" w:lineRule="auto" w:before="60" w:after="60"/>
        <w:jc w:val="left"/>
      </w:pPr>
      <w:r>
        <w:rPr>
          <w:rFonts w:ascii="??_GB2312" w:hAnsi="??_GB2312" w:eastAsia="??_GB2312" w:cs="??_GB2312"/>
          <w:b/>
          <w:sz w:val="32"/>
        </w:rPr>
        <w:t>（二）首年运行保障建设</w:t>
      </w:r>
    </w:p>
    <w:p>
      <w:pPr>
        <w:spacing w:line="360" w:lineRule="auto" w:before="0" w:after="0"/>
        <w:ind w:firstLine="640"/>
        <w:jc w:val="both"/>
      </w:pPr>
      <w:r>
        <w:rPr>
          <w:rFonts w:ascii="??_GB2312" w:hAnsi="??_GB2312" w:eastAsia="??_GB2312" w:cs="??_GB2312"/>
          <w:b w:val="0"/>
          <w:sz w:val="32"/>
        </w:rPr>
        <w:t>本次投资不只是一次性升级开发，还包含首年运行保障费用。首年运行保障主要包括：</w:t>
      </w:r>
    </w:p>
    <w:p>
      <w:pPr>
        <w:spacing w:line="360" w:lineRule="auto" w:before="0" w:after="0"/>
        <w:ind w:left="0"/>
        <w:jc w:val="both"/>
      </w:pPr>
      <w:r>
        <w:rPr>
          <w:rFonts w:ascii="??_GB2312" w:hAnsi="??_GB2312" w:eastAsia="??_GB2312" w:cs="??_GB2312"/>
          <w:b w:val="0"/>
          <w:sz w:val="32"/>
        </w:rPr>
        <w:t>1. 平台日常巡检、运行监测和性能检查。</w:t>
      </w:r>
    </w:p>
    <w:p>
      <w:pPr>
        <w:spacing w:line="360" w:lineRule="auto" w:before="0" w:after="0"/>
        <w:ind w:left="0"/>
        <w:jc w:val="both"/>
      </w:pPr>
      <w:r>
        <w:rPr>
          <w:rFonts w:ascii="??_GB2312" w:hAnsi="??_GB2312" w:eastAsia="??_GB2312" w:cs="??_GB2312"/>
          <w:b w:val="0"/>
          <w:sz w:val="32"/>
        </w:rPr>
        <w:t>2. 平台故障响应、缺陷修复、补丁发布和版本优化。</w:t>
      </w:r>
    </w:p>
    <w:p>
      <w:pPr>
        <w:spacing w:line="360" w:lineRule="auto" w:before="0" w:after="0"/>
        <w:ind w:left="0"/>
        <w:jc w:val="both"/>
      </w:pPr>
      <w:r>
        <w:rPr>
          <w:rFonts w:ascii="??_GB2312" w:hAnsi="??_GB2312" w:eastAsia="??_GB2312" w:cs="??_GB2312"/>
          <w:b w:val="0"/>
          <w:sz w:val="32"/>
        </w:rPr>
        <w:t>3. 数据备份、恢复验证、安全加固和日志分析。</w:t>
      </w:r>
    </w:p>
    <w:p>
      <w:pPr>
        <w:spacing w:line="360" w:lineRule="auto" w:before="0" w:after="0"/>
        <w:ind w:left="0"/>
        <w:jc w:val="both"/>
      </w:pPr>
      <w:r>
        <w:rPr>
          <w:rFonts w:ascii="??_GB2312" w:hAnsi="??_GB2312" w:eastAsia="??_GB2312" w:cs="??_GB2312"/>
          <w:b w:val="0"/>
          <w:sz w:val="32"/>
        </w:rPr>
        <w:t>4. 与硬件维护部门协同进行设备在线异常、通讯异常、供电异常和数据异常的联合排查。</w:t>
      </w:r>
    </w:p>
    <w:p>
      <w:pPr>
        <w:spacing w:line="360" w:lineRule="auto" w:before="0" w:after="0"/>
        <w:ind w:left="0"/>
        <w:jc w:val="both"/>
      </w:pPr>
      <w:r>
        <w:rPr>
          <w:rFonts w:ascii="??_GB2312" w:hAnsi="??_GB2312" w:eastAsia="??_GB2312" w:cs="??_GB2312"/>
          <w:b w:val="0"/>
          <w:sz w:val="32"/>
        </w:rPr>
        <w:t>5. 重点时期专项保障，包括汛期、强降雨、重大活动和专项检查期间的专项值守与保障。</w:t>
      </w:r>
    </w:p>
    <w:p>
      <w:pPr>
        <w:spacing w:line="360" w:lineRule="auto" w:before="0" w:after="0"/>
        <w:ind w:left="0"/>
        <w:jc w:val="both"/>
      </w:pPr>
      <w:r>
        <w:rPr>
          <w:rFonts w:ascii="??_GB2312" w:hAnsi="??_GB2312" w:eastAsia="??_GB2312" w:cs="??_GB2312"/>
          <w:b w:val="0"/>
          <w:sz w:val="32"/>
        </w:rPr>
        <w:t>6. 月报、季报、故障台账、升级记录和运维总结交付。</w:t>
      </w:r>
    </w:p>
    <w:p>
      <w:pPr>
        <w:spacing w:line="360" w:lineRule="auto" w:before="120" w:after="120"/>
        <w:jc w:val="left"/>
      </w:pPr>
      <w:r>
        <w:rPr>
          <w:rFonts w:ascii="??" w:hAnsi="??" w:eastAsia="??" w:cs="??"/>
          <w:b/>
          <w:sz w:val="32"/>
        </w:rPr>
        <w:t>五、首年运维服务机制</w:t>
      </w:r>
    </w:p>
    <w:p>
      <w:pPr>
        <w:spacing w:line="360" w:lineRule="auto" w:before="60" w:after="60"/>
        <w:jc w:val="left"/>
      </w:pPr>
      <w:r>
        <w:rPr>
          <w:rFonts w:ascii="??_GB2312" w:hAnsi="??_GB2312" w:eastAsia="??_GB2312" w:cs="??_GB2312"/>
          <w:b/>
          <w:sz w:val="32"/>
        </w:rPr>
        <w:t>（一）维护范围</w:t>
      </w:r>
    </w:p>
    <w:p>
      <w:pPr>
        <w:spacing w:line="360" w:lineRule="auto" w:before="0" w:after="0"/>
        <w:ind w:firstLine="640"/>
        <w:jc w:val="both"/>
      </w:pPr>
      <w:r>
        <w:rPr>
          <w:rFonts w:ascii="??_GB2312" w:hAnsi="??_GB2312" w:eastAsia="??_GB2312" w:cs="??_GB2312"/>
          <w:b w:val="0"/>
          <w:sz w:val="32"/>
        </w:rPr>
        <w:t>首年运维服务范围包括：</w:t>
      </w:r>
    </w:p>
    <w:p>
      <w:pPr>
        <w:spacing w:line="360" w:lineRule="auto" w:before="0" w:after="0"/>
        <w:ind w:left="0"/>
        <w:jc w:val="both"/>
      </w:pPr>
      <w:r>
        <w:rPr>
          <w:rFonts w:ascii="??_GB2312" w:hAnsi="??_GB2312" w:eastAsia="??_GB2312" w:cs="??_GB2312"/>
          <w:b w:val="0"/>
          <w:sz w:val="32"/>
        </w:rPr>
        <w:t>1. 已建成平台全部软件功能模块。</w:t>
      </w:r>
    </w:p>
    <w:p>
      <w:pPr>
        <w:spacing w:line="360" w:lineRule="auto" w:before="0" w:after="0"/>
        <w:ind w:left="0"/>
        <w:jc w:val="both"/>
      </w:pPr>
      <w:r>
        <w:rPr>
          <w:rFonts w:ascii="??_GB2312" w:hAnsi="??_GB2312" w:eastAsia="??_GB2312" w:cs="??_GB2312"/>
          <w:b w:val="0"/>
          <w:sz w:val="32"/>
        </w:rPr>
        <w:t>2. 本次新增优化升级内容。</w:t>
      </w:r>
    </w:p>
    <w:p>
      <w:pPr>
        <w:spacing w:line="360" w:lineRule="auto" w:before="0" w:after="0"/>
        <w:ind w:left="0"/>
        <w:jc w:val="both"/>
      </w:pPr>
      <w:r>
        <w:rPr>
          <w:rFonts w:ascii="??_GB2312" w:hAnsi="??_GB2312" w:eastAsia="??_GB2312" w:cs="??_GB2312"/>
          <w:b w:val="0"/>
          <w:sz w:val="32"/>
        </w:rPr>
        <w:t>3. 运行环境中的应用服务、数据库、中间件、缓存、日志链路和消息通道。</w:t>
      </w:r>
    </w:p>
    <w:p>
      <w:pPr>
        <w:spacing w:line="360" w:lineRule="auto" w:before="0" w:after="0"/>
        <w:ind w:left="0"/>
        <w:jc w:val="both"/>
      </w:pPr>
      <w:r>
        <w:rPr>
          <w:rFonts w:ascii="??_GB2312" w:hAnsi="??_GB2312" w:eastAsia="??_GB2312" w:cs="??_GB2312"/>
          <w:b w:val="0"/>
          <w:sz w:val="32"/>
        </w:rPr>
        <w:t>4. 与平台直接相关的设备状态监测、台账协同和故障联动支撑。</w:t>
      </w:r>
    </w:p>
    <w:p>
      <w:pPr>
        <w:spacing w:line="360" w:lineRule="auto" w:before="0" w:after="0"/>
        <w:ind w:left="0"/>
        <w:jc w:val="both"/>
      </w:pPr>
      <w:r>
        <w:rPr>
          <w:rFonts w:ascii="??_GB2312" w:hAnsi="??_GB2312" w:eastAsia="??_GB2312" w:cs="??_GB2312"/>
          <w:b w:val="0"/>
          <w:sz w:val="32"/>
        </w:rPr>
        <w:t>5. 短信服务、告警消息服务、AI 增值服务的运行保障和配置优化。</w:t>
      </w:r>
    </w:p>
    <w:p>
      <w:pPr>
        <w:spacing w:line="360" w:lineRule="auto" w:before="60" w:after="60"/>
        <w:jc w:val="left"/>
      </w:pPr>
      <w:r>
        <w:rPr>
          <w:rFonts w:ascii="??_GB2312" w:hAnsi="??_GB2312" w:eastAsia="??_GB2312" w:cs="??_GB2312"/>
          <w:b/>
          <w:sz w:val="32"/>
        </w:rPr>
        <w:t>（二）维护团队配置建议</w:t>
      </w:r>
    </w:p>
    <w:p>
      <w:pPr>
        <w:spacing w:line="360" w:lineRule="auto" w:before="0" w:after="0"/>
        <w:ind w:firstLine="640"/>
        <w:jc w:val="both"/>
      </w:pPr>
      <w:r>
        <w:rPr>
          <w:rFonts w:ascii="??_GB2312" w:hAnsi="??_GB2312" w:eastAsia="??_GB2312" w:cs="??_GB2312"/>
          <w:b w:val="0"/>
          <w:sz w:val="32"/>
        </w:rPr>
        <w:t>建议配置不少于 6 人的原厂核心支撑团队，通过“远程常态支撑 + 现场按需到场 + 紧急问题升级联动”的方式开展工作。</w:t>
      </w:r>
    </w:p>
    <w:p>
      <w:pPr>
        <w:spacing w:line="360" w:lineRule="auto" w:before="0" w:after="0"/>
        <w:ind w:firstLine="640"/>
        <w:jc w:val="both"/>
      </w:pPr>
      <w:r>
        <w:rPr>
          <w:rFonts w:ascii="??_GB2312" w:hAnsi="??_GB2312" w:eastAsia="??_GB2312" w:cs="??_GB2312"/>
          <w:b w:val="0"/>
          <w:sz w:val="32"/>
        </w:rPr>
        <w:t>建议团队结构如下：</w:t>
      </w:r>
    </w:p>
    <w:tbl>
      <w:tblPr>
        <w:tblStyle w:val="TableGrid"/>
        <w:tblW w:type="auto" w:w="0"/>
        <w:jc w:val="center"/>
        <w:tblLayout w:type="autofit"/>
        <w:tblLook w:firstColumn="1" w:firstRow="1" w:lastColumn="0" w:lastRow="0" w:noHBand="0" w:noVBand="1" w:val="04A0"/>
      </w:tblPr>
      <w:tblGrid>
        <w:gridCol w:w="2948"/>
        <w:gridCol w:w="2948"/>
        <w:gridCol w:w="2948"/>
      </w:tblGrid>
      <w:tr>
        <w:tc>
          <w:tcPr>
            <w:tcW w:type="dxa" w:w="2948"/>
            <w:vAlign w:val="center"/>
          </w:tcPr>
          <w:p>
            <w:pPr>
              <w:spacing w:line="240" w:lineRule="auto" w:before="0" w:after="0"/>
              <w:jc w:val="center"/>
            </w:pPr>
            <w:r/>
            <w:r>
              <w:rPr>
                <w:rFonts w:ascii="??" w:hAnsi="??" w:eastAsia="??" w:cs="??"/>
                <w:b/>
                <w:sz w:val="24"/>
              </w:rPr>
              <w:t>角色</w:t>
            </w:r>
          </w:p>
        </w:tc>
        <w:tc>
          <w:tcPr>
            <w:tcW w:type="dxa" w:w="2948"/>
            <w:vAlign w:val="center"/>
          </w:tcPr>
          <w:p>
            <w:pPr>
              <w:spacing w:line="240" w:lineRule="auto" w:before="0" w:after="0"/>
              <w:jc w:val="center"/>
            </w:pPr>
            <w:r/>
            <w:r>
              <w:rPr>
                <w:rFonts w:ascii="??" w:hAnsi="??" w:eastAsia="??" w:cs="??"/>
                <w:b/>
                <w:sz w:val="24"/>
              </w:rPr>
              <w:t>建议人数</w:t>
            </w:r>
          </w:p>
        </w:tc>
        <w:tc>
          <w:tcPr>
            <w:tcW w:type="dxa" w:w="2948"/>
            <w:vAlign w:val="center"/>
          </w:tcPr>
          <w:p>
            <w:pPr>
              <w:spacing w:line="240" w:lineRule="auto" w:before="0" w:after="0"/>
              <w:jc w:val="center"/>
            </w:pPr>
            <w:r/>
            <w:r>
              <w:rPr>
                <w:rFonts w:ascii="??" w:hAnsi="??" w:eastAsia="??" w:cs="??"/>
                <w:b/>
                <w:sz w:val="24"/>
              </w:rPr>
              <w:t>主要职责</w:t>
            </w:r>
          </w:p>
        </w:tc>
      </w:tr>
      <w:tr>
        <w:tc>
          <w:tcPr>
            <w:tcW w:type="dxa" w:w="2948"/>
            <w:vAlign w:val="center"/>
          </w:tcPr>
          <w:p>
            <w:pPr>
              <w:spacing w:line="240" w:lineRule="auto" w:before="0" w:after="0"/>
              <w:jc w:val="center"/>
            </w:pPr>
            <w:r/>
            <w:r>
              <w:rPr>
                <w:rFonts w:ascii="??_GB2312" w:hAnsi="??_GB2312" w:eastAsia="??_GB2312" w:cs="??_GB2312"/>
                <w:b w:val="0"/>
                <w:sz w:val="24"/>
              </w:rPr>
              <w:t>项目经理 / 产品统筹</w:t>
            </w:r>
          </w:p>
        </w:tc>
        <w:tc>
          <w:tcPr>
            <w:tcW w:type="dxa" w:w="2948"/>
            <w:vAlign w:val="center"/>
          </w:tcPr>
          <w:p>
            <w:pPr>
              <w:spacing w:line="240" w:lineRule="auto" w:before="0" w:after="0"/>
              <w:jc w:val="center"/>
            </w:pPr>
            <w:r/>
            <w:r>
              <w:rPr>
                <w:rFonts w:ascii="??_GB2312" w:hAnsi="??_GB2312" w:eastAsia="??_GB2312" w:cs="??_GB2312"/>
                <w:b w:val="0"/>
                <w:sz w:val="24"/>
              </w:rPr>
              <w:t>1</w:t>
            </w:r>
          </w:p>
        </w:tc>
        <w:tc>
          <w:tcPr>
            <w:tcW w:type="dxa" w:w="2948"/>
            <w:vAlign w:val="center"/>
          </w:tcPr>
          <w:p>
            <w:pPr>
              <w:spacing w:line="240" w:lineRule="auto" w:before="0" w:after="0"/>
              <w:jc w:val="center"/>
            </w:pPr>
            <w:r/>
            <w:r>
              <w:rPr>
                <w:rFonts w:ascii="??_GB2312" w:hAnsi="??_GB2312" w:eastAsia="??_GB2312" w:cs="??_GB2312"/>
                <w:b w:val="0"/>
                <w:sz w:val="24"/>
              </w:rPr>
              <w:t>统筹需求、计划、验收、报告和沟通协调</w:t>
            </w:r>
          </w:p>
        </w:tc>
      </w:tr>
      <w:tr>
        <w:tc>
          <w:tcPr>
            <w:tcW w:type="dxa" w:w="2948"/>
            <w:vAlign w:val="center"/>
          </w:tcPr>
          <w:p>
            <w:pPr>
              <w:spacing w:line="240" w:lineRule="auto" w:before="0" w:after="0"/>
              <w:jc w:val="center"/>
            </w:pPr>
            <w:r/>
            <w:r>
              <w:rPr>
                <w:rFonts w:ascii="??_GB2312" w:hAnsi="??_GB2312" w:eastAsia="??_GB2312" w:cs="??_GB2312"/>
                <w:b w:val="0"/>
                <w:sz w:val="24"/>
              </w:rPr>
              <w:t>后端研发 / 平台架构</w:t>
            </w:r>
          </w:p>
        </w:tc>
        <w:tc>
          <w:tcPr>
            <w:tcW w:type="dxa" w:w="2948"/>
            <w:vAlign w:val="center"/>
          </w:tcPr>
          <w:p>
            <w:pPr>
              <w:spacing w:line="240" w:lineRule="auto" w:before="0" w:after="0"/>
              <w:jc w:val="center"/>
            </w:pPr>
            <w:r/>
            <w:r>
              <w:rPr>
                <w:rFonts w:ascii="??_GB2312" w:hAnsi="??_GB2312" w:eastAsia="??_GB2312" w:cs="??_GB2312"/>
                <w:b w:val="0"/>
                <w:sz w:val="24"/>
              </w:rPr>
              <w:t>2</w:t>
            </w:r>
          </w:p>
        </w:tc>
        <w:tc>
          <w:tcPr>
            <w:tcW w:type="dxa" w:w="2948"/>
            <w:vAlign w:val="center"/>
          </w:tcPr>
          <w:p>
            <w:pPr>
              <w:spacing w:line="240" w:lineRule="auto" w:before="0" w:after="0"/>
              <w:jc w:val="center"/>
            </w:pPr>
            <w:r/>
            <w:r>
              <w:rPr>
                <w:rFonts w:ascii="??_GB2312" w:hAnsi="??_GB2312" w:eastAsia="??_GB2312" w:cs="??_GB2312"/>
                <w:b w:val="0"/>
                <w:sz w:val="24"/>
              </w:rPr>
              <w:t>核心业务逻辑、接口、中间件、数据库和稳定性治理</w:t>
            </w:r>
          </w:p>
        </w:tc>
      </w:tr>
      <w:tr>
        <w:tc>
          <w:tcPr>
            <w:tcW w:type="dxa" w:w="2948"/>
            <w:vAlign w:val="center"/>
          </w:tcPr>
          <w:p>
            <w:pPr>
              <w:spacing w:line="240" w:lineRule="auto" w:before="0" w:after="0"/>
              <w:jc w:val="center"/>
            </w:pPr>
            <w:r/>
            <w:r>
              <w:rPr>
                <w:rFonts w:ascii="??_GB2312" w:hAnsi="??_GB2312" w:eastAsia="??_GB2312" w:cs="??_GB2312"/>
                <w:b w:val="0"/>
                <w:sz w:val="24"/>
              </w:rPr>
              <w:t>前端 / H5 研发</w:t>
            </w:r>
          </w:p>
        </w:tc>
        <w:tc>
          <w:tcPr>
            <w:tcW w:type="dxa" w:w="2948"/>
            <w:vAlign w:val="center"/>
          </w:tcPr>
          <w:p>
            <w:pPr>
              <w:spacing w:line="240" w:lineRule="auto" w:before="0" w:after="0"/>
              <w:jc w:val="center"/>
            </w:pPr>
            <w:r/>
            <w:r>
              <w:rPr>
                <w:rFonts w:ascii="??_GB2312" w:hAnsi="??_GB2312" w:eastAsia="??_GB2312" w:cs="??_GB2312"/>
                <w:b w:val="0"/>
                <w:sz w:val="24"/>
              </w:rPr>
              <w:t>1</w:t>
            </w:r>
          </w:p>
        </w:tc>
        <w:tc>
          <w:tcPr>
            <w:tcW w:type="dxa" w:w="2948"/>
            <w:vAlign w:val="center"/>
          </w:tcPr>
          <w:p>
            <w:pPr>
              <w:spacing w:line="240" w:lineRule="auto" w:before="0" w:after="0"/>
              <w:jc w:val="center"/>
            </w:pPr>
            <w:r/>
            <w:r>
              <w:rPr>
                <w:rFonts w:ascii="??_GB2312" w:hAnsi="??_GB2312" w:eastAsia="??_GB2312" w:cs="??_GB2312"/>
                <w:b w:val="0"/>
                <w:sz w:val="24"/>
              </w:rPr>
              <w:t>平台页面、移动端、报表展示和交互优化</w:t>
            </w:r>
          </w:p>
        </w:tc>
      </w:tr>
      <w:tr>
        <w:tc>
          <w:tcPr>
            <w:tcW w:type="dxa" w:w="2948"/>
            <w:vAlign w:val="center"/>
          </w:tcPr>
          <w:p>
            <w:pPr>
              <w:spacing w:line="240" w:lineRule="auto" w:before="0" w:after="0"/>
              <w:jc w:val="center"/>
            </w:pPr>
            <w:r/>
            <w:r>
              <w:rPr>
                <w:rFonts w:ascii="??_GB2312" w:hAnsi="??_GB2312" w:eastAsia="??_GB2312" w:cs="??_GB2312"/>
                <w:b w:val="0"/>
                <w:sz w:val="24"/>
              </w:rPr>
              <w:t>运维 / 测试工程师</w:t>
            </w:r>
          </w:p>
        </w:tc>
        <w:tc>
          <w:tcPr>
            <w:tcW w:type="dxa" w:w="2948"/>
            <w:vAlign w:val="center"/>
          </w:tcPr>
          <w:p>
            <w:pPr>
              <w:spacing w:line="240" w:lineRule="auto" w:before="0" w:after="0"/>
              <w:jc w:val="center"/>
            </w:pPr>
            <w:r/>
            <w:r>
              <w:rPr>
                <w:rFonts w:ascii="??_GB2312" w:hAnsi="??_GB2312" w:eastAsia="??_GB2312" w:cs="??_GB2312"/>
                <w:b w:val="0"/>
                <w:sz w:val="24"/>
              </w:rPr>
              <w:t>1</w:t>
            </w:r>
          </w:p>
        </w:tc>
        <w:tc>
          <w:tcPr>
            <w:tcW w:type="dxa" w:w="2948"/>
            <w:vAlign w:val="center"/>
          </w:tcPr>
          <w:p>
            <w:pPr>
              <w:spacing w:line="240" w:lineRule="auto" w:before="0" w:after="0"/>
              <w:jc w:val="center"/>
            </w:pPr>
            <w:r/>
            <w:r>
              <w:rPr>
                <w:rFonts w:ascii="??_GB2312" w:hAnsi="??_GB2312" w:eastAsia="??_GB2312" w:cs="??_GB2312"/>
                <w:b w:val="0"/>
                <w:sz w:val="24"/>
              </w:rPr>
              <w:t>巡检、发布、回归、故障跟踪、环境保障</w:t>
            </w:r>
          </w:p>
        </w:tc>
      </w:tr>
      <w:tr>
        <w:tc>
          <w:tcPr>
            <w:tcW w:type="dxa" w:w="2948"/>
            <w:vAlign w:val="center"/>
          </w:tcPr>
          <w:p>
            <w:pPr>
              <w:spacing w:line="240" w:lineRule="auto" w:before="0" w:after="0"/>
              <w:jc w:val="center"/>
            </w:pPr>
            <w:r/>
            <w:r>
              <w:rPr>
                <w:rFonts w:ascii="??_GB2312" w:hAnsi="??_GB2312" w:eastAsia="??_GB2312" w:cs="??_GB2312"/>
                <w:b w:val="0"/>
                <w:sz w:val="24"/>
              </w:rPr>
              <w:t>数据分析 / AI 支撑</w:t>
            </w:r>
          </w:p>
        </w:tc>
        <w:tc>
          <w:tcPr>
            <w:tcW w:type="dxa" w:w="2948"/>
            <w:vAlign w:val="center"/>
          </w:tcPr>
          <w:p>
            <w:pPr>
              <w:spacing w:line="240" w:lineRule="auto" w:before="0" w:after="0"/>
              <w:jc w:val="center"/>
            </w:pPr>
            <w:r/>
            <w:r>
              <w:rPr>
                <w:rFonts w:ascii="??_GB2312" w:hAnsi="??_GB2312" w:eastAsia="??_GB2312" w:cs="??_GB2312"/>
                <w:b w:val="0"/>
                <w:sz w:val="24"/>
              </w:rPr>
              <w:t>1</w:t>
            </w:r>
          </w:p>
        </w:tc>
        <w:tc>
          <w:tcPr>
            <w:tcW w:type="dxa" w:w="2948"/>
            <w:vAlign w:val="center"/>
          </w:tcPr>
          <w:p>
            <w:pPr>
              <w:spacing w:line="240" w:lineRule="auto" w:before="0" w:after="0"/>
              <w:jc w:val="center"/>
            </w:pPr>
            <w:r/>
            <w:r>
              <w:rPr>
                <w:rFonts w:ascii="??_GB2312" w:hAnsi="??_GB2312" w:eastAsia="??_GB2312" w:cs="??_GB2312"/>
                <w:b w:val="0"/>
                <w:sz w:val="24"/>
              </w:rPr>
              <w:t>预警模型、报告智能生成、趋势分析和算法优化</w:t>
            </w:r>
          </w:p>
        </w:tc>
      </w:tr>
    </w:tbl>
    <w:p/>
    <w:p>
      <w:pPr>
        <w:spacing w:line="360" w:lineRule="auto" w:before="60" w:after="60"/>
        <w:jc w:val="left"/>
      </w:pPr>
      <w:r>
        <w:rPr>
          <w:rFonts w:ascii="??_GB2312" w:hAnsi="??_GB2312" w:eastAsia="??_GB2312" w:cs="??_GB2312"/>
          <w:b/>
          <w:sz w:val="32"/>
        </w:rPr>
        <w:t>（三）故障分级与响应机制</w:t>
      </w:r>
    </w:p>
    <w:p>
      <w:pPr>
        <w:spacing w:line="360" w:lineRule="auto" w:before="0" w:after="0"/>
        <w:ind w:firstLine="640"/>
        <w:jc w:val="both"/>
      </w:pPr>
      <w:r>
        <w:rPr>
          <w:rFonts w:ascii="??_GB2312" w:hAnsi="??_GB2312" w:eastAsia="??_GB2312" w:cs="??_GB2312"/>
          <w:b w:val="0"/>
          <w:sz w:val="32"/>
        </w:rPr>
        <w:t>建议按四级故障建立响应机制：</w:t>
      </w:r>
    </w:p>
    <w:tbl>
      <w:tblPr>
        <w:tblStyle w:val="TableGrid"/>
        <w:tblW w:type="auto" w:w="0"/>
        <w:jc w:val="center"/>
        <w:tblLayout w:type="autofit"/>
        <w:tblLook w:firstColumn="1" w:firstRow="1" w:lastColumn="0" w:lastRow="0" w:noHBand="0" w:noVBand="1" w:val="04A0"/>
      </w:tblPr>
      <w:tblGrid>
        <w:gridCol w:w="2948"/>
        <w:gridCol w:w="2948"/>
        <w:gridCol w:w="2948"/>
      </w:tblGrid>
      <w:tr>
        <w:tc>
          <w:tcPr>
            <w:tcW w:type="dxa" w:w="2948"/>
            <w:vAlign w:val="center"/>
          </w:tcPr>
          <w:p>
            <w:pPr>
              <w:spacing w:line="240" w:lineRule="auto" w:before="0" w:after="0"/>
              <w:jc w:val="center"/>
            </w:pPr>
            <w:r/>
            <w:r>
              <w:rPr>
                <w:rFonts w:ascii="??" w:hAnsi="??" w:eastAsia="??" w:cs="??"/>
                <w:b/>
                <w:sz w:val="24"/>
              </w:rPr>
              <w:t>故障等级</w:t>
            </w:r>
          </w:p>
        </w:tc>
        <w:tc>
          <w:tcPr>
            <w:tcW w:type="dxa" w:w="2948"/>
            <w:vAlign w:val="center"/>
          </w:tcPr>
          <w:p>
            <w:pPr>
              <w:spacing w:line="240" w:lineRule="auto" w:before="0" w:after="0"/>
              <w:jc w:val="center"/>
            </w:pPr>
            <w:r/>
            <w:r>
              <w:rPr>
                <w:rFonts w:ascii="??" w:hAnsi="??" w:eastAsia="??" w:cs="??"/>
                <w:b/>
                <w:sz w:val="24"/>
              </w:rPr>
              <w:t>典型场景</w:t>
            </w:r>
          </w:p>
        </w:tc>
        <w:tc>
          <w:tcPr>
            <w:tcW w:type="dxa" w:w="2948"/>
            <w:vAlign w:val="center"/>
          </w:tcPr>
          <w:p>
            <w:pPr>
              <w:spacing w:line="240" w:lineRule="auto" w:before="0" w:after="0"/>
              <w:jc w:val="center"/>
            </w:pPr>
            <w:r/>
            <w:r>
              <w:rPr>
                <w:rFonts w:ascii="??" w:hAnsi="??" w:eastAsia="??" w:cs="??"/>
                <w:b/>
                <w:sz w:val="24"/>
              </w:rPr>
              <w:t>响应要求</w:t>
            </w:r>
          </w:p>
        </w:tc>
      </w:tr>
      <w:tr>
        <w:tc>
          <w:tcPr>
            <w:tcW w:type="dxa" w:w="2948"/>
            <w:vAlign w:val="center"/>
          </w:tcPr>
          <w:p>
            <w:pPr>
              <w:spacing w:line="240" w:lineRule="auto" w:before="0" w:after="0"/>
              <w:jc w:val="center"/>
            </w:pPr>
            <w:r/>
            <w:r>
              <w:rPr>
                <w:rFonts w:ascii="??_GB2312" w:hAnsi="??_GB2312" w:eastAsia="??_GB2312" w:cs="??_GB2312"/>
                <w:b w:val="0"/>
                <w:sz w:val="24"/>
              </w:rPr>
              <w:t>一级重大故障</w:t>
            </w:r>
          </w:p>
        </w:tc>
        <w:tc>
          <w:tcPr>
            <w:tcW w:type="dxa" w:w="2948"/>
            <w:vAlign w:val="center"/>
          </w:tcPr>
          <w:p>
            <w:pPr>
              <w:spacing w:line="240" w:lineRule="auto" w:before="0" w:after="0"/>
              <w:jc w:val="center"/>
            </w:pPr>
            <w:r/>
            <w:r>
              <w:rPr>
                <w:rFonts w:ascii="??_GB2312" w:hAnsi="??_GB2312" w:eastAsia="??_GB2312" w:cs="??_GB2312"/>
                <w:b w:val="0"/>
                <w:sz w:val="24"/>
              </w:rPr>
              <w:t>平台整体不可用、核心预警中断、关键业务无法开展</w:t>
            </w:r>
          </w:p>
        </w:tc>
        <w:tc>
          <w:tcPr>
            <w:tcW w:type="dxa" w:w="2948"/>
            <w:vAlign w:val="center"/>
          </w:tcPr>
          <w:p>
            <w:pPr>
              <w:spacing w:line="240" w:lineRule="auto" w:before="0" w:after="0"/>
              <w:jc w:val="center"/>
            </w:pPr>
            <w:r/>
            <w:r>
              <w:rPr>
                <w:rFonts w:ascii="??_GB2312" w:hAnsi="??_GB2312" w:eastAsia="??_GB2312" w:cs="??_GB2312"/>
                <w:b w:val="0"/>
                <w:sz w:val="24"/>
              </w:rPr>
              <w:t>30 分钟内响应，立即组织处置，持续跟踪至恢复</w:t>
            </w:r>
          </w:p>
        </w:tc>
      </w:tr>
      <w:tr>
        <w:tc>
          <w:tcPr>
            <w:tcW w:type="dxa" w:w="2948"/>
            <w:vAlign w:val="center"/>
          </w:tcPr>
          <w:p>
            <w:pPr>
              <w:spacing w:line="240" w:lineRule="auto" w:before="0" w:after="0"/>
              <w:jc w:val="center"/>
            </w:pPr>
            <w:r/>
            <w:r>
              <w:rPr>
                <w:rFonts w:ascii="??_GB2312" w:hAnsi="??_GB2312" w:eastAsia="??_GB2312" w:cs="??_GB2312"/>
                <w:b w:val="0"/>
                <w:sz w:val="24"/>
              </w:rPr>
              <w:t>二级重要故障</w:t>
            </w:r>
          </w:p>
        </w:tc>
        <w:tc>
          <w:tcPr>
            <w:tcW w:type="dxa" w:w="2948"/>
            <w:vAlign w:val="center"/>
          </w:tcPr>
          <w:p>
            <w:pPr>
              <w:spacing w:line="240" w:lineRule="auto" w:before="0" w:after="0"/>
              <w:jc w:val="center"/>
            </w:pPr>
            <w:r/>
            <w:r>
              <w:rPr>
                <w:rFonts w:ascii="??_GB2312" w:hAnsi="??_GB2312" w:eastAsia="??_GB2312" w:cs="??_GB2312"/>
                <w:b w:val="0"/>
                <w:sz w:val="24"/>
              </w:rPr>
              <w:t>核心模块异常、重要路段数据中断、批量设备离线</w:t>
            </w:r>
          </w:p>
        </w:tc>
        <w:tc>
          <w:tcPr>
            <w:tcW w:type="dxa" w:w="2948"/>
            <w:vAlign w:val="center"/>
          </w:tcPr>
          <w:p>
            <w:pPr>
              <w:spacing w:line="240" w:lineRule="auto" w:before="0" w:after="0"/>
              <w:jc w:val="center"/>
            </w:pPr>
            <w:r/>
            <w:r>
              <w:rPr>
                <w:rFonts w:ascii="??_GB2312" w:hAnsi="??_GB2312" w:eastAsia="??_GB2312" w:cs="??_GB2312"/>
                <w:b w:val="0"/>
                <w:sz w:val="24"/>
              </w:rPr>
              <w:t>1 小时内响应，提出处理方案并组织修复</w:t>
            </w:r>
          </w:p>
        </w:tc>
      </w:tr>
      <w:tr>
        <w:tc>
          <w:tcPr>
            <w:tcW w:type="dxa" w:w="2948"/>
            <w:vAlign w:val="center"/>
          </w:tcPr>
          <w:p>
            <w:pPr>
              <w:spacing w:line="240" w:lineRule="auto" w:before="0" w:after="0"/>
              <w:jc w:val="center"/>
            </w:pPr>
            <w:r/>
            <w:r>
              <w:rPr>
                <w:rFonts w:ascii="??_GB2312" w:hAnsi="??_GB2312" w:eastAsia="??_GB2312" w:cs="??_GB2312"/>
                <w:b w:val="0"/>
                <w:sz w:val="24"/>
              </w:rPr>
              <w:t>三级一般故障</w:t>
            </w:r>
          </w:p>
        </w:tc>
        <w:tc>
          <w:tcPr>
            <w:tcW w:type="dxa" w:w="2948"/>
            <w:vAlign w:val="center"/>
          </w:tcPr>
          <w:p>
            <w:pPr>
              <w:spacing w:line="240" w:lineRule="auto" w:before="0" w:after="0"/>
              <w:jc w:val="center"/>
            </w:pPr>
            <w:r/>
            <w:r>
              <w:rPr>
                <w:rFonts w:ascii="??_GB2312" w:hAnsi="??_GB2312" w:eastAsia="??_GB2312" w:cs="??_GB2312"/>
                <w:b w:val="0"/>
                <w:sz w:val="24"/>
              </w:rPr>
              <w:t>单模块异常、部分点位异常、个别接口异常</w:t>
            </w:r>
          </w:p>
        </w:tc>
        <w:tc>
          <w:tcPr>
            <w:tcW w:type="dxa" w:w="2948"/>
            <w:vAlign w:val="center"/>
          </w:tcPr>
          <w:p>
            <w:pPr>
              <w:spacing w:line="240" w:lineRule="auto" w:before="0" w:after="0"/>
              <w:jc w:val="center"/>
            </w:pPr>
            <w:r/>
            <w:r>
              <w:rPr>
                <w:rFonts w:ascii="??_GB2312" w:hAnsi="??_GB2312" w:eastAsia="??_GB2312" w:cs="??_GB2312"/>
                <w:b w:val="0"/>
                <w:sz w:val="24"/>
              </w:rPr>
              <w:t>2 小时内响应，当日完成处置或明确整改计划</w:t>
            </w:r>
          </w:p>
        </w:tc>
      </w:tr>
      <w:tr>
        <w:tc>
          <w:tcPr>
            <w:tcW w:type="dxa" w:w="2948"/>
            <w:vAlign w:val="center"/>
          </w:tcPr>
          <w:p>
            <w:pPr>
              <w:spacing w:line="240" w:lineRule="auto" w:before="0" w:after="0"/>
              <w:jc w:val="center"/>
            </w:pPr>
            <w:r/>
            <w:r>
              <w:rPr>
                <w:rFonts w:ascii="??_GB2312" w:hAnsi="??_GB2312" w:eastAsia="??_GB2312" w:cs="??_GB2312"/>
                <w:b w:val="0"/>
                <w:sz w:val="24"/>
              </w:rPr>
              <w:t>四级优化事项</w:t>
            </w:r>
          </w:p>
        </w:tc>
        <w:tc>
          <w:tcPr>
            <w:tcW w:type="dxa" w:w="2948"/>
            <w:vAlign w:val="center"/>
          </w:tcPr>
          <w:p>
            <w:pPr>
              <w:spacing w:line="240" w:lineRule="auto" w:before="0" w:after="0"/>
              <w:jc w:val="center"/>
            </w:pPr>
            <w:r/>
            <w:r>
              <w:rPr>
                <w:rFonts w:ascii="??_GB2312" w:hAnsi="??_GB2312" w:eastAsia="??_GB2312" w:cs="??_GB2312"/>
                <w:b w:val="0"/>
                <w:sz w:val="24"/>
              </w:rPr>
              <w:t>使用咨询、配置调整、体验优化建议</w:t>
            </w:r>
          </w:p>
        </w:tc>
        <w:tc>
          <w:tcPr>
            <w:tcW w:type="dxa" w:w="2948"/>
            <w:vAlign w:val="center"/>
          </w:tcPr>
          <w:p>
            <w:pPr>
              <w:spacing w:line="240" w:lineRule="auto" w:before="0" w:after="0"/>
              <w:jc w:val="center"/>
            </w:pPr>
            <w:r/>
            <w:r>
              <w:rPr>
                <w:rFonts w:ascii="??_GB2312" w:hAnsi="??_GB2312" w:eastAsia="??_GB2312" w:cs="??_GB2312"/>
                <w:b w:val="0"/>
                <w:sz w:val="24"/>
              </w:rPr>
              <w:t>1 个工作日内反馈处理意见</w:t>
            </w:r>
          </w:p>
        </w:tc>
      </w:tr>
    </w:tbl>
    <w:p/>
    <w:p>
      <w:pPr>
        <w:spacing w:line="360" w:lineRule="auto" w:before="0" w:after="0"/>
        <w:ind w:firstLine="640"/>
        <w:jc w:val="both"/>
      </w:pPr>
      <w:r>
        <w:rPr>
          <w:rFonts w:ascii="??_GB2312" w:hAnsi="??_GB2312" w:eastAsia="??_GB2312" w:cs="??_GB2312"/>
          <w:b w:val="0"/>
          <w:sz w:val="32"/>
        </w:rPr>
        <w:t>故障处理应遵循“接报、判级、响应、排查、修复、验证、确认、归档”标准流程。</w:t>
      </w:r>
    </w:p>
    <w:p>
      <w:pPr>
        <w:spacing w:line="360" w:lineRule="auto" w:before="60" w:after="60"/>
        <w:jc w:val="left"/>
      </w:pPr>
      <w:r>
        <w:rPr>
          <w:rFonts w:ascii="??_GB2312" w:hAnsi="??_GB2312" w:eastAsia="??_GB2312" w:cs="??_GB2312"/>
          <w:b/>
          <w:sz w:val="32"/>
        </w:rPr>
        <w:t>（四）日常巡检与专项保障机制</w:t>
      </w:r>
    </w:p>
    <w:p>
      <w:pPr>
        <w:spacing w:line="360" w:lineRule="auto" w:before="0" w:after="0"/>
        <w:ind w:left="0"/>
        <w:jc w:val="both"/>
      </w:pPr>
      <w:r>
        <w:rPr>
          <w:rFonts w:ascii="??_GB2312" w:hAnsi="??_GB2312" w:eastAsia="??_GB2312" w:cs="??_GB2312"/>
          <w:b w:val="0"/>
          <w:sz w:val="32"/>
        </w:rPr>
        <w:t>1. 每日检查平台运行状态、关键服务状态、设备在线率和异常波动情况。</w:t>
      </w:r>
    </w:p>
    <w:p>
      <w:pPr>
        <w:spacing w:line="360" w:lineRule="auto" w:before="0" w:after="0"/>
        <w:ind w:left="0"/>
        <w:jc w:val="both"/>
      </w:pPr>
      <w:r>
        <w:rPr>
          <w:rFonts w:ascii="??_GB2312" w:hAnsi="??_GB2312" w:eastAsia="??_GB2312" w:cs="??_GB2312"/>
          <w:b w:val="0"/>
          <w:sz w:val="32"/>
        </w:rPr>
        <w:t>2. 每周检查重点风险点数据连续性、典型异常、告警处置和工单闭环情况。</w:t>
      </w:r>
    </w:p>
    <w:p>
      <w:pPr>
        <w:spacing w:line="360" w:lineRule="auto" w:before="0" w:after="0"/>
        <w:ind w:left="0"/>
        <w:jc w:val="both"/>
      </w:pPr>
      <w:r>
        <w:rPr>
          <w:rFonts w:ascii="??_GB2312" w:hAnsi="??_GB2312" w:eastAsia="??_GB2312" w:cs="??_GB2312"/>
          <w:b w:val="0"/>
          <w:sz w:val="32"/>
        </w:rPr>
        <w:t>3. 每月形成巡检报告，梳理设备健康、系统运行、问题整改和优化建议。</w:t>
      </w:r>
    </w:p>
    <w:p>
      <w:pPr>
        <w:spacing w:line="360" w:lineRule="auto" w:before="0" w:after="0"/>
        <w:ind w:left="0"/>
        <w:jc w:val="both"/>
      </w:pPr>
      <w:r>
        <w:rPr>
          <w:rFonts w:ascii="??_GB2312" w:hAnsi="??_GB2312" w:eastAsia="??_GB2312" w:cs="??_GB2312"/>
          <w:b w:val="0"/>
          <w:sz w:val="32"/>
        </w:rPr>
        <w:t>4. 每季度对系统运行质量、设备维护质量、业务使用情况和升级需求进行综合评估。</w:t>
      </w:r>
    </w:p>
    <w:p>
      <w:pPr>
        <w:spacing w:line="360" w:lineRule="auto" w:before="0" w:after="0"/>
        <w:ind w:left="0"/>
        <w:jc w:val="both"/>
      </w:pPr>
      <w:r>
        <w:rPr>
          <w:rFonts w:ascii="??_GB2312" w:hAnsi="??_GB2312" w:eastAsia="??_GB2312" w:cs="??_GB2312"/>
          <w:b w:val="0"/>
          <w:sz w:val="32"/>
        </w:rPr>
        <w:t>5. 对汛期、强降雨、重大活动、专项检查等重点时段，实施专项保障和值守机制。</w:t>
      </w:r>
    </w:p>
    <w:p>
      <w:pPr>
        <w:spacing w:line="360" w:lineRule="auto" w:before="60" w:after="60"/>
        <w:jc w:val="left"/>
      </w:pPr>
      <w:r>
        <w:rPr>
          <w:rFonts w:ascii="??_GB2312" w:hAnsi="??_GB2312" w:eastAsia="??_GB2312" w:cs="??_GB2312"/>
          <w:b/>
          <w:sz w:val="32"/>
        </w:rPr>
        <w:t>（五）与硬件维护部门的分工界面</w:t>
      </w:r>
    </w:p>
    <w:p>
      <w:pPr>
        <w:spacing w:line="360" w:lineRule="auto" w:before="0" w:after="0"/>
        <w:ind w:firstLine="640"/>
        <w:jc w:val="both"/>
      </w:pPr>
      <w:r>
        <w:rPr>
          <w:rFonts w:ascii="??_GB2312" w:hAnsi="??_GB2312" w:eastAsia="??_GB2312" w:cs="??_GB2312"/>
          <w:b w:val="0"/>
          <w:sz w:val="32"/>
        </w:rPr>
        <w:t>为避免职责重叠或遗漏，建议明确分工如下：</w:t>
      </w:r>
    </w:p>
    <w:p>
      <w:pPr>
        <w:spacing w:line="360" w:lineRule="auto" w:before="0" w:after="0"/>
        <w:ind w:left="0"/>
        <w:jc w:val="both"/>
      </w:pPr>
      <w:r>
        <w:rPr>
          <w:rFonts w:ascii="??_GB2312" w:hAnsi="??_GB2312" w:eastAsia="??_GB2312" w:cs="??_GB2312"/>
          <w:b w:val="0"/>
          <w:sz w:val="32"/>
        </w:rPr>
        <w:t>1. 硬件维护部门负责传感器、采集器、网关、网络、服务器硬件、供电和现场线路的物理维护。</w:t>
      </w:r>
    </w:p>
    <w:p>
      <w:pPr>
        <w:spacing w:line="360" w:lineRule="auto" w:before="0" w:after="0"/>
        <w:ind w:left="0"/>
        <w:jc w:val="both"/>
      </w:pPr>
      <w:r>
        <w:rPr>
          <w:rFonts w:ascii="??_GB2312" w:hAnsi="??_GB2312" w:eastAsia="??_GB2312" w:cs="??_GB2312"/>
          <w:b w:val="0"/>
          <w:sz w:val="32"/>
        </w:rPr>
        <w:t>2. 软件维护团队负责数据库、中间件、平台功能、预警模型、报告生成、H5 服务、日志链路、数据备份与恢复、安全漏洞处理等工作。</w:t>
      </w:r>
    </w:p>
    <w:p>
      <w:pPr>
        <w:spacing w:line="360" w:lineRule="auto" w:before="0" w:after="0"/>
        <w:ind w:left="0"/>
        <w:jc w:val="both"/>
      </w:pPr>
      <w:r>
        <w:rPr>
          <w:rFonts w:ascii="??_GB2312" w:hAnsi="??_GB2312" w:eastAsia="??_GB2312" w:cs="??_GB2312"/>
          <w:b w:val="0"/>
          <w:sz w:val="32"/>
        </w:rPr>
        <w:t>3. 对于设备离线、数据中断、通讯异常、配置异常等问题，双方按“先定位、再分责、再闭环”的方式联合处置。</w:t>
      </w:r>
    </w:p>
    <w:p>
      <w:pPr>
        <w:spacing w:line="360" w:lineRule="auto" w:before="60" w:after="60"/>
        <w:jc w:val="left"/>
      </w:pPr>
      <w:r>
        <w:rPr>
          <w:rFonts w:ascii="??_GB2312" w:hAnsi="??_GB2312" w:eastAsia="??_GB2312" w:cs="??_GB2312"/>
          <w:b/>
          <w:sz w:val="32"/>
        </w:rPr>
        <w:t>（六）交付物机制</w:t>
      </w:r>
    </w:p>
    <w:p>
      <w:pPr>
        <w:spacing w:line="360" w:lineRule="auto" w:before="0" w:after="0"/>
        <w:ind w:firstLine="640"/>
        <w:jc w:val="both"/>
      </w:pPr>
      <w:r>
        <w:rPr>
          <w:rFonts w:ascii="??_GB2312" w:hAnsi="??_GB2312" w:eastAsia="??_GB2312" w:cs="??_GB2312"/>
          <w:b w:val="0"/>
          <w:sz w:val="32"/>
        </w:rPr>
        <w:t>首年运行保障期间，建议定期交付以下成果：</w:t>
      </w:r>
    </w:p>
    <w:p>
      <w:pPr>
        <w:spacing w:line="360" w:lineRule="auto" w:before="0" w:after="0"/>
        <w:ind w:left="0"/>
        <w:jc w:val="both"/>
      </w:pPr>
      <w:r>
        <w:rPr>
          <w:rFonts w:ascii="??_GB2312" w:hAnsi="??_GB2312" w:eastAsia="??_GB2312" w:cs="??_GB2312"/>
          <w:b w:val="0"/>
          <w:sz w:val="32"/>
        </w:rPr>
        <w:t>1. 月度系统运行报告。</w:t>
      </w:r>
    </w:p>
    <w:p>
      <w:pPr>
        <w:spacing w:line="360" w:lineRule="auto" w:before="0" w:after="0"/>
        <w:ind w:left="0"/>
        <w:jc w:val="both"/>
      </w:pPr>
      <w:r>
        <w:rPr>
          <w:rFonts w:ascii="??_GB2312" w:hAnsi="??_GB2312" w:eastAsia="??_GB2312" w:cs="??_GB2312"/>
          <w:b w:val="0"/>
          <w:sz w:val="32"/>
        </w:rPr>
        <w:t>2. 故障处理台账。</w:t>
      </w:r>
    </w:p>
    <w:p>
      <w:pPr>
        <w:spacing w:line="360" w:lineRule="auto" w:before="0" w:after="0"/>
        <w:ind w:left="0"/>
        <w:jc w:val="both"/>
      </w:pPr>
      <w:r>
        <w:rPr>
          <w:rFonts w:ascii="??_GB2312" w:hAnsi="??_GB2312" w:eastAsia="??_GB2312" w:cs="??_GB2312"/>
          <w:b w:val="0"/>
          <w:sz w:val="32"/>
        </w:rPr>
        <w:t>3. 巡检记录和专项保障记录。</w:t>
      </w:r>
    </w:p>
    <w:p>
      <w:pPr>
        <w:spacing w:line="360" w:lineRule="auto" w:before="0" w:after="0"/>
        <w:ind w:left="0"/>
        <w:jc w:val="both"/>
      </w:pPr>
      <w:r>
        <w:rPr>
          <w:rFonts w:ascii="??_GB2312" w:hAnsi="??_GB2312" w:eastAsia="??_GB2312" w:cs="??_GB2312"/>
          <w:b w:val="0"/>
          <w:sz w:val="32"/>
        </w:rPr>
        <w:t>4. 版本发布记录。</w:t>
      </w:r>
    </w:p>
    <w:p>
      <w:pPr>
        <w:spacing w:line="360" w:lineRule="auto" w:before="0" w:after="0"/>
        <w:ind w:left="0"/>
        <w:jc w:val="both"/>
      </w:pPr>
      <w:r>
        <w:rPr>
          <w:rFonts w:ascii="??_GB2312" w:hAnsi="??_GB2312" w:eastAsia="??_GB2312" w:cs="??_GB2312"/>
          <w:b w:val="0"/>
          <w:sz w:val="32"/>
        </w:rPr>
        <w:t>5. 季度优化建议清单。</w:t>
      </w:r>
    </w:p>
    <w:p>
      <w:pPr>
        <w:spacing w:line="360" w:lineRule="auto" w:before="0" w:after="0"/>
        <w:ind w:left="0"/>
        <w:jc w:val="both"/>
      </w:pPr>
      <w:r>
        <w:rPr>
          <w:rFonts w:ascii="??_GB2312" w:hAnsi="??_GB2312" w:eastAsia="??_GB2312" w:cs="??_GB2312"/>
          <w:b w:val="0"/>
          <w:sz w:val="32"/>
        </w:rPr>
        <w:t>6. 年度运行总结报告。</w:t>
      </w:r>
    </w:p>
    <w:p>
      <w:pPr>
        <w:spacing w:line="360" w:lineRule="auto" w:before="120" w:after="120"/>
        <w:jc w:val="left"/>
      </w:pPr>
      <w:r>
        <w:rPr>
          <w:rFonts w:ascii="??" w:hAnsi="??" w:eastAsia="??" w:cs="??"/>
          <w:b/>
          <w:sz w:val="32"/>
        </w:rPr>
        <w:t>六、投资估算与费用清单</w:t>
      </w:r>
    </w:p>
    <w:p>
      <w:pPr>
        <w:spacing w:line="360" w:lineRule="auto" w:before="60" w:after="60"/>
        <w:jc w:val="left"/>
      </w:pPr>
      <w:r>
        <w:rPr>
          <w:rFonts w:ascii="??_GB2312" w:hAnsi="??_GB2312" w:eastAsia="??_GB2312" w:cs="??_GB2312"/>
          <w:b/>
          <w:sz w:val="32"/>
        </w:rPr>
        <w:t>（一）测算原则</w:t>
      </w:r>
    </w:p>
    <w:p>
      <w:pPr>
        <w:spacing w:line="360" w:lineRule="auto" w:before="0" w:after="0"/>
        <w:ind w:firstLine="640"/>
        <w:jc w:val="both"/>
      </w:pPr>
      <w:r>
        <w:rPr>
          <w:rFonts w:ascii="??_GB2312" w:hAnsi="??_GB2312" w:eastAsia="??_GB2312" w:cs="??_GB2312"/>
          <w:b w:val="0"/>
          <w:sz w:val="32"/>
        </w:rPr>
        <w:t>本次投资按“本次优化升级建设费 + 首年运行保障费”一并测算，综合考虑以下因素：</w:t>
      </w:r>
    </w:p>
    <w:p>
      <w:pPr>
        <w:spacing w:line="360" w:lineRule="auto" w:before="0" w:after="0"/>
        <w:ind w:left="0"/>
        <w:jc w:val="both"/>
      </w:pPr>
      <w:r>
        <w:rPr>
          <w:rFonts w:ascii="??_GB2312" w:hAnsi="??_GB2312" w:eastAsia="??_GB2312" w:cs="??_GB2312"/>
          <w:b w:val="0"/>
          <w:sz w:val="32"/>
        </w:rPr>
        <w:t>1. 现有 1.0 业务模块与当前平台能力整合的开发工作量。</w:t>
      </w:r>
    </w:p>
    <w:p>
      <w:pPr>
        <w:spacing w:line="360" w:lineRule="auto" w:before="0" w:after="0"/>
        <w:ind w:left="0"/>
        <w:jc w:val="both"/>
      </w:pPr>
      <w:r>
        <w:rPr>
          <w:rFonts w:ascii="??_GB2312" w:hAnsi="??_GB2312" w:eastAsia="??_GB2312" w:cs="??_GB2312"/>
          <w:b w:val="0"/>
          <w:sz w:val="32"/>
        </w:rPr>
        <w:t>2. 数据分析引擎、综合预警模型、报告管理、人工巡视、移动端等新增或补强工作量。</w:t>
      </w:r>
    </w:p>
    <w:p>
      <w:pPr>
        <w:spacing w:line="360" w:lineRule="auto" w:before="0" w:after="0"/>
        <w:ind w:left="0"/>
        <w:jc w:val="both"/>
      </w:pPr>
      <w:r>
        <w:rPr>
          <w:rFonts w:ascii="??_GB2312" w:hAnsi="??_GB2312" w:eastAsia="??_GB2312" w:cs="??_GB2312"/>
          <w:b w:val="0"/>
          <w:sz w:val="32"/>
        </w:rPr>
        <w:t>3. 首年运行保障期内的巡检、故障处理、版本优化、数据备份、安全加固和专项保障投入。</w:t>
      </w:r>
    </w:p>
    <w:p>
      <w:pPr>
        <w:spacing w:line="360" w:lineRule="auto" w:before="0" w:after="0"/>
        <w:ind w:left="0"/>
        <w:jc w:val="both"/>
      </w:pPr>
      <w:r>
        <w:rPr>
          <w:rFonts w:ascii="??_GB2312" w:hAnsi="??_GB2312" w:eastAsia="??_GB2312" w:cs="??_GB2312"/>
          <w:b w:val="0"/>
          <w:sz w:val="32"/>
        </w:rPr>
        <w:t>4. 与硬件维护部门联动所需的现场支撑、联调、故障协同和台账治理投入。</w:t>
      </w:r>
    </w:p>
    <w:p>
      <w:pPr>
        <w:spacing w:line="360" w:lineRule="auto" w:before="0" w:after="0"/>
        <w:ind w:left="0"/>
        <w:jc w:val="both"/>
      </w:pPr>
      <w:r>
        <w:rPr>
          <w:rFonts w:ascii="??_GB2312" w:hAnsi="??_GB2312" w:eastAsia="??_GB2312" w:cs="??_GB2312"/>
          <w:b w:val="0"/>
          <w:sz w:val="32"/>
        </w:rPr>
        <w:t>5. 服务器资源、短信服务、AI 增值服务等运行成本。</w:t>
      </w:r>
    </w:p>
    <w:p>
      <w:pPr>
        <w:spacing w:line="360" w:lineRule="auto" w:before="60" w:after="60"/>
        <w:jc w:val="left"/>
      </w:pPr>
      <w:r>
        <w:rPr>
          <w:rFonts w:ascii="??_GB2312" w:hAnsi="??_GB2312" w:eastAsia="??_GB2312" w:cs="??_GB2312"/>
          <w:b/>
          <w:sz w:val="32"/>
        </w:rPr>
        <w:t>（二）本次投资费用清单</w:t>
      </w:r>
    </w:p>
    <w:p>
      <w:pPr>
        <w:spacing w:line="360" w:lineRule="auto" w:before="0" w:after="0"/>
        <w:ind w:firstLine="640"/>
        <w:jc w:val="both"/>
      </w:pPr>
      <w:r>
        <w:rPr>
          <w:rFonts w:ascii="??_GB2312" w:hAnsi="??_GB2312" w:eastAsia="??_GB2312" w:cs="??_GB2312"/>
          <w:b w:val="0"/>
          <w:sz w:val="32"/>
        </w:rPr>
        <w:t>结合当前建设范围和首年运行保障需要，本次投资建议控制在 300 万元左右，具体测算如下：</w:t>
      </w:r>
    </w:p>
    <w:tbl>
      <w:tblPr>
        <w:tblStyle w:val="TableGrid"/>
        <w:tblW w:type="auto" w:w="0"/>
        <w:jc w:val="center"/>
        <w:tblLayout w:type="autofit"/>
        <w:tblLook w:firstColumn="1" w:firstRow="1" w:lastColumn="0" w:lastRow="0" w:noHBand="0" w:noVBand="1" w:val="04A0"/>
      </w:tblPr>
      <w:tblGrid>
        <w:gridCol w:w="2948"/>
        <w:gridCol w:w="2948"/>
        <w:gridCol w:w="2948"/>
      </w:tblGrid>
      <w:tr>
        <w:tc>
          <w:tcPr>
            <w:tcW w:type="dxa" w:w="2948"/>
            <w:vAlign w:val="center"/>
          </w:tcPr>
          <w:p>
            <w:pPr>
              <w:spacing w:line="240" w:lineRule="auto" w:before="0" w:after="0"/>
              <w:jc w:val="center"/>
            </w:pPr>
            <w:r/>
            <w:r>
              <w:rPr>
                <w:rFonts w:ascii="??" w:hAnsi="??" w:eastAsia="??" w:cs="??"/>
                <w:b/>
                <w:sz w:val="24"/>
              </w:rPr>
              <w:t>费用类别</w:t>
            </w:r>
          </w:p>
        </w:tc>
        <w:tc>
          <w:tcPr>
            <w:tcW w:type="dxa" w:w="2948"/>
            <w:vAlign w:val="center"/>
          </w:tcPr>
          <w:p>
            <w:pPr>
              <w:spacing w:line="240" w:lineRule="auto" w:before="0" w:after="0"/>
              <w:jc w:val="center"/>
            </w:pPr>
            <w:r/>
            <w:r>
              <w:rPr>
                <w:rFonts w:ascii="??" w:hAnsi="??" w:eastAsia="??" w:cs="??"/>
                <w:b/>
                <w:sz w:val="24"/>
              </w:rPr>
              <w:t>金额（万元）</w:t>
            </w:r>
          </w:p>
        </w:tc>
        <w:tc>
          <w:tcPr>
            <w:tcW w:type="dxa" w:w="2948"/>
            <w:vAlign w:val="center"/>
          </w:tcPr>
          <w:p>
            <w:pPr>
              <w:spacing w:line="240" w:lineRule="auto" w:before="0" w:after="0"/>
              <w:jc w:val="center"/>
            </w:pPr>
            <w:r/>
            <w:r>
              <w:rPr>
                <w:rFonts w:ascii="??" w:hAnsi="??" w:eastAsia="??" w:cs="??"/>
                <w:b/>
                <w:sz w:val="24"/>
              </w:rPr>
              <w:t>主要内容</w:t>
            </w:r>
          </w:p>
        </w:tc>
      </w:tr>
      <w:tr>
        <w:tc>
          <w:tcPr>
            <w:tcW w:type="dxa" w:w="2948"/>
            <w:vAlign w:val="center"/>
          </w:tcPr>
          <w:p>
            <w:pPr>
              <w:spacing w:line="240" w:lineRule="auto" w:before="0" w:after="0"/>
              <w:jc w:val="center"/>
            </w:pPr>
            <w:r/>
            <w:r>
              <w:rPr>
                <w:rFonts w:ascii="??_GB2312" w:hAnsi="??_GB2312" w:eastAsia="??_GB2312" w:cs="??_GB2312"/>
                <w:b w:val="0"/>
                <w:sz w:val="24"/>
              </w:rPr>
              <w:t>系统升级开发与集成实施费</w:t>
            </w:r>
          </w:p>
        </w:tc>
        <w:tc>
          <w:tcPr>
            <w:tcW w:type="dxa" w:w="2948"/>
            <w:vAlign w:val="center"/>
          </w:tcPr>
          <w:p>
            <w:pPr>
              <w:spacing w:line="240" w:lineRule="auto" w:before="0" w:after="0"/>
              <w:jc w:val="center"/>
            </w:pPr>
            <w:r/>
            <w:r>
              <w:rPr>
                <w:rFonts w:ascii="??_GB2312" w:hAnsi="??_GB2312" w:eastAsia="??_GB2312" w:cs="??_GB2312"/>
                <w:b w:val="0"/>
                <w:sz w:val="24"/>
              </w:rPr>
              <w:t>118</w:t>
            </w:r>
          </w:p>
        </w:tc>
        <w:tc>
          <w:tcPr>
            <w:tcW w:type="dxa" w:w="2948"/>
            <w:vAlign w:val="center"/>
          </w:tcPr>
          <w:p>
            <w:pPr>
              <w:spacing w:line="240" w:lineRule="auto" w:before="0" w:after="0"/>
              <w:jc w:val="center"/>
            </w:pPr>
            <w:r/>
            <w:r>
              <w:rPr>
                <w:rFonts w:ascii="??_GB2312" w:hAnsi="??_GB2312" w:eastAsia="??_GB2312" w:cs="??_GB2312"/>
                <w:b w:val="0"/>
                <w:sz w:val="24"/>
              </w:rPr>
              <w:t>平台功能优化升级，1.0 模块整合，报告管理、人工巡视、H5、综合预警模型、页面与接口改造、联调实施</w:t>
            </w:r>
          </w:p>
        </w:tc>
      </w:tr>
      <w:tr>
        <w:tc>
          <w:tcPr>
            <w:tcW w:type="dxa" w:w="2948"/>
            <w:vAlign w:val="center"/>
          </w:tcPr>
          <w:p>
            <w:pPr>
              <w:spacing w:line="240" w:lineRule="auto" w:before="0" w:after="0"/>
              <w:jc w:val="center"/>
            </w:pPr>
            <w:r/>
            <w:r>
              <w:rPr>
                <w:rFonts w:ascii="??_GB2312" w:hAnsi="??_GB2312" w:eastAsia="??_GB2312" w:cs="??_GB2312"/>
                <w:b w:val="0"/>
                <w:sz w:val="24"/>
              </w:rPr>
              <w:t>首年系统运行维护费</w:t>
            </w:r>
          </w:p>
        </w:tc>
        <w:tc>
          <w:tcPr>
            <w:tcW w:type="dxa" w:w="2948"/>
            <w:vAlign w:val="center"/>
          </w:tcPr>
          <w:p>
            <w:pPr>
              <w:spacing w:line="240" w:lineRule="auto" w:before="0" w:after="0"/>
              <w:jc w:val="center"/>
            </w:pPr>
            <w:r/>
            <w:r>
              <w:rPr>
                <w:rFonts w:ascii="??_GB2312" w:hAnsi="??_GB2312" w:eastAsia="??_GB2312" w:cs="??_GB2312"/>
                <w:b w:val="0"/>
                <w:sz w:val="24"/>
              </w:rPr>
              <w:t>56</w:t>
            </w:r>
          </w:p>
        </w:tc>
        <w:tc>
          <w:tcPr>
            <w:tcW w:type="dxa" w:w="2948"/>
            <w:vAlign w:val="center"/>
          </w:tcPr>
          <w:p>
            <w:pPr>
              <w:spacing w:line="240" w:lineRule="auto" w:before="0" w:after="0"/>
              <w:jc w:val="center"/>
            </w:pPr>
            <w:r/>
            <w:r>
              <w:rPr>
                <w:rFonts w:ascii="??_GB2312" w:hAnsi="??_GB2312" w:eastAsia="??_GB2312" w:cs="??_GB2312"/>
                <w:b w:val="0"/>
                <w:sz w:val="24"/>
              </w:rPr>
              <w:t>首年巡检、故障处理、版本优化、补丁修复、数据库和中间件维护、数据备份恢复、安全加固</w:t>
            </w:r>
          </w:p>
        </w:tc>
      </w:tr>
      <w:tr>
        <w:tc>
          <w:tcPr>
            <w:tcW w:type="dxa" w:w="2948"/>
            <w:vAlign w:val="center"/>
          </w:tcPr>
          <w:p>
            <w:pPr>
              <w:spacing w:line="240" w:lineRule="auto" w:before="0" w:after="0"/>
              <w:jc w:val="center"/>
            </w:pPr>
            <w:r/>
            <w:r>
              <w:rPr>
                <w:rFonts w:ascii="??_GB2312" w:hAnsi="??_GB2312" w:eastAsia="??_GB2312" w:cs="??_GB2312"/>
                <w:b w:val="0"/>
                <w:sz w:val="24"/>
              </w:rPr>
              <w:t>硬件协同维护与现场技术支撑费</w:t>
            </w:r>
          </w:p>
        </w:tc>
        <w:tc>
          <w:tcPr>
            <w:tcW w:type="dxa" w:w="2948"/>
            <w:vAlign w:val="center"/>
          </w:tcPr>
          <w:p>
            <w:pPr>
              <w:spacing w:line="240" w:lineRule="auto" w:before="0" w:after="0"/>
              <w:jc w:val="center"/>
            </w:pPr>
            <w:r/>
            <w:r>
              <w:rPr>
                <w:rFonts w:ascii="??_GB2312" w:hAnsi="??_GB2312" w:eastAsia="??_GB2312" w:cs="??_GB2312"/>
                <w:b w:val="0"/>
                <w:sz w:val="24"/>
              </w:rPr>
              <w:t>34</w:t>
            </w:r>
          </w:p>
        </w:tc>
        <w:tc>
          <w:tcPr>
            <w:tcW w:type="dxa" w:w="2948"/>
            <w:vAlign w:val="center"/>
          </w:tcPr>
          <w:p>
            <w:pPr>
              <w:spacing w:line="240" w:lineRule="auto" w:before="0" w:after="0"/>
              <w:jc w:val="center"/>
            </w:pPr>
            <w:r/>
            <w:r>
              <w:rPr>
                <w:rFonts w:ascii="??_GB2312" w:hAnsi="??_GB2312" w:eastAsia="??_GB2312" w:cs="??_GB2312"/>
                <w:b w:val="0"/>
                <w:sz w:val="24"/>
              </w:rPr>
              <w:t>设备在线异常协同、现场联调、故障排查、设备更换支撑、台账治理和专项到场服务</w:t>
            </w:r>
          </w:p>
        </w:tc>
      </w:tr>
      <w:tr>
        <w:tc>
          <w:tcPr>
            <w:tcW w:type="dxa" w:w="2948"/>
            <w:vAlign w:val="center"/>
          </w:tcPr>
          <w:p>
            <w:pPr>
              <w:spacing w:line="240" w:lineRule="auto" w:before="0" w:after="0"/>
              <w:jc w:val="center"/>
            </w:pPr>
            <w:r/>
            <w:r>
              <w:rPr>
                <w:rFonts w:ascii="??_GB2312" w:hAnsi="??_GB2312" w:eastAsia="??_GB2312" w:cs="??_GB2312"/>
                <w:b w:val="0"/>
                <w:sz w:val="24"/>
              </w:rPr>
              <w:t>服务器及云资源购置费</w:t>
            </w:r>
          </w:p>
        </w:tc>
        <w:tc>
          <w:tcPr>
            <w:tcW w:type="dxa" w:w="2948"/>
            <w:vAlign w:val="center"/>
          </w:tcPr>
          <w:p>
            <w:pPr>
              <w:spacing w:line="240" w:lineRule="auto" w:before="0" w:after="0"/>
              <w:jc w:val="center"/>
            </w:pPr>
            <w:r/>
            <w:r>
              <w:rPr>
                <w:rFonts w:ascii="??_GB2312" w:hAnsi="??_GB2312" w:eastAsia="??_GB2312" w:cs="??_GB2312"/>
                <w:b w:val="0"/>
                <w:sz w:val="24"/>
              </w:rPr>
              <w:t>26</w:t>
            </w:r>
          </w:p>
        </w:tc>
        <w:tc>
          <w:tcPr>
            <w:tcW w:type="dxa" w:w="2948"/>
            <w:vAlign w:val="center"/>
          </w:tcPr>
          <w:p>
            <w:pPr>
              <w:spacing w:line="240" w:lineRule="auto" w:before="0" w:after="0"/>
              <w:jc w:val="center"/>
            </w:pPr>
            <w:r/>
            <w:r>
              <w:rPr>
                <w:rFonts w:ascii="??_GB2312" w:hAnsi="??_GB2312" w:eastAsia="??_GB2312" w:cs="??_GB2312"/>
                <w:b w:val="0"/>
                <w:sz w:val="24"/>
              </w:rPr>
              <w:t>应用服务、数据库、缓存、对象存储、备份空间、监控资源、带宽与容灾冗余资源</w:t>
            </w:r>
          </w:p>
        </w:tc>
      </w:tr>
      <w:tr>
        <w:tc>
          <w:tcPr>
            <w:tcW w:type="dxa" w:w="2948"/>
            <w:vAlign w:val="center"/>
          </w:tcPr>
          <w:p>
            <w:pPr>
              <w:spacing w:line="240" w:lineRule="auto" w:before="0" w:after="0"/>
              <w:jc w:val="center"/>
            </w:pPr>
            <w:r/>
            <w:r>
              <w:rPr>
                <w:rFonts w:ascii="??_GB2312" w:hAnsi="??_GB2312" w:eastAsia="??_GB2312" w:cs="??_GB2312"/>
                <w:b w:val="0"/>
                <w:sz w:val="24"/>
              </w:rPr>
              <w:t>短信与消息服务费</w:t>
            </w:r>
          </w:p>
        </w:tc>
        <w:tc>
          <w:tcPr>
            <w:tcW w:type="dxa" w:w="2948"/>
            <w:vAlign w:val="center"/>
          </w:tcPr>
          <w:p>
            <w:pPr>
              <w:spacing w:line="240" w:lineRule="auto" w:before="0" w:after="0"/>
              <w:jc w:val="center"/>
            </w:pPr>
            <w:r/>
            <w:r>
              <w:rPr>
                <w:rFonts w:ascii="??_GB2312" w:hAnsi="??_GB2312" w:eastAsia="??_GB2312" w:cs="??_GB2312"/>
                <w:b w:val="0"/>
                <w:sz w:val="24"/>
              </w:rPr>
              <w:t>8</w:t>
            </w:r>
          </w:p>
        </w:tc>
        <w:tc>
          <w:tcPr>
            <w:tcW w:type="dxa" w:w="2948"/>
            <w:vAlign w:val="center"/>
          </w:tcPr>
          <w:p>
            <w:pPr>
              <w:spacing w:line="240" w:lineRule="auto" w:before="0" w:after="0"/>
              <w:jc w:val="center"/>
            </w:pPr>
            <w:r/>
            <w:r>
              <w:rPr>
                <w:rFonts w:ascii="??_GB2312" w:hAnsi="??_GB2312" w:eastAsia="??_GB2312" w:cs="??_GB2312"/>
                <w:b w:val="0"/>
                <w:sz w:val="24"/>
              </w:rPr>
              <w:t>告警短信、通知消息、关键提醒触达、首年消息通道服务</w:t>
            </w:r>
          </w:p>
        </w:tc>
      </w:tr>
      <w:tr>
        <w:tc>
          <w:tcPr>
            <w:tcW w:type="dxa" w:w="2948"/>
            <w:vAlign w:val="center"/>
          </w:tcPr>
          <w:p>
            <w:pPr>
              <w:spacing w:line="240" w:lineRule="auto" w:before="0" w:after="0"/>
              <w:jc w:val="center"/>
            </w:pPr>
            <w:r/>
            <w:r>
              <w:rPr>
                <w:rFonts w:ascii="??_GB2312" w:hAnsi="??_GB2312" w:eastAsia="??_GB2312" w:cs="??_GB2312"/>
                <w:b w:val="0"/>
                <w:sz w:val="24"/>
              </w:rPr>
              <w:t>AI 增值服务费</w:t>
            </w:r>
          </w:p>
        </w:tc>
        <w:tc>
          <w:tcPr>
            <w:tcW w:type="dxa" w:w="2948"/>
            <w:vAlign w:val="center"/>
          </w:tcPr>
          <w:p>
            <w:pPr>
              <w:spacing w:line="240" w:lineRule="auto" w:before="0" w:after="0"/>
              <w:jc w:val="center"/>
            </w:pPr>
            <w:r/>
            <w:r>
              <w:rPr>
                <w:rFonts w:ascii="??_GB2312" w:hAnsi="??_GB2312" w:eastAsia="??_GB2312" w:cs="??_GB2312"/>
                <w:b w:val="0"/>
                <w:sz w:val="24"/>
              </w:rPr>
              <w:t>22</w:t>
            </w:r>
          </w:p>
        </w:tc>
        <w:tc>
          <w:tcPr>
            <w:tcW w:type="dxa" w:w="2948"/>
            <w:vAlign w:val="center"/>
          </w:tcPr>
          <w:p>
            <w:pPr>
              <w:spacing w:line="240" w:lineRule="auto" w:before="0" w:after="0"/>
              <w:jc w:val="center"/>
            </w:pPr>
            <w:r/>
            <w:r>
              <w:rPr>
                <w:rFonts w:ascii="??_GB2312" w:hAnsi="??_GB2312" w:eastAsia="??_GB2312" w:cs="??_GB2312"/>
                <w:b w:val="0"/>
                <w:sz w:val="24"/>
              </w:rPr>
              <w:t>报告智能生成、趋势分析辅助、预警文本摘要、智能问答与知识辅助能力</w:t>
            </w:r>
          </w:p>
        </w:tc>
      </w:tr>
      <w:tr>
        <w:tc>
          <w:tcPr>
            <w:tcW w:type="dxa" w:w="2948"/>
            <w:vAlign w:val="center"/>
          </w:tcPr>
          <w:p>
            <w:pPr>
              <w:spacing w:line="240" w:lineRule="auto" w:before="0" w:after="0"/>
              <w:jc w:val="center"/>
            </w:pPr>
            <w:r/>
            <w:r>
              <w:rPr>
                <w:rFonts w:ascii="??_GB2312" w:hAnsi="??_GB2312" w:eastAsia="??_GB2312" w:cs="??_GB2312"/>
                <w:b w:val="0"/>
                <w:sz w:val="24"/>
              </w:rPr>
              <w:t>测试验收、培训与安全测评费</w:t>
            </w:r>
          </w:p>
        </w:tc>
        <w:tc>
          <w:tcPr>
            <w:tcW w:type="dxa" w:w="2948"/>
            <w:vAlign w:val="center"/>
          </w:tcPr>
          <w:p>
            <w:pPr>
              <w:spacing w:line="240" w:lineRule="auto" w:before="0" w:after="0"/>
              <w:jc w:val="center"/>
            </w:pPr>
            <w:r/>
            <w:r>
              <w:rPr>
                <w:rFonts w:ascii="??_GB2312" w:hAnsi="??_GB2312" w:eastAsia="??_GB2312" w:cs="??_GB2312"/>
                <w:b w:val="0"/>
                <w:sz w:val="24"/>
              </w:rPr>
              <w:t>12</w:t>
            </w:r>
          </w:p>
        </w:tc>
        <w:tc>
          <w:tcPr>
            <w:tcW w:type="dxa" w:w="2948"/>
            <w:vAlign w:val="center"/>
          </w:tcPr>
          <w:p>
            <w:pPr>
              <w:spacing w:line="240" w:lineRule="auto" w:before="0" w:after="0"/>
              <w:jc w:val="center"/>
            </w:pPr>
            <w:r/>
            <w:r>
              <w:rPr>
                <w:rFonts w:ascii="??_GB2312" w:hAnsi="??_GB2312" w:eastAsia="??_GB2312" w:cs="??_GB2312"/>
                <w:b w:val="0"/>
                <w:sz w:val="24"/>
              </w:rPr>
              <w:t>集成测试、真实环境验收、使用培训、操作手册、安全检查与加固</w:t>
            </w:r>
          </w:p>
        </w:tc>
      </w:tr>
      <w:tr>
        <w:tc>
          <w:tcPr>
            <w:tcW w:type="dxa" w:w="2948"/>
            <w:vAlign w:val="center"/>
          </w:tcPr>
          <w:p>
            <w:pPr>
              <w:spacing w:line="240" w:lineRule="auto" w:before="0" w:after="0"/>
              <w:jc w:val="center"/>
            </w:pPr>
            <w:r/>
            <w:r>
              <w:rPr>
                <w:rFonts w:ascii="??_GB2312" w:hAnsi="??_GB2312" w:eastAsia="??_GB2312" w:cs="??_GB2312"/>
                <w:b w:val="0"/>
                <w:sz w:val="24"/>
              </w:rPr>
              <w:t>项目管理与交付保障费</w:t>
            </w:r>
          </w:p>
        </w:tc>
        <w:tc>
          <w:tcPr>
            <w:tcW w:type="dxa" w:w="2948"/>
            <w:vAlign w:val="center"/>
          </w:tcPr>
          <w:p>
            <w:pPr>
              <w:spacing w:line="240" w:lineRule="auto" w:before="0" w:after="0"/>
              <w:jc w:val="center"/>
            </w:pPr>
            <w:r/>
            <w:r>
              <w:rPr>
                <w:rFonts w:ascii="??_GB2312" w:hAnsi="??_GB2312" w:eastAsia="??_GB2312" w:cs="??_GB2312"/>
                <w:b w:val="0"/>
                <w:sz w:val="24"/>
              </w:rPr>
              <w:t>24</w:t>
            </w:r>
          </w:p>
        </w:tc>
        <w:tc>
          <w:tcPr>
            <w:tcW w:type="dxa" w:w="2948"/>
            <w:vAlign w:val="center"/>
          </w:tcPr>
          <w:p>
            <w:pPr>
              <w:spacing w:line="240" w:lineRule="auto" w:before="0" w:after="0"/>
              <w:jc w:val="center"/>
            </w:pPr>
            <w:r/>
            <w:r>
              <w:rPr>
                <w:rFonts w:ascii="??_GB2312" w:hAnsi="??_GB2312" w:eastAsia="??_GB2312" w:cs="??_GB2312"/>
                <w:b w:val="0"/>
                <w:sz w:val="24"/>
              </w:rPr>
              <w:t>项目统筹、进度管控、需求管理、文档交付、月报季报和实施组织保障</w:t>
            </w:r>
          </w:p>
        </w:tc>
      </w:tr>
      <w:tr>
        <w:tc>
          <w:tcPr>
            <w:tcW w:type="dxa" w:w="2948"/>
            <w:vAlign w:val="center"/>
          </w:tcPr>
          <w:p>
            <w:pPr>
              <w:spacing w:line="240" w:lineRule="auto" w:before="0" w:after="0"/>
              <w:jc w:val="center"/>
            </w:pPr>
            <w:r/>
            <w:r>
              <w:rPr>
                <w:rFonts w:ascii="??_GB2312" w:hAnsi="??_GB2312" w:eastAsia="??_GB2312" w:cs="??_GB2312"/>
                <w:b w:val="0"/>
                <w:sz w:val="24"/>
              </w:rPr>
              <w:t>合计</w:t>
            </w:r>
          </w:p>
        </w:tc>
        <w:tc>
          <w:tcPr>
            <w:tcW w:type="dxa" w:w="2948"/>
            <w:vAlign w:val="center"/>
          </w:tcPr>
          <w:p>
            <w:pPr>
              <w:spacing w:line="240" w:lineRule="auto" w:before="0" w:after="0"/>
              <w:jc w:val="center"/>
            </w:pPr>
            <w:r/>
            <w:r>
              <w:rPr>
                <w:rFonts w:ascii="??_GB2312" w:hAnsi="??_GB2312" w:eastAsia="??_GB2312" w:cs="??_GB2312"/>
                <w:b w:val="0"/>
                <w:sz w:val="24"/>
              </w:rPr>
              <w:t>300</w:t>
            </w:r>
          </w:p>
        </w:tc>
        <w:tc>
          <w:tcPr>
            <w:tcW w:type="dxa" w:w="2948"/>
            <w:vAlign w:val="center"/>
          </w:tcPr>
          <w:p>
            <w:pPr>
              <w:spacing w:line="240" w:lineRule="auto" w:before="0" w:after="0"/>
              <w:jc w:val="center"/>
            </w:pPr>
            <w:r/>
            <w:r>
              <w:rPr>
                <w:rFonts w:ascii="??_GB2312" w:hAnsi="??_GB2312" w:eastAsia="??_GB2312" w:cs="??_GB2312"/>
                <w:b w:val="0"/>
                <w:sz w:val="24"/>
              </w:rPr>
              <w:t>本次优化升级建设费 + 首年运行保障费合计控制在 300 万元左右</w:t>
            </w:r>
          </w:p>
        </w:tc>
      </w:tr>
    </w:tbl>
    <w:p/>
    <w:p>
      <w:pPr>
        <w:spacing w:line="360" w:lineRule="auto" w:before="60" w:after="60"/>
        <w:jc w:val="left"/>
      </w:pPr>
      <w:r>
        <w:rPr>
          <w:rFonts w:ascii="??_GB2312" w:hAnsi="??_GB2312" w:eastAsia="??_GB2312" w:cs="??_GB2312"/>
          <w:b/>
          <w:sz w:val="32"/>
        </w:rPr>
        <w:t>（三）费用说明</w:t>
      </w:r>
    </w:p>
    <w:p>
      <w:pPr>
        <w:spacing w:line="360" w:lineRule="auto" w:before="0" w:after="0"/>
        <w:ind w:left="0"/>
        <w:jc w:val="both"/>
      </w:pPr>
      <w:r>
        <w:rPr>
          <w:rFonts w:ascii="??_GB2312" w:hAnsi="??_GB2312" w:eastAsia="??_GB2312" w:cs="??_GB2312"/>
          <w:b w:val="0"/>
          <w:sz w:val="32"/>
        </w:rPr>
        <w:t>1. 系统升级开发与集成实施费 是本次投资的主体，主要用于把 1.0 已提出但尚未平台化的业务能力，与当前统一平台底座真正融合。</w:t>
      </w:r>
    </w:p>
    <w:p>
      <w:pPr>
        <w:spacing w:line="360" w:lineRule="auto" w:before="0" w:after="0"/>
        <w:ind w:left="0"/>
        <w:jc w:val="both"/>
      </w:pPr>
      <w:r>
        <w:rPr>
          <w:rFonts w:ascii="??_GB2312" w:hAnsi="??_GB2312" w:eastAsia="??_GB2312" w:cs="??_GB2312"/>
          <w:b w:val="0"/>
          <w:sz w:val="32"/>
        </w:rPr>
        <w:t>2. 首年系统运行维护费 不是重复收费，而是确保升级后的系统在首年能够平稳上线、稳定运行、快速响应问题的必要投入。</w:t>
      </w:r>
    </w:p>
    <w:p>
      <w:pPr>
        <w:spacing w:line="360" w:lineRule="auto" w:before="0" w:after="0"/>
        <w:ind w:left="0"/>
        <w:jc w:val="both"/>
      </w:pPr>
      <w:r>
        <w:rPr>
          <w:rFonts w:ascii="??_GB2312" w:hAnsi="??_GB2312" w:eastAsia="??_GB2312" w:cs="??_GB2312"/>
          <w:b w:val="0"/>
          <w:sz w:val="32"/>
        </w:rPr>
        <w:t>3. 硬件协同维护与现场技术支撑费 用于解决“平台有数据异常但现场无支撑、现场有设备故障但系统无闭环”的问题，属于保障系统实效的重要投入。</w:t>
      </w:r>
    </w:p>
    <w:p>
      <w:pPr>
        <w:spacing w:line="360" w:lineRule="auto" w:before="0" w:after="0"/>
        <w:ind w:left="0"/>
        <w:jc w:val="both"/>
      </w:pPr>
      <w:r>
        <w:rPr>
          <w:rFonts w:ascii="??_GB2312" w:hAnsi="??_GB2312" w:eastAsia="??_GB2312" w:cs="??_GB2312"/>
          <w:b w:val="0"/>
          <w:sz w:val="32"/>
        </w:rPr>
        <w:t>4. 服务器及云资源购置费、短信与消息服务费、AI 增值服务费 属于平台稳定运行和服务升级的必要成本，不宜纳入单纯的软件开发费中统算。</w:t>
      </w:r>
    </w:p>
    <w:p>
      <w:pPr>
        <w:spacing w:line="360" w:lineRule="auto" w:before="60" w:after="60"/>
        <w:jc w:val="left"/>
      </w:pPr>
      <w:r>
        <w:rPr>
          <w:rFonts w:ascii="??_GB2312" w:hAnsi="??_GB2312" w:eastAsia="??_GB2312" w:cs="??_GB2312"/>
          <w:b/>
          <w:sz w:val="32"/>
        </w:rPr>
        <w:t>（四）支付建议</w:t>
      </w:r>
    </w:p>
    <w:p>
      <w:pPr>
        <w:spacing w:line="360" w:lineRule="auto" w:before="0" w:after="0"/>
        <w:ind w:firstLine="640"/>
        <w:jc w:val="both"/>
      </w:pPr>
      <w:r>
        <w:rPr>
          <w:rFonts w:ascii="??_GB2312" w:hAnsi="??_GB2312" w:eastAsia="??_GB2312" w:cs="??_GB2312"/>
          <w:b w:val="0"/>
          <w:sz w:val="32"/>
        </w:rPr>
        <w:t>建议采用“分阶段支付 + 验收挂钩”的方式执行：</w:t>
      </w:r>
    </w:p>
    <w:p>
      <w:pPr>
        <w:spacing w:line="360" w:lineRule="auto" w:before="0" w:after="0"/>
        <w:ind w:left="0"/>
        <w:jc w:val="both"/>
      </w:pPr>
      <w:r>
        <w:rPr>
          <w:rFonts w:ascii="??_GB2312" w:hAnsi="??_GB2312" w:eastAsia="??_GB2312" w:cs="??_GB2312"/>
          <w:b w:val="0"/>
          <w:sz w:val="32"/>
        </w:rPr>
        <w:t>1. 合同签订后支付启动款。</w:t>
      </w:r>
    </w:p>
    <w:p>
      <w:pPr>
        <w:spacing w:line="360" w:lineRule="auto" w:before="0" w:after="0"/>
        <w:ind w:left="0"/>
        <w:jc w:val="both"/>
      </w:pPr>
      <w:r>
        <w:rPr>
          <w:rFonts w:ascii="??_GB2312" w:hAnsi="??_GB2312" w:eastAsia="??_GB2312" w:cs="??_GB2312"/>
          <w:b w:val="0"/>
          <w:sz w:val="32"/>
        </w:rPr>
        <w:t>2. 核心升级开发完成并通过联调测试后支付中期款。</w:t>
      </w:r>
    </w:p>
    <w:p>
      <w:pPr>
        <w:spacing w:line="360" w:lineRule="auto" w:before="0" w:after="0"/>
        <w:ind w:left="0"/>
        <w:jc w:val="both"/>
      </w:pPr>
      <w:r>
        <w:rPr>
          <w:rFonts w:ascii="??_GB2312" w:hAnsi="??_GB2312" w:eastAsia="??_GB2312" w:cs="??_GB2312"/>
          <w:b w:val="0"/>
          <w:sz w:val="32"/>
        </w:rPr>
        <w:t>3. 平台上线并完成阶段验收后支付验收款。</w:t>
      </w:r>
    </w:p>
    <w:p>
      <w:pPr>
        <w:spacing w:line="360" w:lineRule="auto" w:before="0" w:after="0"/>
        <w:ind w:left="0"/>
        <w:jc w:val="both"/>
      </w:pPr>
      <w:r>
        <w:rPr>
          <w:rFonts w:ascii="??_GB2312" w:hAnsi="??_GB2312" w:eastAsia="??_GB2312" w:cs="??_GB2312"/>
          <w:b w:val="0"/>
          <w:sz w:val="32"/>
        </w:rPr>
        <w:t>4. 首年运行保障期考核通过后支付尾款。</w:t>
      </w:r>
    </w:p>
    <w:p>
      <w:pPr>
        <w:spacing w:line="360" w:lineRule="auto" w:before="0" w:after="0"/>
        <w:ind w:firstLine="640"/>
        <w:jc w:val="both"/>
      </w:pPr>
      <w:r>
        <w:rPr>
          <w:rFonts w:ascii="??_GB2312" w:hAnsi="??_GB2312" w:eastAsia="??_GB2312" w:cs="??_GB2312"/>
          <w:b w:val="0"/>
          <w:sz w:val="32"/>
        </w:rPr>
        <w:t>具体支付比例可结合业主单位财务制度和采购合同要求另行明确。</w:t>
      </w:r>
    </w:p>
    <w:p>
      <w:pPr>
        <w:spacing w:line="360" w:lineRule="auto" w:before="120" w:after="120"/>
        <w:jc w:val="left"/>
      </w:pPr>
      <w:r>
        <w:rPr>
          <w:rFonts w:ascii="??" w:hAnsi="??" w:eastAsia="??" w:cs="??"/>
          <w:b/>
          <w:sz w:val="32"/>
        </w:rPr>
        <w:t>七、后续年度维护费用参考</w:t>
      </w:r>
    </w:p>
    <w:p>
      <w:pPr>
        <w:spacing w:line="360" w:lineRule="auto" w:before="0" w:after="0"/>
        <w:ind w:firstLine="640"/>
        <w:jc w:val="both"/>
      </w:pPr>
      <w:r>
        <w:rPr>
          <w:rFonts w:ascii="??_GB2312" w:hAnsi="??_GB2312" w:eastAsia="??_GB2312" w:cs="??_GB2312"/>
          <w:b w:val="0"/>
          <w:sz w:val="32"/>
        </w:rPr>
        <w:t>本次 300 万元投资中，已经包含“本次优化升级建设费 + 首年运行保障费”。在本次升级责任期届满后，平台进入常态化运行阶段，后续年度仍需安排专项运维经费。</w:t>
      </w:r>
    </w:p>
    <w:p>
      <w:pPr>
        <w:spacing w:line="360" w:lineRule="auto" w:before="0" w:after="0"/>
        <w:ind w:firstLine="640"/>
        <w:jc w:val="both"/>
      </w:pPr>
      <w:r>
        <w:rPr>
          <w:rFonts w:ascii="??_GB2312" w:hAnsi="??_GB2312" w:eastAsia="??_GB2312" w:cs="??_GB2312"/>
          <w:b w:val="0"/>
          <w:sz w:val="32"/>
        </w:rPr>
        <w:t>建议后续年度维护费用参考控制在 200 万元/年左右，主要构成为：</w:t>
      </w:r>
    </w:p>
    <w:tbl>
      <w:tblPr>
        <w:tblStyle w:val="TableGrid"/>
        <w:tblW w:type="auto" w:w="0"/>
        <w:jc w:val="center"/>
        <w:tblLayout w:type="autofit"/>
        <w:tblLook w:firstColumn="1" w:firstRow="1" w:lastColumn="0" w:lastRow="0" w:noHBand="0" w:noVBand="1" w:val="04A0"/>
      </w:tblPr>
      <w:tblGrid>
        <w:gridCol w:w="2948"/>
        <w:gridCol w:w="2948"/>
        <w:gridCol w:w="2948"/>
      </w:tblGrid>
      <w:tr>
        <w:tc>
          <w:tcPr>
            <w:tcW w:type="dxa" w:w="2948"/>
            <w:vAlign w:val="center"/>
          </w:tcPr>
          <w:p>
            <w:pPr>
              <w:spacing w:line="240" w:lineRule="auto" w:before="0" w:after="0"/>
              <w:jc w:val="center"/>
            </w:pPr>
            <w:r/>
            <w:r>
              <w:rPr>
                <w:rFonts w:ascii="??" w:hAnsi="??" w:eastAsia="??" w:cs="??"/>
                <w:b/>
                <w:sz w:val="24"/>
              </w:rPr>
              <w:t>后续年度维护费用类别</w:t>
            </w:r>
          </w:p>
        </w:tc>
        <w:tc>
          <w:tcPr>
            <w:tcW w:type="dxa" w:w="2948"/>
            <w:vAlign w:val="center"/>
          </w:tcPr>
          <w:p>
            <w:pPr>
              <w:spacing w:line="240" w:lineRule="auto" w:before="0" w:after="0"/>
              <w:jc w:val="center"/>
            </w:pPr>
            <w:r/>
            <w:r>
              <w:rPr>
                <w:rFonts w:ascii="??" w:hAnsi="??" w:eastAsia="??" w:cs="??"/>
                <w:b/>
                <w:sz w:val="24"/>
              </w:rPr>
              <w:t>金额（万元/年）</w:t>
            </w:r>
          </w:p>
        </w:tc>
        <w:tc>
          <w:tcPr>
            <w:tcW w:type="dxa" w:w="2948"/>
            <w:vAlign w:val="center"/>
          </w:tcPr>
          <w:p>
            <w:pPr>
              <w:spacing w:line="240" w:lineRule="auto" w:before="0" w:after="0"/>
              <w:jc w:val="center"/>
            </w:pPr>
            <w:r/>
            <w:r>
              <w:rPr>
                <w:rFonts w:ascii="??" w:hAnsi="??" w:eastAsia="??" w:cs="??"/>
                <w:b/>
                <w:sz w:val="24"/>
              </w:rPr>
              <w:t>主要内容</w:t>
            </w:r>
          </w:p>
        </w:tc>
      </w:tr>
      <w:tr>
        <w:tc>
          <w:tcPr>
            <w:tcW w:type="dxa" w:w="2948"/>
            <w:vAlign w:val="center"/>
          </w:tcPr>
          <w:p>
            <w:pPr>
              <w:spacing w:line="240" w:lineRule="auto" w:before="0" w:after="0"/>
              <w:jc w:val="center"/>
            </w:pPr>
            <w:r/>
            <w:r>
              <w:rPr>
                <w:rFonts w:ascii="??_GB2312" w:hAnsi="??_GB2312" w:eastAsia="??_GB2312" w:cs="??_GB2312"/>
                <w:b w:val="0"/>
                <w:sz w:val="24"/>
              </w:rPr>
              <w:t>系统运行维护与故障响应</w:t>
            </w:r>
          </w:p>
        </w:tc>
        <w:tc>
          <w:tcPr>
            <w:tcW w:type="dxa" w:w="2948"/>
            <w:vAlign w:val="center"/>
          </w:tcPr>
          <w:p>
            <w:pPr>
              <w:spacing w:line="240" w:lineRule="auto" w:before="0" w:after="0"/>
              <w:jc w:val="center"/>
            </w:pPr>
            <w:r/>
            <w:r>
              <w:rPr>
                <w:rFonts w:ascii="??_GB2312" w:hAnsi="??_GB2312" w:eastAsia="??_GB2312" w:cs="??_GB2312"/>
                <w:b w:val="0"/>
                <w:sz w:val="24"/>
              </w:rPr>
              <w:t>72</w:t>
            </w:r>
          </w:p>
        </w:tc>
        <w:tc>
          <w:tcPr>
            <w:tcW w:type="dxa" w:w="2948"/>
            <w:vAlign w:val="center"/>
          </w:tcPr>
          <w:p>
            <w:pPr>
              <w:spacing w:line="240" w:lineRule="auto" w:before="0" w:after="0"/>
              <w:jc w:val="center"/>
            </w:pPr>
            <w:r/>
            <w:r>
              <w:rPr>
                <w:rFonts w:ascii="??_GB2312" w:hAnsi="??_GB2312" w:eastAsia="??_GB2312" w:cs="??_GB2312"/>
                <w:b w:val="0"/>
                <w:sz w:val="24"/>
              </w:rPr>
              <w:t>日常巡检、故障处理、版本维护、补丁修复、数据库与中间件维护</w:t>
            </w:r>
          </w:p>
        </w:tc>
      </w:tr>
      <w:tr>
        <w:tc>
          <w:tcPr>
            <w:tcW w:type="dxa" w:w="2948"/>
            <w:vAlign w:val="center"/>
          </w:tcPr>
          <w:p>
            <w:pPr>
              <w:spacing w:line="240" w:lineRule="auto" w:before="0" w:after="0"/>
              <w:jc w:val="center"/>
            </w:pPr>
            <w:r/>
            <w:r>
              <w:rPr>
                <w:rFonts w:ascii="??_GB2312" w:hAnsi="??_GB2312" w:eastAsia="??_GB2312" w:cs="??_GB2312"/>
                <w:b w:val="0"/>
                <w:sz w:val="24"/>
              </w:rPr>
              <w:t>小版本优化与策略调整</w:t>
            </w:r>
          </w:p>
        </w:tc>
        <w:tc>
          <w:tcPr>
            <w:tcW w:type="dxa" w:w="2948"/>
            <w:vAlign w:val="center"/>
          </w:tcPr>
          <w:p>
            <w:pPr>
              <w:spacing w:line="240" w:lineRule="auto" w:before="0" w:after="0"/>
              <w:jc w:val="center"/>
            </w:pPr>
            <w:r/>
            <w:r>
              <w:rPr>
                <w:rFonts w:ascii="??_GB2312" w:hAnsi="??_GB2312" w:eastAsia="??_GB2312" w:cs="??_GB2312"/>
                <w:b w:val="0"/>
                <w:sz w:val="24"/>
              </w:rPr>
              <w:t>36</w:t>
            </w:r>
          </w:p>
        </w:tc>
        <w:tc>
          <w:tcPr>
            <w:tcW w:type="dxa" w:w="2948"/>
            <w:vAlign w:val="center"/>
          </w:tcPr>
          <w:p>
            <w:pPr>
              <w:spacing w:line="240" w:lineRule="auto" w:before="0" w:after="0"/>
              <w:jc w:val="center"/>
            </w:pPr>
            <w:r/>
            <w:r>
              <w:rPr>
                <w:rFonts w:ascii="??_GB2312" w:hAnsi="??_GB2312" w:eastAsia="??_GB2312" w:cs="??_GB2312"/>
                <w:b w:val="0"/>
                <w:sz w:val="24"/>
              </w:rPr>
              <w:t>页面优化、规则调整、报表调整、业务小需求迭代</w:t>
            </w:r>
          </w:p>
        </w:tc>
      </w:tr>
      <w:tr>
        <w:tc>
          <w:tcPr>
            <w:tcW w:type="dxa" w:w="2948"/>
            <w:vAlign w:val="center"/>
          </w:tcPr>
          <w:p>
            <w:pPr>
              <w:spacing w:line="240" w:lineRule="auto" w:before="0" w:after="0"/>
              <w:jc w:val="center"/>
            </w:pPr>
            <w:r/>
            <w:r>
              <w:rPr>
                <w:rFonts w:ascii="??_GB2312" w:hAnsi="??_GB2312" w:eastAsia="??_GB2312" w:cs="??_GB2312"/>
                <w:b w:val="0"/>
                <w:sz w:val="24"/>
              </w:rPr>
              <w:t>硬件协同维护支撑</w:t>
            </w:r>
          </w:p>
        </w:tc>
        <w:tc>
          <w:tcPr>
            <w:tcW w:type="dxa" w:w="2948"/>
            <w:vAlign w:val="center"/>
          </w:tcPr>
          <w:p>
            <w:pPr>
              <w:spacing w:line="240" w:lineRule="auto" w:before="0" w:after="0"/>
              <w:jc w:val="center"/>
            </w:pPr>
            <w:r/>
            <w:r>
              <w:rPr>
                <w:rFonts w:ascii="??_GB2312" w:hAnsi="??_GB2312" w:eastAsia="??_GB2312" w:cs="??_GB2312"/>
                <w:b w:val="0"/>
                <w:sz w:val="24"/>
              </w:rPr>
              <w:t>28</w:t>
            </w:r>
          </w:p>
        </w:tc>
        <w:tc>
          <w:tcPr>
            <w:tcW w:type="dxa" w:w="2948"/>
            <w:vAlign w:val="center"/>
          </w:tcPr>
          <w:p>
            <w:pPr>
              <w:spacing w:line="240" w:lineRule="auto" w:before="0" w:after="0"/>
              <w:jc w:val="center"/>
            </w:pPr>
            <w:r/>
            <w:r>
              <w:rPr>
                <w:rFonts w:ascii="??_GB2312" w:hAnsi="??_GB2312" w:eastAsia="??_GB2312" w:cs="??_GB2312"/>
                <w:b w:val="0"/>
                <w:sz w:val="24"/>
              </w:rPr>
              <w:t>在线异常协同、现场联调、设备更换支撑和专项排查</w:t>
            </w:r>
          </w:p>
        </w:tc>
      </w:tr>
      <w:tr>
        <w:tc>
          <w:tcPr>
            <w:tcW w:type="dxa" w:w="2948"/>
            <w:vAlign w:val="center"/>
          </w:tcPr>
          <w:p>
            <w:pPr>
              <w:spacing w:line="240" w:lineRule="auto" w:before="0" w:after="0"/>
              <w:jc w:val="center"/>
            </w:pPr>
            <w:r/>
            <w:r>
              <w:rPr>
                <w:rFonts w:ascii="??_GB2312" w:hAnsi="??_GB2312" w:eastAsia="??_GB2312" w:cs="??_GB2312"/>
                <w:b w:val="0"/>
                <w:sz w:val="24"/>
              </w:rPr>
              <w:t>服务器及云资源续费</w:t>
            </w:r>
          </w:p>
        </w:tc>
        <w:tc>
          <w:tcPr>
            <w:tcW w:type="dxa" w:w="2948"/>
            <w:vAlign w:val="center"/>
          </w:tcPr>
          <w:p>
            <w:pPr>
              <w:spacing w:line="240" w:lineRule="auto" w:before="0" w:after="0"/>
              <w:jc w:val="center"/>
            </w:pPr>
            <w:r/>
            <w:r>
              <w:rPr>
                <w:rFonts w:ascii="??_GB2312" w:hAnsi="??_GB2312" w:eastAsia="??_GB2312" w:cs="??_GB2312"/>
                <w:b w:val="0"/>
                <w:sz w:val="24"/>
              </w:rPr>
              <w:t>24</w:t>
            </w:r>
          </w:p>
        </w:tc>
        <w:tc>
          <w:tcPr>
            <w:tcW w:type="dxa" w:w="2948"/>
            <w:vAlign w:val="center"/>
          </w:tcPr>
          <w:p>
            <w:pPr>
              <w:spacing w:line="240" w:lineRule="auto" w:before="0" w:after="0"/>
              <w:jc w:val="center"/>
            </w:pPr>
            <w:r/>
            <w:r>
              <w:rPr>
                <w:rFonts w:ascii="??_GB2312" w:hAnsi="??_GB2312" w:eastAsia="??_GB2312" w:cs="??_GB2312"/>
                <w:b w:val="0"/>
                <w:sz w:val="24"/>
              </w:rPr>
              <w:t>应用、数据库、缓存、对象存储、监控和备份资源续费</w:t>
            </w:r>
          </w:p>
        </w:tc>
      </w:tr>
      <w:tr>
        <w:tc>
          <w:tcPr>
            <w:tcW w:type="dxa" w:w="2948"/>
            <w:vAlign w:val="center"/>
          </w:tcPr>
          <w:p>
            <w:pPr>
              <w:spacing w:line="240" w:lineRule="auto" w:before="0" w:after="0"/>
              <w:jc w:val="center"/>
            </w:pPr>
            <w:r/>
            <w:r>
              <w:rPr>
                <w:rFonts w:ascii="??_GB2312" w:hAnsi="??_GB2312" w:eastAsia="??_GB2312" w:cs="??_GB2312"/>
                <w:b w:val="0"/>
                <w:sz w:val="24"/>
              </w:rPr>
              <w:t>短信与消息服务</w:t>
            </w:r>
          </w:p>
        </w:tc>
        <w:tc>
          <w:tcPr>
            <w:tcW w:type="dxa" w:w="2948"/>
            <w:vAlign w:val="center"/>
          </w:tcPr>
          <w:p>
            <w:pPr>
              <w:spacing w:line="240" w:lineRule="auto" w:before="0" w:after="0"/>
              <w:jc w:val="center"/>
            </w:pPr>
            <w:r/>
            <w:r>
              <w:rPr>
                <w:rFonts w:ascii="??_GB2312" w:hAnsi="??_GB2312" w:eastAsia="??_GB2312" w:cs="??_GB2312"/>
                <w:b w:val="0"/>
                <w:sz w:val="24"/>
              </w:rPr>
              <w:t>6</w:t>
            </w:r>
          </w:p>
        </w:tc>
        <w:tc>
          <w:tcPr>
            <w:tcW w:type="dxa" w:w="2948"/>
            <w:vAlign w:val="center"/>
          </w:tcPr>
          <w:p>
            <w:pPr>
              <w:spacing w:line="240" w:lineRule="auto" w:before="0" w:after="0"/>
              <w:jc w:val="center"/>
            </w:pPr>
            <w:r/>
            <w:r>
              <w:rPr>
                <w:rFonts w:ascii="??_GB2312" w:hAnsi="??_GB2312" w:eastAsia="??_GB2312" w:cs="??_GB2312"/>
                <w:b w:val="0"/>
                <w:sz w:val="24"/>
              </w:rPr>
              <w:t>告警短信、提醒消息和消息触达服务</w:t>
            </w:r>
          </w:p>
        </w:tc>
      </w:tr>
      <w:tr>
        <w:tc>
          <w:tcPr>
            <w:tcW w:type="dxa" w:w="2948"/>
            <w:vAlign w:val="center"/>
          </w:tcPr>
          <w:p>
            <w:pPr>
              <w:spacing w:line="240" w:lineRule="auto" w:before="0" w:after="0"/>
              <w:jc w:val="center"/>
            </w:pPr>
            <w:r/>
            <w:r>
              <w:rPr>
                <w:rFonts w:ascii="??_GB2312" w:hAnsi="??_GB2312" w:eastAsia="??_GB2312" w:cs="??_GB2312"/>
                <w:b w:val="0"/>
                <w:sz w:val="24"/>
              </w:rPr>
              <w:t>AI 增值服务</w:t>
            </w:r>
          </w:p>
        </w:tc>
        <w:tc>
          <w:tcPr>
            <w:tcW w:type="dxa" w:w="2948"/>
            <w:vAlign w:val="center"/>
          </w:tcPr>
          <w:p>
            <w:pPr>
              <w:spacing w:line="240" w:lineRule="auto" w:before="0" w:after="0"/>
              <w:jc w:val="center"/>
            </w:pPr>
            <w:r/>
            <w:r>
              <w:rPr>
                <w:rFonts w:ascii="??_GB2312" w:hAnsi="??_GB2312" w:eastAsia="??_GB2312" w:cs="??_GB2312"/>
                <w:b w:val="0"/>
                <w:sz w:val="24"/>
              </w:rPr>
              <w:t>18</w:t>
            </w:r>
          </w:p>
        </w:tc>
        <w:tc>
          <w:tcPr>
            <w:tcW w:type="dxa" w:w="2948"/>
            <w:vAlign w:val="center"/>
          </w:tcPr>
          <w:p>
            <w:pPr>
              <w:spacing w:line="240" w:lineRule="auto" w:before="0" w:after="0"/>
              <w:jc w:val="center"/>
            </w:pPr>
            <w:r/>
            <w:r>
              <w:rPr>
                <w:rFonts w:ascii="??_GB2312" w:hAnsi="??_GB2312" w:eastAsia="??_GB2312" w:cs="??_GB2312"/>
                <w:b w:val="0"/>
                <w:sz w:val="24"/>
              </w:rPr>
              <w:t>智能报告、趋势分析、知识辅助和相关模型服务</w:t>
            </w:r>
          </w:p>
        </w:tc>
      </w:tr>
      <w:tr>
        <w:tc>
          <w:tcPr>
            <w:tcW w:type="dxa" w:w="2948"/>
            <w:vAlign w:val="center"/>
          </w:tcPr>
          <w:p>
            <w:pPr>
              <w:spacing w:line="240" w:lineRule="auto" w:before="0" w:after="0"/>
              <w:jc w:val="center"/>
            </w:pPr>
            <w:r/>
            <w:r>
              <w:rPr>
                <w:rFonts w:ascii="??_GB2312" w:hAnsi="??_GB2312" w:eastAsia="??_GB2312" w:cs="??_GB2312"/>
                <w:b w:val="0"/>
                <w:sz w:val="24"/>
              </w:rPr>
              <w:t>培训、巡检与安全加固</w:t>
            </w:r>
          </w:p>
        </w:tc>
        <w:tc>
          <w:tcPr>
            <w:tcW w:type="dxa" w:w="2948"/>
            <w:vAlign w:val="center"/>
          </w:tcPr>
          <w:p>
            <w:pPr>
              <w:spacing w:line="240" w:lineRule="auto" w:before="0" w:after="0"/>
              <w:jc w:val="center"/>
            </w:pPr>
            <w:r/>
            <w:r>
              <w:rPr>
                <w:rFonts w:ascii="??_GB2312" w:hAnsi="??_GB2312" w:eastAsia="??_GB2312" w:cs="??_GB2312"/>
                <w:b w:val="0"/>
                <w:sz w:val="24"/>
              </w:rPr>
              <w:t>16</w:t>
            </w:r>
          </w:p>
        </w:tc>
        <w:tc>
          <w:tcPr>
            <w:tcW w:type="dxa" w:w="2948"/>
            <w:vAlign w:val="center"/>
          </w:tcPr>
          <w:p>
            <w:pPr>
              <w:spacing w:line="240" w:lineRule="auto" w:before="0" w:after="0"/>
              <w:jc w:val="center"/>
            </w:pPr>
            <w:r/>
            <w:r>
              <w:rPr>
                <w:rFonts w:ascii="??_GB2312" w:hAnsi="??_GB2312" w:eastAsia="??_GB2312" w:cs="??_GB2312"/>
                <w:b w:val="0"/>
                <w:sz w:val="24"/>
              </w:rPr>
              <w:t>周期培训、安全检查、专项巡检和运维考核支撑</w:t>
            </w:r>
          </w:p>
        </w:tc>
      </w:tr>
      <w:tr>
        <w:tc>
          <w:tcPr>
            <w:tcW w:type="dxa" w:w="2948"/>
            <w:vAlign w:val="center"/>
          </w:tcPr>
          <w:p>
            <w:pPr>
              <w:spacing w:line="240" w:lineRule="auto" w:before="0" w:after="0"/>
              <w:jc w:val="center"/>
            </w:pPr>
            <w:r/>
            <w:r>
              <w:rPr>
                <w:rFonts w:ascii="??_GB2312" w:hAnsi="??_GB2312" w:eastAsia="??_GB2312" w:cs="??_GB2312"/>
                <w:b w:val="0"/>
                <w:sz w:val="24"/>
              </w:rPr>
              <w:t>合计</w:t>
            </w:r>
          </w:p>
        </w:tc>
        <w:tc>
          <w:tcPr>
            <w:tcW w:type="dxa" w:w="2948"/>
            <w:vAlign w:val="center"/>
          </w:tcPr>
          <w:p>
            <w:pPr>
              <w:spacing w:line="240" w:lineRule="auto" w:before="0" w:after="0"/>
              <w:jc w:val="center"/>
            </w:pPr>
            <w:r/>
            <w:r>
              <w:rPr>
                <w:rFonts w:ascii="??_GB2312" w:hAnsi="??_GB2312" w:eastAsia="??_GB2312" w:cs="??_GB2312"/>
                <w:b w:val="0"/>
                <w:sz w:val="24"/>
              </w:rPr>
              <w:t>200</w:t>
            </w:r>
          </w:p>
        </w:tc>
        <w:tc>
          <w:tcPr>
            <w:tcW w:type="dxa" w:w="2948"/>
            <w:vAlign w:val="center"/>
          </w:tcPr>
          <w:p>
            <w:pPr>
              <w:spacing w:line="240" w:lineRule="auto" w:before="0" w:after="0"/>
              <w:jc w:val="center"/>
            </w:pPr>
            <w:r/>
            <w:r>
              <w:rPr>
                <w:rFonts w:ascii="??_GB2312" w:hAnsi="??_GB2312" w:eastAsia="??_GB2312" w:cs="??_GB2312"/>
                <w:b w:val="0"/>
                <w:sz w:val="24"/>
              </w:rPr>
              <w:t>升级责任期结束后建议年度维护费约 200 万元/年</w:t>
            </w:r>
          </w:p>
        </w:tc>
      </w:tr>
    </w:tbl>
    <w:p/>
    <w:p>
      <w:pPr>
        <w:spacing w:line="360" w:lineRule="auto" w:before="0" w:after="0"/>
        <w:ind w:firstLine="640"/>
        <w:jc w:val="both"/>
      </w:pPr>
      <w:r>
        <w:rPr>
          <w:rFonts w:ascii="??_GB2312" w:hAnsi="??_GB2312" w:eastAsia="??_GB2312" w:cs="??_GB2312"/>
          <w:b w:val="0"/>
          <w:sz w:val="32"/>
        </w:rPr>
        <w:t>上述后续年度维护费用，可根据风险点数量、接入设备规模、服务等级、AI 服务使用强度和现场支撑频次进行动态调整。</w:t>
      </w:r>
    </w:p>
    <w:p>
      <w:pPr>
        <w:spacing w:line="360" w:lineRule="auto" w:before="120" w:after="120"/>
        <w:jc w:val="left"/>
      </w:pPr>
      <w:r>
        <w:rPr>
          <w:rFonts w:ascii="??" w:hAnsi="??" w:eastAsia="??" w:cs="??"/>
          <w:b/>
          <w:sz w:val="32"/>
        </w:rPr>
        <w:t>八、项目实施后的综合效益</w:t>
      </w:r>
    </w:p>
    <w:p>
      <w:pPr>
        <w:spacing w:line="360" w:lineRule="auto" w:before="0" w:after="0"/>
        <w:ind w:firstLine="640"/>
        <w:jc w:val="both"/>
      </w:pPr>
      <w:r>
        <w:rPr>
          <w:rFonts w:ascii="??_GB2312" w:hAnsi="??_GB2312" w:eastAsia="??_GB2312" w:cs="??_GB2312"/>
          <w:b w:val="0"/>
          <w:sz w:val="32"/>
        </w:rPr>
        <w:t>本项目实施后，预期将取得以下综合效益：</w:t>
      </w:r>
    </w:p>
    <w:p>
      <w:pPr>
        <w:spacing w:line="360" w:lineRule="auto" w:before="60" w:after="60"/>
        <w:jc w:val="left"/>
      </w:pPr>
      <w:r>
        <w:rPr>
          <w:rFonts w:ascii="??_GB2312" w:hAnsi="??_GB2312" w:eastAsia="??_GB2312" w:cs="??_GB2312"/>
          <w:b/>
          <w:sz w:val="32"/>
        </w:rPr>
        <w:t>（一）管理效益</w:t>
      </w:r>
    </w:p>
    <w:p>
      <w:pPr>
        <w:spacing w:line="360" w:lineRule="auto" w:before="0" w:after="0"/>
        <w:ind w:left="0"/>
        <w:jc w:val="both"/>
      </w:pPr>
      <w:r>
        <w:rPr>
          <w:rFonts w:ascii="??_GB2312" w:hAnsi="??_GB2312" w:eastAsia="??_GB2312" w:cs="??_GB2312"/>
          <w:b w:val="0"/>
          <w:sz w:val="32"/>
        </w:rPr>
        <w:t>1. 管理层能够更加直观掌握重点路段、重点风险点和重点设备运行状况。</w:t>
      </w:r>
    </w:p>
    <w:p>
      <w:pPr>
        <w:spacing w:line="360" w:lineRule="auto" w:before="0" w:after="0"/>
        <w:ind w:left="0"/>
        <w:jc w:val="both"/>
      </w:pPr>
      <w:r>
        <w:rPr>
          <w:rFonts w:ascii="??_GB2312" w:hAnsi="??_GB2312" w:eastAsia="??_GB2312" w:cs="??_GB2312"/>
          <w:b w:val="0"/>
          <w:sz w:val="32"/>
        </w:rPr>
        <w:t>2. 业主单位能够及时掌握告警数量、事件进度、工单闭环效率和运维成效。</w:t>
      </w:r>
    </w:p>
    <w:p>
      <w:pPr>
        <w:spacing w:line="360" w:lineRule="auto" w:before="0" w:after="0"/>
        <w:ind w:left="0"/>
        <w:jc w:val="both"/>
      </w:pPr>
      <w:r>
        <w:rPr>
          <w:rFonts w:ascii="??_GB2312" w:hAnsi="??_GB2312" w:eastAsia="??_GB2312" w:cs="??_GB2312"/>
          <w:b w:val="0"/>
          <w:sz w:val="32"/>
        </w:rPr>
        <w:t>3. 系统建设成果、维护成果和使用成效能够实现统一归集和持续考核。</w:t>
      </w:r>
    </w:p>
    <w:p>
      <w:pPr>
        <w:spacing w:line="360" w:lineRule="auto" w:before="60" w:after="60"/>
        <w:jc w:val="left"/>
      </w:pPr>
      <w:r>
        <w:rPr>
          <w:rFonts w:ascii="??_GB2312" w:hAnsi="??_GB2312" w:eastAsia="??_GB2312" w:cs="??_GB2312"/>
          <w:b/>
          <w:sz w:val="32"/>
        </w:rPr>
        <w:t>（二）业务效益</w:t>
      </w:r>
    </w:p>
    <w:p>
      <w:pPr>
        <w:spacing w:line="360" w:lineRule="auto" w:before="0" w:after="0"/>
        <w:ind w:left="0"/>
        <w:jc w:val="both"/>
      </w:pPr>
      <w:r>
        <w:rPr>
          <w:rFonts w:ascii="??_GB2312" w:hAnsi="??_GB2312" w:eastAsia="??_GB2312" w:cs="??_GB2312"/>
          <w:b w:val="0"/>
          <w:sz w:val="32"/>
        </w:rPr>
        <w:t>1. 监测、预警、处置、反馈、巡视、报告等业务可在同一平台完成，业务协同更加顺畅。</w:t>
      </w:r>
    </w:p>
    <w:p>
      <w:pPr>
        <w:spacing w:line="360" w:lineRule="auto" w:before="0" w:after="0"/>
        <w:ind w:left="0"/>
        <w:jc w:val="both"/>
      </w:pPr>
      <w:r>
        <w:rPr>
          <w:rFonts w:ascii="??_GB2312" w:hAnsi="??_GB2312" w:eastAsia="??_GB2312" w:cs="??_GB2312"/>
          <w:b w:val="0"/>
          <w:sz w:val="32"/>
        </w:rPr>
        <w:t>2. 风险点、设备、策略、预案、责任单位和运维记录能够统一关联，管理更加清晰。</w:t>
      </w:r>
    </w:p>
    <w:p>
      <w:pPr>
        <w:spacing w:line="360" w:lineRule="auto" w:before="0" w:after="0"/>
        <w:ind w:left="0"/>
        <w:jc w:val="both"/>
      </w:pPr>
      <w:r>
        <w:rPr>
          <w:rFonts w:ascii="??_GB2312" w:hAnsi="??_GB2312" w:eastAsia="??_GB2312" w:cs="??_GB2312"/>
          <w:b w:val="0"/>
          <w:sz w:val="32"/>
        </w:rPr>
        <w:t>3. 告警和事件处置全过程可留痕、可督办、可复盘，业务闭环更加扎实。</w:t>
      </w:r>
    </w:p>
    <w:p>
      <w:pPr>
        <w:spacing w:line="360" w:lineRule="auto" w:before="60" w:after="60"/>
        <w:jc w:val="left"/>
      </w:pPr>
      <w:r>
        <w:rPr>
          <w:rFonts w:ascii="??_GB2312" w:hAnsi="??_GB2312" w:eastAsia="??_GB2312" w:cs="??_GB2312"/>
          <w:b/>
          <w:sz w:val="32"/>
        </w:rPr>
        <w:t>（三）运维效益</w:t>
      </w:r>
    </w:p>
    <w:p>
      <w:pPr>
        <w:spacing w:line="360" w:lineRule="auto" w:before="0" w:after="0"/>
        <w:ind w:left="0"/>
        <w:jc w:val="both"/>
      </w:pPr>
      <w:r>
        <w:rPr>
          <w:rFonts w:ascii="??_GB2312" w:hAnsi="??_GB2312" w:eastAsia="??_GB2312" w:cs="??_GB2312"/>
          <w:b w:val="0"/>
          <w:sz w:val="32"/>
        </w:rPr>
        <w:t>1. 通过在线监测、链路追踪、异常归档和运行告警，降低被动排障比例。</w:t>
      </w:r>
    </w:p>
    <w:p>
      <w:pPr>
        <w:spacing w:line="360" w:lineRule="auto" w:before="0" w:after="0"/>
        <w:ind w:left="0"/>
        <w:jc w:val="both"/>
      </w:pPr>
      <w:r>
        <w:rPr>
          <w:rFonts w:ascii="??_GB2312" w:hAnsi="??_GB2312" w:eastAsia="??_GB2312" w:cs="??_GB2312"/>
          <w:b w:val="0"/>
          <w:sz w:val="32"/>
        </w:rPr>
        <w:t>2. 通过巡检、报表、趋势和日志分析，提升问题发现和预防能力。</w:t>
      </w:r>
    </w:p>
    <w:p>
      <w:pPr>
        <w:spacing w:line="360" w:lineRule="auto" w:before="0" w:after="0"/>
        <w:ind w:left="0"/>
        <w:jc w:val="both"/>
      </w:pPr>
      <w:r>
        <w:rPr>
          <w:rFonts w:ascii="??_GB2312" w:hAnsi="??_GB2312" w:eastAsia="??_GB2312" w:cs="??_GB2312"/>
          <w:b w:val="0"/>
          <w:sz w:val="32"/>
        </w:rPr>
        <w:t>3. 通过软件与硬件协同维护，提升设备完好率、在线率和数据有效率。</w:t>
      </w:r>
    </w:p>
    <w:p>
      <w:pPr>
        <w:spacing w:line="360" w:lineRule="auto" w:before="60" w:after="60"/>
        <w:jc w:val="left"/>
      </w:pPr>
      <w:r>
        <w:rPr>
          <w:rFonts w:ascii="??_GB2312" w:hAnsi="??_GB2312" w:eastAsia="??_GB2312" w:cs="??_GB2312"/>
          <w:b/>
          <w:sz w:val="32"/>
        </w:rPr>
        <w:t>（四）安全保障效益</w:t>
      </w:r>
    </w:p>
    <w:p>
      <w:pPr>
        <w:spacing w:line="360" w:lineRule="auto" w:before="0" w:after="0"/>
        <w:ind w:left="0"/>
        <w:jc w:val="both"/>
      </w:pPr>
      <w:r>
        <w:rPr>
          <w:rFonts w:ascii="??_GB2312" w:hAnsi="??_GB2312" w:eastAsia="??_GB2312" w:cs="??_GB2312"/>
          <w:b w:val="0"/>
          <w:sz w:val="32"/>
        </w:rPr>
        <w:t>1. 重要风险能够更早发现、更快响应。</w:t>
      </w:r>
    </w:p>
    <w:p>
      <w:pPr>
        <w:spacing w:line="360" w:lineRule="auto" w:before="0" w:after="0"/>
        <w:ind w:left="0"/>
        <w:jc w:val="both"/>
      </w:pPr>
      <w:r>
        <w:rPr>
          <w:rFonts w:ascii="??_GB2312" w:hAnsi="??_GB2312" w:eastAsia="??_GB2312" w:cs="??_GB2312"/>
          <w:b w:val="0"/>
          <w:sz w:val="32"/>
        </w:rPr>
        <w:t>2. 处置过程更加规范，责任链条更加清晰。</w:t>
      </w:r>
    </w:p>
    <w:p>
      <w:pPr>
        <w:spacing w:line="360" w:lineRule="auto" w:before="0" w:after="0"/>
        <w:ind w:left="0"/>
        <w:jc w:val="both"/>
      </w:pPr>
      <w:r>
        <w:rPr>
          <w:rFonts w:ascii="??_GB2312" w:hAnsi="??_GB2312" w:eastAsia="??_GB2312" w:cs="??_GB2312"/>
          <w:b w:val="0"/>
          <w:sz w:val="32"/>
        </w:rPr>
        <w:t>3. 重大事件和异常问题能够形成全过程复盘，为持续改进提供依据。</w:t>
      </w:r>
    </w:p>
    <w:p>
      <w:pPr>
        <w:spacing w:line="360" w:lineRule="auto" w:before="120" w:after="120"/>
        <w:jc w:val="left"/>
      </w:pPr>
      <w:r>
        <w:rPr>
          <w:rFonts w:ascii="??" w:hAnsi="??" w:eastAsia="??" w:cs="??"/>
          <w:b/>
          <w:sz w:val="32"/>
        </w:rPr>
        <w:t>九、风险分析与控制措施</w:t>
      </w:r>
    </w:p>
    <w:p>
      <w:pPr>
        <w:spacing w:line="360" w:lineRule="auto" w:before="0" w:after="0"/>
        <w:ind w:firstLine="640"/>
        <w:jc w:val="both"/>
      </w:pPr>
      <w:r>
        <w:rPr>
          <w:rFonts w:ascii="??_GB2312" w:hAnsi="??_GB2312" w:eastAsia="??_GB2312" w:cs="??_GB2312"/>
          <w:b w:val="0"/>
          <w:sz w:val="32"/>
        </w:rPr>
        <w:t>为确保项目实施和运行平稳推进，建议重点关注以下风险并采取相应控制措施：</w:t>
      </w:r>
    </w:p>
    <w:p>
      <w:pPr>
        <w:spacing w:line="360" w:lineRule="auto" w:before="0" w:after="0"/>
        <w:ind w:left="0"/>
        <w:jc w:val="both"/>
      </w:pPr>
      <w:r>
        <w:rPr>
          <w:rFonts w:ascii="??_GB2312" w:hAnsi="??_GB2312" w:eastAsia="??_GB2312" w:cs="??_GB2312"/>
          <w:b w:val="0"/>
          <w:sz w:val="32"/>
        </w:rPr>
        <w:t>1. 对软件升级影响现网运行的风险，采取分阶段升级、升级前演练、升级后回归验证和必要回退预案。</w:t>
      </w:r>
    </w:p>
    <w:p>
      <w:pPr>
        <w:spacing w:line="360" w:lineRule="auto" w:before="0" w:after="0"/>
        <w:ind w:left="0"/>
        <w:jc w:val="both"/>
      </w:pPr>
      <w:r>
        <w:rPr>
          <w:rFonts w:ascii="??_GB2312" w:hAnsi="??_GB2312" w:eastAsia="??_GB2312" w:cs="??_GB2312"/>
          <w:b w:val="0"/>
          <w:sz w:val="32"/>
        </w:rPr>
        <w:t>2. 对数据质量不稳定影响预警准确性的风险，强化设备治理、字段治理、异常监测和数据校核机制。</w:t>
      </w:r>
    </w:p>
    <w:p>
      <w:pPr>
        <w:spacing w:line="360" w:lineRule="auto" w:before="0" w:after="0"/>
        <w:ind w:left="0"/>
        <w:jc w:val="both"/>
      </w:pPr>
      <w:r>
        <w:rPr>
          <w:rFonts w:ascii="??_GB2312" w:hAnsi="??_GB2312" w:eastAsia="??_GB2312" w:cs="??_GB2312"/>
          <w:b w:val="0"/>
          <w:sz w:val="32"/>
        </w:rPr>
        <w:t>3. 对硬件故障导致系统感知失真的风险，强化在线监测、离线告警、巡检协同和设备更换机制。</w:t>
      </w:r>
    </w:p>
    <w:p>
      <w:pPr>
        <w:spacing w:line="360" w:lineRule="auto" w:before="0" w:after="0"/>
        <w:ind w:left="0"/>
        <w:jc w:val="both"/>
      </w:pPr>
      <w:r>
        <w:rPr>
          <w:rFonts w:ascii="??_GB2312" w:hAnsi="??_GB2312" w:eastAsia="??_GB2312" w:cs="??_GB2312"/>
          <w:b w:val="0"/>
          <w:sz w:val="32"/>
        </w:rPr>
        <w:t>4. 对运维力量不足导致问题积压的风险，强化服务分级、故障响应、巡检制度和月度问题复盘机制。</w:t>
      </w:r>
    </w:p>
    <w:p>
      <w:pPr>
        <w:spacing w:line="360" w:lineRule="auto" w:before="0" w:after="0"/>
        <w:ind w:left="0"/>
        <w:jc w:val="both"/>
      </w:pPr>
      <w:r>
        <w:rPr>
          <w:rFonts w:ascii="??_GB2312" w:hAnsi="??_GB2312" w:eastAsia="??_GB2312" w:cs="??_GB2312"/>
          <w:b w:val="0"/>
          <w:sz w:val="32"/>
        </w:rPr>
        <w:t>5. 对人员使用不熟悉影响系统效果的风险，强化分类培训、操作手册和常见问题支撑。</w:t>
      </w:r>
    </w:p>
    <w:p>
      <w:pPr>
        <w:spacing w:line="360" w:lineRule="auto" w:before="0" w:after="0"/>
        <w:ind w:left="0"/>
        <w:jc w:val="both"/>
      </w:pPr>
      <w:r>
        <w:rPr>
          <w:rFonts w:ascii="??_GB2312" w:hAnsi="??_GB2312" w:eastAsia="??_GB2312" w:cs="??_GB2312"/>
          <w:b w:val="0"/>
          <w:sz w:val="32"/>
        </w:rPr>
        <w:t>6. 对系统建设与业务需求脱节的风险，坚持业务牵引和持续优化，结合业主单位管理要求动态完善。</w:t>
      </w:r>
    </w:p>
    <w:p>
      <w:pPr>
        <w:spacing w:line="360" w:lineRule="auto" w:before="120" w:after="120"/>
        <w:jc w:val="left"/>
      </w:pPr>
      <w:r>
        <w:rPr>
          <w:rFonts w:ascii="??" w:hAnsi="??" w:eastAsia="??" w:cs="??"/>
          <w:b/>
          <w:sz w:val="32"/>
        </w:rPr>
        <w:t>十、报批建议</w:t>
      </w:r>
    </w:p>
    <w:p>
      <w:pPr>
        <w:spacing w:line="360" w:lineRule="auto" w:before="0" w:after="0"/>
        <w:ind w:firstLine="640"/>
        <w:jc w:val="both"/>
      </w:pPr>
      <w:r>
        <w:rPr>
          <w:rFonts w:ascii="??_GB2312" w:hAnsi="??_GB2312" w:eastAsia="??_GB2312" w:cs="??_GB2312"/>
          <w:b w:val="0"/>
          <w:sz w:val="32"/>
        </w:rPr>
        <w:t>综合 1.0 版本系统建设情况、现有平台建设基础、业务管理需要和长期运行保障要求，本项目具备明确的建设必要性、较好的实施基础和显著的业务价值。建议将“高速公路风险监测预警处置平台优化升级及首年运行保障建设”作为业主单位提升风险防控能力、运维保障能力和管理决策能力的重要工作统筹推进。</w:t>
      </w:r>
    </w:p>
    <w:p>
      <w:pPr>
        <w:spacing w:line="360" w:lineRule="auto" w:before="0" w:after="0"/>
        <w:ind w:firstLine="640"/>
        <w:jc w:val="both"/>
      </w:pPr>
      <w:r>
        <w:rPr>
          <w:rFonts w:ascii="??_GB2312" w:hAnsi="??_GB2312" w:eastAsia="??_GB2312" w:cs="??_GB2312"/>
          <w:b w:val="0"/>
          <w:sz w:val="32"/>
        </w:rPr>
        <w:t>建议本次按“平台优化升级建设 + 首年运行保障建设”一体实施，投资控制在 300 万元左右；在升级责任期届满后，后续年度维护费用建议按 200 万元/年左右另行列支，确保平台持续稳定运行。</w:t>
      </w:r>
    </w:p>
    <w:p>
      <w:pPr>
        <w:spacing w:line="360" w:lineRule="auto" w:before="0" w:after="0"/>
        <w:ind w:firstLine="640"/>
        <w:jc w:val="both"/>
      </w:pPr>
      <w:r>
        <w:rPr>
          <w:rFonts w:ascii="??_GB2312" w:hAnsi="??_GB2312" w:eastAsia="??_GB2312" w:cs="??_GB2312"/>
          <w:b w:val="0"/>
          <w:sz w:val="32"/>
        </w:rPr>
        <w:t>建议按“统一平台底座、补强关键业务、强化运行保障、明确后续维护”的总体思路组织实施，并同步建立阶段验收、运行考核、巡检报告、月度复盘和年度升级机制，确保项目建设成果真正服务于高速公路风险监测预警处置业务，形成可落地、可运行、可持续的长效支撑体系。</w:t>
      </w:r>
    </w:p>
    <w:p>
      <w:pPr>
        <w:spacing w:line="360" w:lineRule="auto" w:before="0" w:after="0"/>
        <w:ind w:firstLine="640"/>
        <w:jc w:val="both"/>
      </w:pPr>
      <w:r>
        <w:rPr>
          <w:rFonts w:ascii="??_GB2312" w:hAnsi="??_GB2312" w:eastAsia="??_GB2312" w:cs="??_GB2312"/>
          <w:b w:val="0"/>
          <w:sz w:val="32"/>
        </w:rPr>
        <w:t>以上方案，提请审议。</w:t>
      </w:r>
    </w:p>
    <w:sectPr w:rsidR="00FC693F" w:rsidRPr="0006063C" w:rsidSect="00034616">
      <w:footerReference w:type="default" r:id="rId9"/>
      <w:pgSz w:w="11906" w:h="16838"/>
      <w:pgMar w:top="1701" w:right="1474" w:bottom="1417" w:left="1587" w:header="850" w:footer="85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1"/>
      </w:rPr>
      <w:t xml:space="preserve">- </w:t>
    </w:r>
    <w:r>
      <w:rPr>
        <w:rFonts w:ascii="Times New Roman" w:hAnsi="Times New Roman" w:eastAsia="Times New Roman" w:cs="Times New Roman"/>
        <w:b w:val="0"/>
        <w:sz w:val="21"/>
      </w:rPr>
      <w:fldChar w:fldCharType="begin"/>
      <w:instrText xml:space="preserve">PAGE</w:instrText>
      <w:fldChar w:fldCharType="separate"/>
      <w:t>1</w:t>
      <w:fldChar w:fldCharType="end"/>
    </w:r>
    <w:r>
      <w:rPr>
        <w:rFonts w:ascii="Times New Roman" w:hAnsi="Times New Roman" w:eastAsia="Times New Roman" w:cs="Times New Roman"/>
        <w:b w:val="0"/>
        <w:sz w:val="21"/>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高速公路风险监测预警处置平台优化升级及首年运行保障建设方案（业主报批稿）</dc:title>
  <dc:subjec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cp:category>
</cp:coreProperties>
</file>