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adb47fe41kbn">
        <w:r w:rsidDel="00000000" w:rsidR="00000000" w:rsidRPr="00000000">
          <w:rPr>
            <w:color w:val="0000ee"/>
            <w:u w:val="single"/>
            <w:rtl w:val="0"/>
          </w:rPr>
          <w:t xml:space="preserve">Skip to Main Content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w:t>
      </w:r>
      <w:hyperlink r:id="rId7">
        <w:r w:rsidDel="00000000" w:rsidR="00000000" w:rsidRPr="00000000">
          <w:rPr>
            <w:color w:val="0000ee"/>
            <w:u w:val="single"/>
            <w:rtl w:val="0"/>
          </w:rPr>
          <w:t xml:space="preserve">about</w:t>
        </w:r>
      </w:hyperlink>
      <w:r w:rsidDel="00000000" w:rsidR="00000000" w:rsidRPr="00000000">
        <w:rPr>
          <w:rtl w:val="0"/>
        </w:rPr>
        <w:t xml:space="preserve">·</w:t>
      </w:r>
      <w:hyperlink r:id="rId8">
        <w:r w:rsidDel="00000000" w:rsidR="00000000" w:rsidRPr="00000000">
          <w:rPr>
            <w:color w:val="0000ee"/>
            <w:u w:val="single"/>
            <w:rtl w:val="0"/>
          </w:rPr>
          <w:t xml:space="preserve">FAQs</w:t>
        </w:r>
      </w:hyperlink>
      <w:r w:rsidDel="00000000" w:rsidR="00000000" w:rsidRPr="00000000">
        <w:rPr>
          <w:rtl w:val="0"/>
        </w:rPr>
        <w:t xml:space="preserve">·</w:t>
      </w:r>
      <w:hyperlink r:id="rId9">
        <w:r w:rsidDel="00000000" w:rsidR="00000000" w:rsidRPr="00000000">
          <w:rPr>
            <w:color w:val="0000ee"/>
            <w:u w:val="single"/>
            <w:rtl w:val="0"/>
          </w:rPr>
          <w:t xml:space="preserve">terms of use</w:t>
        </w:r>
      </w:hyperlink>
      <w:r w:rsidDel="00000000" w:rsidR="00000000" w:rsidRPr="00000000">
        <w:rPr>
          <w:rtl w:val="0"/>
        </w:rPr>
        <w:t xml:space="preserve">·</w:t>
      </w: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1"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2"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must be enabled in your browser in order to view this site. Please enable javascript and press the refresh button (if necessary) in your browser.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4" name="image34.png"/>
            <a:graphic>
              <a:graphicData uri="http://schemas.openxmlformats.org/drawingml/2006/picture">
                <pic:pic>
                  <pic:nvPicPr>
                    <pic:cNvPr id="0" name="image3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9"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DSLD Mortgage, LLC</w:t>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NMLS ID:</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120308</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Street Address: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7660 Pecue Lane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300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Baton Rouge, LA 70809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Mailing Address: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7660 Pecue Lane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300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Baton Rouge, LA 70809</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225-664-0360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Toll-Free Number:</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844-375-3684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225-208-2945</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2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tblGridChange w:id="0">
                <w:tblGrid>
                  <w:gridCol w:w="1170"/>
                  <w:gridCol w:w="11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www.dsldmortgage.com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info@dsldmtg.com</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Layout w:type="fixed"/>
        <w:tblLook w:val="0600"/>
      </w:tblPr>
      <w:tblGrid>
        <w:gridCol w:w="400"/>
        <w:gridCol w:w="8960"/>
        <w:tblGridChange w:id="0">
          <w:tblGrid>
            <w:gridCol w:w="400"/>
            <w:gridCol w:w="8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w:t>
            </w:r>
            <w:r w:rsidDel="00000000" w:rsidR="00000000" w:rsidRPr="00000000">
              <w:rPr/>
              <w:drawing>
                <wp:inline distB="19050" distT="19050" distL="19050" distR="19050">
                  <wp:extent cx="0" cy="0"/>
                  <wp:effectExtent b="0" l="0" r="0" t="0"/>
                  <wp:docPr id="38" name="image38.png"/>
                  <a:graphic>
                    <a:graphicData uri="http://schemas.openxmlformats.org/drawingml/2006/picture">
                      <pic:pic>
                        <pic:nvPicPr>
                          <pic:cNvPr id="0" name="image3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Other Trade Names </w:t>
            </w:r>
            <w:r w:rsidDel="00000000" w:rsidR="00000000" w:rsidRPr="00000000">
              <w:rPr/>
              <w:drawing>
                <wp:inline distB="19050" distT="19050" distL="19050" distR="19050">
                  <wp:extent cx="0" cy="0"/>
                  <wp:effectExtent b="0" l="0" r="0" t="0"/>
                  <wp:docPr id="44" name="image44.png"/>
                  <a:graphic>
                    <a:graphicData uri="http://schemas.openxmlformats.org/drawingml/2006/picture">
                      <pic:pic>
                        <pic:nvPicPr>
                          <pic:cNvPr id="0" name="image4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Legal Names </w:t>
            </w:r>
            <w:r w:rsidDel="00000000" w:rsidR="00000000" w:rsidRPr="00000000">
              <w:rPr/>
              <w:drawing>
                <wp:inline distB="19050" distT="19050" distL="19050" distR="19050">
                  <wp:extent cx="0" cy="0"/>
                  <wp:effectExtent b="0" l="0" r="0" t="0"/>
                  <wp:docPr id="42"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Andromeda Mortgage Group, LLC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Sponsored MLOs </w:t>
            </w:r>
            <w:r w:rsidDel="00000000" w:rsidR="00000000" w:rsidRPr="00000000">
              <w:rPr/>
              <w:drawing>
                <wp:inline distB="19050" distT="19050" distL="19050" distR="19050">
                  <wp:extent cx="0" cy="0"/>
                  <wp:effectExtent b="0" l="0" r="0" t="0"/>
                  <wp:docPr id="49" name="image49.png"/>
                  <a:graphic>
                    <a:graphicData uri="http://schemas.openxmlformats.org/drawingml/2006/picture">
                      <pic:pic>
                        <pic:nvPicPr>
                          <pic:cNvPr id="0" name="image4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359.999999999998" w:type="dxa"/>
        <w:jc w:val="left"/>
        <w:tblLayout w:type="fixed"/>
        <w:tblLook w:val="0600"/>
      </w:tblPr>
      <w:tblGrid>
        <w:gridCol w:w="400"/>
        <w:gridCol w:w="995.5555555555555"/>
        <w:gridCol w:w="995.5555555555555"/>
        <w:gridCol w:w="995.5555555555555"/>
        <w:gridCol w:w="995.5555555555555"/>
        <w:gridCol w:w="995.5555555555555"/>
        <w:gridCol w:w="995.5555555555555"/>
        <w:gridCol w:w="995.5555555555555"/>
        <w:gridCol w:w="995.5555555555555"/>
        <w:gridCol w:w="995.5555555555555"/>
        <w:tblGridChange w:id="0">
          <w:tblGrid>
            <w:gridCol w:w="400"/>
            <w:gridCol w:w="995.5555555555555"/>
            <w:gridCol w:w="995.5555555555555"/>
            <w:gridCol w:w="995.5555555555555"/>
            <w:gridCol w:w="995.5555555555555"/>
            <w:gridCol w:w="995.5555555555555"/>
            <w:gridCol w:w="995.5555555555555"/>
            <w:gridCol w:w="995.5555555555555"/>
            <w:gridCol w:w="995.5555555555555"/>
            <w:gridCol w:w="995.555555555555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Fiscal Year End:</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12/31</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Formed in:</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Delaware, United States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Formed:  </w:t>
            </w:r>
            <w:r w:rsidDel="00000000" w:rsidR="00000000" w:rsidRPr="00000000">
              <w:rPr/>
              <w:drawing>
                <wp:inline distB="19050" distT="19050" distL="19050" distR="19050">
                  <wp:extent cx="0" cy="0"/>
                  <wp:effectExtent b="0" l="0" r="0" t="0"/>
                  <wp:docPr id="45" name="image45.png"/>
                  <a:graphic>
                    <a:graphicData uri="http://schemas.openxmlformats.org/drawingml/2006/picture">
                      <pic:pic>
                        <pic:nvPicPr>
                          <pic:cNvPr id="0" name="image4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04/11/2008</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Stock Symbol:</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Liability Company</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360.0" w:type="dxa"/>
        <w:jc w:val="left"/>
        <w:tblLayout w:type="fixed"/>
        <w:tblLook w:val="0600"/>
      </w:tblPr>
      <w:tblGrid>
        <w:gridCol w:w="400"/>
        <w:gridCol w:w="8960"/>
        <w:tblGridChange w:id="0">
          <w:tblGrid>
            <w:gridCol w:w="400"/>
            <w:gridCol w:w="89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w:t>
            </w:r>
            <w:r w:rsidDel="00000000" w:rsidR="00000000" w:rsidRPr="00000000">
              <w:rPr/>
              <w:drawing>
                <wp:inline distB="19050" distT="19050" distL="19050" distR="19050">
                  <wp:extent cx="0" cy="0"/>
                  <wp:effectExtent b="0" l="0" r="0" t="0"/>
                  <wp:docPr id="47" name="image47.png"/>
                  <a:graphic>
                    <a:graphicData uri="http://schemas.openxmlformats.org/drawingml/2006/picture">
                      <pic:pic>
                        <pic:nvPicPr>
                          <pic:cNvPr id="0" name="image4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stkc9g1cjk6v">
              <w:r w:rsidDel="00000000" w:rsidR="00000000" w:rsidRPr="00000000">
                <w:rPr>
                  <w:color w:val="0000ee"/>
                  <w:u w:val="single"/>
                  <w:rtl w:val="0"/>
                </w:rPr>
                <w:t xml:space="preserve">None posted in NMLS.</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Branch Locations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0" name="image50.png"/>
            <a:graphic>
              <a:graphicData uri="http://schemas.openxmlformats.org/drawingml/2006/picture">
                <pic:pic>
                  <pic:nvPicPr>
                    <pic:cNvPr id="0" name="image5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(6 Active, 4 Inactive)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2" name="image52.png"/>
            <a:graphic>
              <a:graphicData uri="http://schemas.openxmlformats.org/drawingml/2006/picture">
                <pic:pic>
                  <pic:nvPicPr>
                    <pic:cNvPr id="0" name="image5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State Licenses/Registrations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(Displaying 6 Active, 0 Inactive of 6 Total)</w:t>
      </w:r>
    </w:p>
    <w:tbl>
      <w:tblPr>
        <w:tblStyle w:val="Table9"/>
        <w:tblW w:w="9360.0" w:type="dxa"/>
        <w:jc w:val="left"/>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w:t>
            </w:r>
            <w:r w:rsidDel="00000000" w:rsidR="00000000" w:rsidRPr="00000000">
              <w:rPr/>
              <w:drawing>
                <wp:inline distB="19050" distT="19050" distL="19050" distR="19050">
                  <wp:extent cx="0" cy="0"/>
                  <wp:effectExtent b="0" l="0" r="0" t="0"/>
                  <wp:docPr id="54" name="image54.png"/>
                  <a:graphic>
                    <a:graphicData uri="http://schemas.openxmlformats.org/drawingml/2006/picture">
                      <pic:pic>
                        <pic:nvPicPr>
                          <pic:cNvPr id="0" name="image5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Authorized to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6" name="image56.png"/>
                  <a:graphic>
                    <a:graphicData uri="http://schemas.openxmlformats.org/drawingml/2006/picture">
                      <pic:pic>
                        <pic:nvPicPr>
                          <pic:cNvPr id="0" name="image5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Consumer Complaint </w:t>
            </w:r>
            <w:r w:rsidDel="00000000" w:rsidR="00000000" w:rsidRPr="00000000">
              <w:rPr/>
              <w:drawing>
                <wp:inline distB="19050" distT="19050" distL="19050" distR="19050">
                  <wp:extent cx="0" cy="0"/>
                  <wp:effectExtent b="0" l="0" r="0" t="0"/>
                  <wp:docPr id="58" name="image58.png"/>
                  <a:graphic>
                    <a:graphicData uri="http://schemas.openxmlformats.org/drawingml/2006/picture">
                      <pic:pic>
                        <pic:nvPicPr>
                          <pic:cNvPr id="0" name="image5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9" name="image59.png"/>
                  <a:graphic>
                    <a:graphicData uri="http://schemas.openxmlformats.org/drawingml/2006/picture">
                      <pic:pic>
                        <pic:nvPicPr>
                          <pic:cNvPr id="0" name="image5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Alabama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Consumer Credit License</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22421</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60" name="image60.png"/>
                        <a:graphic>
                          <a:graphicData uri="http://schemas.openxmlformats.org/drawingml/2006/picture">
                            <pic:pic>
                              <pic:nvPicPr>
                                <pic:cNvPr id="0" name="image6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07/07/2017</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61" name="image61.png"/>
                        <a:graphic>
                          <a:graphicData uri="http://schemas.openxmlformats.org/drawingml/2006/picture">
                            <pic:pic>
                              <pic:nvPicPr>
                                <pic:cNvPr id="0" name="image6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07/07/2017</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Alabama </w:t>
                  </w: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7/7/2017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4">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22421</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07/07/2017</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Alabama</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Consumer Credit License</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 Corporation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N Jackson St, Suite 605</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Montgomery, AL 36104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334-649-4100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Florida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MLD1585</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02/08/2018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02/08/2018</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2024</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Florida </w:t>
                  </w: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2/8/2018</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17">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1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MLD1585</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02/08/2018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Florida</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 Corporation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 South Pine Island Road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Plantation, FL 33324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954-473-5503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Louisiana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Residential Mortgage Lending License</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2864</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09/22/2008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06/18/2020</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Louisiana </w:t>
                  </w: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10/2/2008</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0">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2864</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09/22/2008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Louisiana</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Residential Mortgage Lending License</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STL Holding Company, LLC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 S. Range Avenue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Denham Springs, LA 70726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225-664-0360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Saun Sullivan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Owner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13348 Coursey Blvd, Suite A</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Baton Rouge, LA 70816</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225-791-6860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Mississippi</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Lender License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color w:val="0000ee"/>
                <w:u w:val="single"/>
              </w:rPr>
            </w:pPr>
            <w:hyperlink r:id="rId22">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2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120308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05/31/2016</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03/21/2018</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Mississippi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5/31/2016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3">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2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120308</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05/31/2016</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Mississippi</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Lender License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 Corporation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 Lakeland East Drive, Suite 101</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Flowood, MS 39232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601-932-4500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Tennessee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License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jc w:val="center"/>
              <w:rPr>
                <w:color w:val="0000ee"/>
                <w:u w:val="single"/>
              </w:rPr>
            </w:pPr>
            <w:hyperlink r:id="rId25">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0"/>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120308</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02/07/2020</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02/07/2020</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Tennessee </w:t>
                  </w: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37"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2"/>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40"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2/7/2020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6">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3"/>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120308</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02/07/2020</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Tennessee</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License</w:t>
                        </w:r>
                      </w:p>
                    </w:tc>
                  </w:tr>
                </w:tbl>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4"/>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CT Corporation System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 S Gay St</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Knoxville, TN 37929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865-633-6092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41"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Texas - SML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Mortgage Company License</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jc w:val="center"/>
              <w:rPr>
                <w:color w:val="0000ee"/>
                <w:u w:val="single"/>
              </w:rPr>
            </w:pPr>
            <w:hyperlink r:id="rId28">
              <w:r w:rsidDel="00000000" w:rsidR="00000000" w:rsidRPr="00000000">
                <w:rPr>
                  <w:color w:val="0000ee"/>
                  <w:u w:val="single"/>
                  <w:rtl w:val="0"/>
                </w:rPr>
                <w:t xml:space="preserve">Submit to Regulator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jc w:val="right"/>
              <w:rPr>
                <w:color w:val="0000ee"/>
                <w:u w:val="single"/>
              </w:rPr>
            </w:pPr>
            <w:hyperlink w:anchor="rx3ojwvcjstx">
              <w:r w:rsidDel="00000000" w:rsidR="00000000" w:rsidRPr="00000000">
                <w:rPr>
                  <w:color w:val="0000ee"/>
                  <w:u w:val="single"/>
                  <w:rtl w:val="0"/>
                </w:rPr>
                <w:t xml:space="preserve">Hide Details</w:t>
              </w:r>
            </w:hyperlink>
            <w:r w:rsidDel="00000000" w:rsidR="00000000" w:rsidRPr="00000000">
              <w:rPr>
                <w:rtl w:val="0"/>
              </w:rPr>
            </w:r>
          </w:p>
        </w:tc>
      </w:tr>
      <w:tr>
        <w:trPr>
          <w:cantSplit w:val="0"/>
          <w:tblHeader w:val="0"/>
        </w:trPr>
        <w:tc>
          <w:tcPr>
            <w:gridSpan w:val="5"/>
            <w:shd w:fill="auto" w:val="clea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35"/>
              <w:tblW w:w="1872.0" w:type="dxa"/>
              <w:jc w:val="left"/>
              <w:tblLayout w:type="fixed"/>
              <w:tblLook w:val="0600"/>
            </w:tblPr>
            <w:tblGrid>
              <w:gridCol w:w="400"/>
              <w:gridCol w:w="400"/>
              <w:gridCol w:w="1072"/>
              <w:tblGridChange w:id="0">
                <w:tblGrid>
                  <w:gridCol w:w="400"/>
                  <w:gridCol w:w="400"/>
                  <w:gridCol w:w="10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w:t>
                  </w:r>
                  <w:r w:rsidDel="00000000" w:rsidR="00000000" w:rsidRPr="00000000">
                    <w:rPr/>
                    <w:drawing>
                      <wp:inline distB="19050" distT="19050" distL="19050" distR="19050">
                        <wp:extent cx="0" cy="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12/04/2018</w:t>
                  </w:r>
                </w:p>
              </w:tc>
            </w:tr>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w:t>
                  </w:r>
                  <w:r w:rsidDel="00000000" w:rsidR="00000000" w:rsidRPr="00000000">
                    <w:rPr/>
                    <w:drawing>
                      <wp:inline distB="19050" distT="19050" distL="19050" distR="19050">
                        <wp:extent cx="0" cy="0"/>
                        <wp:effectExtent b="0" l="0" r="0" t="0"/>
                        <wp:docPr id="46"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Approved</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Status Date: 10/07/2024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Renewed Through </w:t>
                  </w:r>
                  <w:r w:rsidDel="00000000" w:rsidR="00000000" w:rsidRPr="00000000">
                    <w:rPr/>
                    <w:drawing>
                      <wp:inline distB="19050" distT="19050" distL="19050" distR="19050">
                        <wp:extent cx="0" cy="0"/>
                        <wp:effectExtent b="0" l="0" r="0" t="0"/>
                        <wp:docPr id="48" name="image48.png"/>
                        <a:graphic>
                          <a:graphicData uri="http://schemas.openxmlformats.org/drawingml/2006/picture">
                            <pic:pic>
                              <pic:nvPicPr>
                                <pic:cNvPr id="0" name="image48.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2025</w:t>
                  </w:r>
                </w:p>
              </w:tc>
            </w:tr>
          </w:tbl>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1872.0" w:type="dxa"/>
              <w:jc w:val="left"/>
              <w:tblLayout w:type="fixed"/>
              <w:tblLook w:val="0600"/>
            </w:tblPr>
            <w:tblGrid>
              <w:gridCol w:w="1872"/>
              <w:tblGridChange w:id="0">
                <w:tblGrid>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Trade Names used in Texas - SML </w:t>
                  </w:r>
                  <w:r w:rsidDel="00000000" w:rsidR="00000000" w:rsidRPr="00000000">
                    <w:rPr/>
                    <w:drawing>
                      <wp:inline distB="19050" distT="19050" distL="19050" distR="19050">
                        <wp:extent cx="0" cy="0"/>
                        <wp:effectExtent b="0" l="0" r="0" t="0"/>
                        <wp:docPr id="51"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DSLD Mortgage; MoveIn Mortgage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License Status History  </w:t>
                  </w:r>
                  <w:r w:rsidDel="00000000" w:rsidR="00000000" w:rsidRPr="00000000">
                    <w:rPr/>
                    <w:drawing>
                      <wp:inline distB="19050" distT="19050" distL="19050" distR="19050">
                        <wp:extent cx="0" cy="0"/>
                        <wp:effectExtent b="0" l="0" r="0" t="0"/>
                        <wp:docPr id="53" name="image53.png"/>
                        <a:graphic>
                          <a:graphicData uri="http://schemas.openxmlformats.org/drawingml/2006/picture">
                            <pic:pic>
                              <pic:nvPicPr>
                                <pic:cNvPr id="0" name="image5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7"/>
                    <w:tblW w:w="18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4"/>
                    <w:gridCol w:w="624"/>
                    <w:gridCol w:w="624"/>
                    <w:tblGridChange w:id="0">
                      <w:tblGrid>
                        <w:gridCol w:w="624"/>
                        <w:gridCol w:w="624"/>
                        <w:gridCol w:w="624"/>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Authorized to</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 Business </w:t>
                        </w:r>
                        <w:r w:rsidDel="00000000" w:rsidR="00000000" w:rsidRPr="00000000">
                          <w:rPr/>
                          <w:drawing>
                            <wp:inline distB="19050" distT="19050" distL="19050" distR="19050">
                              <wp:extent cx="0" cy="0"/>
                              <wp:effectExtent b="0" l="0" r="0" t="0"/>
                              <wp:docPr id="55"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8/10/2020</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8/7/2020</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8/9/2020</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12/23/2019</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8/6/2020</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12/17/2019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12/22/2019</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9/11/2019</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12/16/2019</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8/14/2019</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9/10/2019</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12/4/2018</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8/13/2019</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Resident/Registered Agent for Service of Process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agent(s) listed below have been designated to accept the delivery of legal documents, such as summons, complaints, subpoenas, and orders, on behalf of the company. </w:t>
                  </w:r>
                  <w:r w:rsidDel="00000000" w:rsidR="00000000" w:rsidRPr="00000000">
                    <w:rPr>
                      <w:b w:val="1"/>
                      <w:rtl w:val="0"/>
                    </w:rPr>
                    <w:t xml:space="preserve"> This contact information is for the delivery of legal documents only.</w:t>
                  </w:r>
                  <w:r w:rsidDel="00000000" w:rsidR="00000000" w:rsidRPr="00000000">
                    <w:rPr>
                      <w:rtl w:val="0"/>
                    </w:rPr>
                    <w:t xml:space="preserve"> Complaints against the company should be addressed directly to the company itself or to its </w:t>
                  </w:r>
                  <w:hyperlink r:id="rId29">
                    <w:r w:rsidDel="00000000" w:rsidR="00000000" w:rsidRPr="00000000">
                      <w:rPr>
                        <w:color w:val="0000ee"/>
                        <w:u w:val="single"/>
                        <w:rtl w:val="0"/>
                      </w:rPr>
                      <w:t xml:space="preserve">supervising regulator(s)</w:t>
                    </w:r>
                  </w:hyperlink>
                  <w:r w:rsidDel="00000000" w:rsidR="00000000" w:rsidRPr="00000000">
                    <w:rPr>
                      <w:rtl w:val="0"/>
                    </w:rPr>
                    <w:t xml:space="preserve">.</w:t>
                  </w:r>
                </w:p>
                <w:tbl>
                  <w:tblPr>
                    <w:tblStyle w:val="Table38"/>
                    <w:tblW w:w="1872.0" w:type="dxa"/>
                    <w:jc w:val="left"/>
                    <w:tblLayout w:type="fixed"/>
                    <w:tblLook w:val="0600"/>
                  </w:tblPr>
                  <w:tblGrid>
                    <w:gridCol w:w="400"/>
                    <w:gridCol w:w="1472"/>
                    <w:tblGridChange w:id="0">
                      <w:tblGrid>
                        <w:gridCol w:w="400"/>
                        <w:gridCol w:w="14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 None</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Issue Date: 12/04/2018</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 Texas - SML</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License/Registration Name: Mortgage Company License</w:t>
                        </w:r>
                      </w:p>
                    </w:tc>
                  </w:tr>
                </w:tbl>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1872.0" w:type="dxa"/>
                    <w:jc w:val="left"/>
                    <w:tblLayout w:type="fixed"/>
                    <w:tblLook w:val="0600"/>
                  </w:tblPr>
                  <w:tblGrid>
                    <w:gridCol w:w="400"/>
                    <w:gridCol w:w="1472"/>
                    <w:tblGridChange w:id="0">
                      <w:tblGrid>
                        <w:gridCol w:w="400"/>
                        <w:gridCol w:w="1472"/>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Resident/Registered Agent</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Corporation Trust Company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Registered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Address: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 Bryan Street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Dallas, TX 75201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214-979-1172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provided</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hyperlink w:anchor="rx3ojwvcjstx">
                    <w:r w:rsidDel="00000000" w:rsidR="00000000" w:rsidRPr="00000000">
                      <w:rPr>
                        <w:color w:val="0000ee"/>
                        <w:u w:val="single"/>
                        <w:rtl w:val="0"/>
                      </w:rPr>
                      <w:t xml:space="preserve">View Resident/Registered Agent(s) for Service of Process</w:t>
                    </w:r>
                  </w:hyperlink>
                  <w:r w:rsidDel="00000000" w:rsidR="00000000" w:rsidRPr="00000000">
                    <w:rPr>
                      <w:rtl w:val="0"/>
                    </w:rPr>
                    <w:t xml:space="preserve">  </w:t>
                  </w:r>
                  <w:r w:rsidDel="00000000" w:rsidR="00000000" w:rsidRPr="00000000">
                    <w:rPr/>
                    <w:drawing>
                      <wp:inline distB="19050" distT="19050" distL="19050" distR="19050">
                        <wp:extent cx="0" cy="0"/>
                        <wp:effectExtent b="0" l="0" r="0" t="0"/>
                        <wp:docPr id="57" name="image57.png"/>
                        <a:graphic>
                          <a:graphicData uri="http://schemas.openxmlformats.org/drawingml/2006/picture">
                            <pic:pic>
                              <pic:nvPicPr>
                                <pic:cNvPr id="0" name="image5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9.2"/>
        <w:gridCol w:w="7300.8"/>
        <w:tblGridChange w:id="0">
          <w:tblGrid>
            <w:gridCol w:w="2059.2"/>
            <w:gridCol w:w="7300.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40" w:before="315" w:lineRule="auto"/>
              <w:rPr>
                <w:vertAlign w:val="baseline"/>
              </w:rPr>
            </w:pPr>
            <w:r w:rsidDel="00000000" w:rsidR="00000000" w:rsidRPr="00000000">
              <w:rPr>
                <w:vertAlign w:val="baseline"/>
                <w:rtl w:val="0"/>
              </w:rPr>
              <w:t xml:space="preserve">Regulatory Actions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vertAlign w:val="baseline"/>
              </w:rPr>
              <w:drawing>
                <wp:inline distB="19050" distT="19050" distL="19050" distR="19050">
                  <wp:extent cx="0" cy="0"/>
                  <wp:effectExtent b="0" l="0" r="0" t="0"/>
                  <wp:docPr id="36"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before="150" w:lineRule="auto"/>
              <w:ind w:right="150"/>
              <w:rPr>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right="150"/>
              <w:rPr/>
            </w:pPr>
            <w:r w:rsidDel="00000000" w:rsidR="00000000" w:rsidRPr="00000000">
              <w:rPr>
                <w:rtl w:val="0"/>
              </w:rPr>
              <w:t xml:space="preserve">While some state and federal agencies may add actions taken in previous years against a licensee, the majority are adding only new actions from 2012 or later. To view complete information regarding regulatory actions posted by the agency, click any regulator link.</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regulatory actions have been posted in NMLS.</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names currently used by the company to conduct business.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FAQs above for Action Type descriptions.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territorial, or federal agency that posted the regulatory action.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 number common to regulatory actions that are part of a coordinated action taken by multiple state agencies is displayed in this column.</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are regulator reported administrative or enforcement actions taken by an agency in connection with a person or entity that is engaging in a business activity that is regulated by the agency.</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Regulatory Actions are regulator reported administrative or enforcement actions taken by an agency in connection with a person or entity that is engaging in a business activity that is regulated by the agency. See below for more information.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previously used by the company to conduct business.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names previously used by the company.</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Mortgage Loan Originators with at least one active license which is sponsored by this company.</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Count of Mortgage Loan Originators with an active registration and employed by this institution.</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names currently used by the branch to conduct business.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 or territory overseeing financial services-related business conducted by the company.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company is able to conduct business under the license or registration in the state or territory.</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 regulator first approved the company to conduct financial services-related business under the license or registration.</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 used by the company under the license or registration, in addition to the legal name.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FAQs above for license status descriptions.</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Federal Agency primarily responsible for overseeing the activities of the company.</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company currently is active in NMLS.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Indicates if the branch holds at least one active license allowing the branch to conduct mortgage business.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file a complaint against a company or individual, click the link to visit the state agency website.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locations from which the company is conducting or has conducted business.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Year the license is renewed through indicating the licensee requested renewal through NMLS and the regulator approved it. This will be "None" for non-approved licenses.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Displays the license status history available in NMLS.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 Formed is the date the entity was formed in its current State of Formation. In rare instances, the Date Formed may be after the date the entity started conducting business, due to reorganization.</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b w:val="1"/>
          <w:color w:val="0000ee"/>
          <w:u w:val="single"/>
        </w:rPr>
      </w:pPr>
      <w:r w:rsidDel="00000000" w:rsidR="00000000" w:rsidRPr="00000000">
        <w:rPr>
          <w:rtl w:val="0"/>
        </w:rPr>
        <w:t xml:space="preserve">Information made available through NMLS Consumer Access</w:t>
      </w:r>
      <w:r w:rsidDel="00000000" w:rsidR="00000000" w:rsidRPr="00000000">
        <w:rPr>
          <w:vertAlign w:val="superscript"/>
          <w:rtl w:val="0"/>
        </w:rPr>
        <w:t xml:space="preserve">SM</w:t>
      </w:r>
      <w:r w:rsidDel="00000000" w:rsidR="00000000" w:rsidRPr="00000000">
        <w:rPr>
          <w:rtl w:val="0"/>
        </w:rPr>
        <w:t xml:space="preserve"> is derived from NMLS </w:t>
      </w:r>
      <w:r w:rsidDel="00000000" w:rsidR="00000000" w:rsidRPr="00000000">
        <w:rPr>
          <w:b w:val="1"/>
          <w:rtl w:val="0"/>
        </w:rPr>
        <w:t xml:space="preserve">(Nationwide Multistate Licensing System / Nationwide Mortgage Licensing System and Registry)</w:t>
      </w:r>
      <w:r w:rsidDel="00000000" w:rsidR="00000000" w:rsidRPr="00000000">
        <w:rPr>
          <w:rtl w:val="0"/>
        </w:rPr>
        <w:t xml:space="preserve">, the financial services industry's online registration and licensing database. NMLS was created by the </w:t>
      </w:r>
      <w:hyperlink r:id="rId30">
        <w:r w:rsidDel="00000000" w:rsidR="00000000" w:rsidRPr="00000000">
          <w:rPr>
            <w:b w:val="1"/>
            <w:color w:val="0000ee"/>
            <w:u w:val="single"/>
            <w:rtl w:val="0"/>
          </w:rPr>
          <w:t xml:space="preserve">Conference of State Bank Supervisors (CSBS)</w:t>
        </w:r>
      </w:hyperlink>
      <w:r w:rsidDel="00000000" w:rsidR="00000000" w:rsidRPr="00000000">
        <w:rPr>
          <w:rtl w:val="0"/>
        </w:rPr>
        <w:t xml:space="preserve"> and the </w:t>
      </w:r>
      <w:hyperlink r:id="rId31">
        <w:r w:rsidDel="00000000" w:rsidR="00000000" w:rsidRPr="00000000">
          <w:rPr>
            <w:b w:val="1"/>
            <w:color w:val="0000ee"/>
            <w:u w:val="single"/>
            <w:rtl w:val="0"/>
          </w:rPr>
          <w:t xml:space="preserve"> American Association of Residential Mortgage Regulators (AARMR)</w:t>
        </w:r>
      </w:hyperlink>
      <w:r w:rsidDel="00000000" w:rsidR="00000000" w:rsidRPr="00000000">
        <w:rPr>
          <w:rtl w:val="0"/>
        </w:rPr>
        <w:t xml:space="preserve"> and is owned and operated by the </w:t>
      </w:r>
      <w:hyperlink r:id="rId32">
        <w:r w:rsidDel="00000000" w:rsidR="00000000" w:rsidRPr="00000000">
          <w:rPr>
            <w:b w:val="1"/>
            <w:color w:val="0000ee"/>
            <w:u w:val="single"/>
            <w:rtl w:val="0"/>
          </w:rPr>
          <w:t xml:space="preserve">State Regulatory Registry LLC (SRR)</w:t>
        </w:r>
      </w:hyperlink>
      <w:r w:rsidDel="00000000" w:rsidR="00000000" w:rsidRPr="00000000">
        <w:rPr>
          <w:rtl w:val="0"/>
        </w:rPr>
        <w:t xml:space="preserve">, a wholly owned subsidiary of CSBS. For more information about the System, please visit the </w:t>
      </w:r>
      <w:r w:rsidDel="00000000" w:rsidR="00000000" w:rsidRPr="00000000">
        <w:rPr>
          <w:b w:val="1"/>
          <w:rtl w:val="0"/>
        </w:rPr>
        <w:t xml:space="preserve"> </w:t>
      </w:r>
      <w:hyperlink r:id="rId33">
        <w:r w:rsidDel="00000000" w:rsidR="00000000" w:rsidRPr="00000000">
          <w:rPr>
            <w:b w:val="1"/>
            <w:color w:val="0000ee"/>
            <w:u w:val="single"/>
            <w:rtl w:val="0"/>
          </w:rPr>
          <w:t xml:space="preserve">NMLS Resource Center</w:t>
        </w:r>
      </w:hyperlink>
      <w:r w:rsidDel="00000000" w:rsidR="00000000" w:rsidRPr="00000000">
        <w:rPr>
          <w:rtl w:val="0"/>
        </w:rPr>
        <w:t xml:space="preserve"> or the </w:t>
      </w:r>
      <w:hyperlink r:id="rId34">
        <w:r w:rsidDel="00000000" w:rsidR="00000000" w:rsidRPr="00000000">
          <w:rPr>
            <w:b w:val="1"/>
            <w:color w:val="0000ee"/>
            <w:u w:val="single"/>
            <w:rtl w:val="0"/>
          </w:rPr>
          <w:t xml:space="preserve">NMLS Federal Registry Resource Center</w:t>
        </w:r>
      </w:hyperlink>
      <w:r w:rsidDel="00000000" w:rsidR="00000000" w:rsidRPr="00000000">
        <w:rPr>
          <w:rtl w:val="0"/>
        </w:rPr>
        <w:t xml:space="preserve"> websites. | </w:t>
      </w:r>
      <w:hyperlink r:id="rId35">
        <w:r w:rsidDel="00000000" w:rsidR="00000000" w:rsidRPr="00000000">
          <w:rPr>
            <w:b w:val="1"/>
            <w:color w:val="0000ee"/>
            <w:u w:val="single"/>
            <w:rtl w:val="0"/>
          </w:rPr>
          <w:t xml:space="preserve"> Download PDF Reader</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mortgage.nationwidelicensingsystem.org/consumer/Pages/AgencyContacts.aspx" TargetMode="External"/><Relationship Id="rId22" Type="http://schemas.openxmlformats.org/officeDocument/2006/relationships/hyperlink" Target="http://links.nationwidelicensingsystem.org/179-CA-CCURL-MS" TargetMode="External"/><Relationship Id="rId21" Type="http://schemas.openxmlformats.org/officeDocument/2006/relationships/hyperlink" Target="http://links.nationwidelicensingsystem.org/178-CA-HomeURL-MS" TargetMode="External"/><Relationship Id="rId24" Type="http://schemas.openxmlformats.org/officeDocument/2006/relationships/hyperlink" Target="http://links.nationwidelicensingsystem.org/235-CA-HomeURL-TN" TargetMode="External"/><Relationship Id="rId23" Type="http://schemas.openxmlformats.org/officeDocument/2006/relationships/hyperlink" Target="http://mortgage.nationwidelicensingsystem.org/consumer/Pages/AgencyContact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aspx/TermsOfUse" TargetMode="External"/><Relationship Id="rId26" Type="http://schemas.openxmlformats.org/officeDocument/2006/relationships/hyperlink" Target="http://mortgage.nationwidelicensingsystem.org/consumer/Pages/AgencyContacts.aspx" TargetMode="External"/><Relationship Id="rId25" Type="http://schemas.openxmlformats.org/officeDocument/2006/relationships/hyperlink" Target="http://links.nationwidelicensingsystem.org/236-CA-CCURL-TN" TargetMode="External"/><Relationship Id="rId28" Type="http://schemas.openxmlformats.org/officeDocument/2006/relationships/hyperlink" Target="http://links.nationwidelicensingsystem.org/245-CA-CCURL-TX-SML" TargetMode="External"/><Relationship Id="rId27" Type="http://schemas.openxmlformats.org/officeDocument/2006/relationships/hyperlink" Target="http://links.nationwidelicensingsystem.org/244-CA-HomeURL-TX-SML" TargetMode="External"/><Relationship Id="rId5" Type="http://schemas.openxmlformats.org/officeDocument/2006/relationships/styles" Target="styles.xml"/><Relationship Id="rId6" Type="http://schemas.openxmlformats.org/officeDocument/2006/relationships/hyperlink" Target="http://docs.google.com/Home.aspx/MainSearch" TargetMode="External"/><Relationship Id="rId29" Type="http://schemas.openxmlformats.org/officeDocument/2006/relationships/hyperlink" Target="http://mortgage.nationwidelicensingsystem.org/consumer/Pages/AgencyContacts.aspx" TargetMode="External"/><Relationship Id="rId7" Type="http://schemas.openxmlformats.org/officeDocument/2006/relationships/hyperlink" Target="http://docs.google.com/Home.aspx/About" TargetMode="External"/><Relationship Id="rId8" Type="http://schemas.openxmlformats.org/officeDocument/2006/relationships/hyperlink" Target="http://links.nationwidelicensingsystem.org/295-CA" TargetMode="External"/><Relationship Id="rId31" Type="http://schemas.openxmlformats.org/officeDocument/2006/relationships/hyperlink" Target="http://links.nationwidelicensingsystem.org/298-CA" TargetMode="External"/><Relationship Id="rId30" Type="http://schemas.openxmlformats.org/officeDocument/2006/relationships/hyperlink" Target="http://links.nationwidelicensingsystem.org/297-CA" TargetMode="External"/><Relationship Id="rId11" Type="http://schemas.openxmlformats.org/officeDocument/2006/relationships/image" Target="media/image31.png"/><Relationship Id="rId33" Type="http://schemas.openxmlformats.org/officeDocument/2006/relationships/hyperlink" Target="http://links.nationwidelicensingsystem.org/300-CA" TargetMode="External"/><Relationship Id="rId10" Type="http://schemas.openxmlformats.org/officeDocument/2006/relationships/hyperlink" Target="http://links.nationwidelicensingsystem.org/294-CA" TargetMode="External"/><Relationship Id="rId32" Type="http://schemas.openxmlformats.org/officeDocument/2006/relationships/hyperlink" Target="http://links.nationwidelicensingsystem.org/299-CA" TargetMode="External"/><Relationship Id="rId13" Type="http://schemas.openxmlformats.org/officeDocument/2006/relationships/hyperlink" Target="http://links.nationwidelicensingsystem.org/98-CA-CCURL-AL" TargetMode="External"/><Relationship Id="rId35" Type="http://schemas.openxmlformats.org/officeDocument/2006/relationships/hyperlink" Target="http://get.adobe.com/reader/" TargetMode="External"/><Relationship Id="rId12" Type="http://schemas.openxmlformats.org/officeDocument/2006/relationships/hyperlink" Target="http://links.nationwidelicensingsystem.org/97-CA-HomeURL-AL" TargetMode="External"/><Relationship Id="rId34" Type="http://schemas.openxmlformats.org/officeDocument/2006/relationships/hyperlink" Target="http://links.nationwidelicensingsystem.org/301-CA" TargetMode="External"/><Relationship Id="rId15" Type="http://schemas.openxmlformats.org/officeDocument/2006/relationships/hyperlink" Target="http://links.nationwidelicensingsystem.org/124-CA-HomeURL-FL" TargetMode="External"/><Relationship Id="rId14" Type="http://schemas.openxmlformats.org/officeDocument/2006/relationships/hyperlink" Target="http://mortgage.nationwidelicensingsystem.org/consumer/Pages/AgencyContacts.aspx" TargetMode="External"/><Relationship Id="rId17" Type="http://schemas.openxmlformats.org/officeDocument/2006/relationships/hyperlink" Target="http://mortgage.nationwidelicensingsystem.org/consumer/Pages/AgencyContacts.aspx" TargetMode="External"/><Relationship Id="rId16" Type="http://schemas.openxmlformats.org/officeDocument/2006/relationships/hyperlink" Target="http://links.nationwidelicensingsystem.org/125-CA-CCURL-FL" TargetMode="External"/><Relationship Id="rId19" Type="http://schemas.openxmlformats.org/officeDocument/2006/relationships/hyperlink" Target="http://links.nationwidelicensingsystem.org/158-CA-CCURL-LA" TargetMode="External"/><Relationship Id="rId18" Type="http://schemas.openxmlformats.org/officeDocument/2006/relationships/hyperlink" Target="http://links.nationwidelicensingsystem.org/157-CA-HomeUR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