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</w:pPr>
      <w:r>
        <w:rPr>
          <w:rFonts w:ascii="Calibri" w:cs="Calibri" w:eastAsia="Calibri" w:hAnsi="Calibri"/>
          <w:b/>
          <w:bCs/>
          <w:color w:val="526176"/>
          <w:sz w:val="18"/>
          <w:szCs w:val="18"/>
        </w:rPr>
        <w:t xml:space="preserve">SERVICIO NACIONAL DE MIGRACIÓN · REPÚBLICA DE PANAMÁ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0233F"/>
          <w:sz w:val="26"/>
          <w:szCs w:val="26"/>
        </w:rPr>
        <w:t xml:space="preserve">ARGO NAVIS · Sistema Interno Marítimo</w:t>
      </w:r>
    </w:p>
    <w:p>
      <w:pPr>
        <w:pBdr>
          <w:bottom w:val="single" w:color="F2C94C" w:sz="18" w:space="6"/>
        </w:pBdr>
        <w:spacing w:before="200" w:after="120"/>
      </w:pPr>
      <w:r>
        <w:rPr>
          <w:rFonts w:ascii="Calibri" w:cs="Calibri" w:eastAsia="Calibri" w:hAnsi="Calibri"/>
          <w:b/>
          <w:bCs/>
          <w:color w:val="17283E"/>
          <w:sz w:val="44"/>
          <w:szCs w:val="44"/>
        </w:rPr>
        <w:t xml:space="preserve">07 · Inventario de integraciones</w:t>
      </w:r>
    </w:p>
    <w:p>
      <w:pPr>
        <w:spacing w:after="360"/>
      </w:pPr>
      <w:r>
        <w:rPr>
          <w:rFonts w:ascii="Calibri" w:cs="Calibri" w:eastAsia="Calibri" w:hAnsi="Calibri"/>
          <w:color w:val="526176"/>
          <w:sz w:val="22"/>
          <w:szCs w:val="22"/>
        </w:rPr>
        <w:t xml:space="preserve">Servicios internos y externos con los que ARGO NAVIS se comunica: operativos, simulados, manuales o pendientes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2493"/>
        <w:gridCol w:w="7479"/>
      </w:tblGrid>
      <w:tr>
        <w:trPr>
          <w:cantSplit/>
          <w:tblHeader/>
        </w:trPr>
        <w:tc>
          <w:tcPr>
            <w:tcW w:type="dxa" w:w="249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Control del documento</w:t>
            </w:r>
          </w:p>
        </w:tc>
        <w:tc>
          <w:tcPr>
            <w:tcW w:type="dxa" w:w="7479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ARGO NAVIS · Sistema Interno Marítimo (antes «NAVIS») — Servicio Nacional de Migración de Panamá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Módulo documentado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Autorizaciones Marítimas (UCVMM)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07 · Inventario de integraciones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Versión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0.1 — borrador para revisión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Fecha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20/10/2026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Base del análisis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Código fuente del repositorio ArgoNavis (rama main); esquema de base de datos en la revisión Alembic a3d9c6e1f584; configuración por defecto (backend/app/core/config.py y docker-compose-prod.yml); pruebas automatizadas (backend/tests).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Estado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Generado a partir del código fuente. Pendiente de revisión por el equipo de desarrollo y, donde se indica, de validación del área usuaria (UCVMM).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Revisado por (desarrollo)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Validado por (área usuaria)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[completar]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0233F"/>
          <w:sz w:val="22"/>
          <w:szCs w:val="22"/>
        </w:rPr>
        <w:t xml:space="preserve">Convenciones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1994"/>
        <w:gridCol w:w="7977"/>
      </w:tblGrid>
      <w:tr>
        <w:trPr>
          <w:cantSplit/>
          <w:tblHeader/>
        </w:trPr>
        <w:tc>
          <w:tcPr>
            <w:tcW w:type="dxa" w:w="199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Marca</w:t>
            </w:r>
          </w:p>
        </w:tc>
        <w:tc>
          <w:tcPr>
            <w:tcW w:type="dxa" w:w="797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994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7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Existe en el código y se usa desde la aplicación (pantalla o API).</w:t>
            </w:r>
          </w:p>
        </w:tc>
      </w:tr>
      <w:tr>
        <w:trPr>
          <w:cantSplit/>
        </w:trPr>
        <w:tc>
          <w:tcPr>
            <w:tcW w:type="dxa" w:w="1994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Parcial</w:t>
            </w:r>
          </w:p>
        </w:tc>
        <w:tc>
          <w:tcPr>
            <w:tcW w:type="dxa" w:w="797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Existe una parte (por ejemplo, la API sin pantalla) o funciona con limitaciones.</w:t>
            </w:r>
          </w:p>
        </w:tc>
      </w:tr>
      <w:tr>
        <w:trPr>
          <w:cantSplit/>
        </w:trPr>
        <w:tc>
          <w:tcPr>
            <w:tcW w:type="dxa" w:w="1994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Pendiente</w:t>
            </w:r>
          </w:p>
        </w:tc>
        <w:tc>
          <w:tcPr>
            <w:tcW w:type="dxa" w:w="7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está implementado; está identificado como trabajo por hacer.</w:t>
            </w:r>
          </w:p>
        </w:tc>
      </w:tr>
      <w:tr>
        <w:trPr>
          <w:cantSplit/>
        </w:trPr>
        <w:tc>
          <w:tcPr>
            <w:tcW w:type="dxa" w:w="1994"/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26176"/>
                <w:sz w:val="16"/>
                <w:szCs w:val="16"/>
              </w:rPr>
              <w:t xml:space="preserve">Fuera del sistema</w:t>
            </w:r>
          </w:p>
        </w:tc>
        <w:tc>
          <w:tcPr>
            <w:tcW w:type="dxa" w:w="797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actividad ocurre fuera de ARGO NAVIS (a mano o en otro sistema).</w:t>
            </w:r>
          </w:p>
        </w:tc>
      </w:tr>
      <w:tr>
        <w:trPr>
          <w:cantSplit/>
        </w:trPr>
        <w:tc>
          <w:tcPr>
            <w:tcW w:type="dxa" w:w="19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Validar con UCVMM</w:t>
            </w:r>
          </w:p>
        </w:tc>
        <w:tc>
          <w:tcPr>
            <w:tcW w:type="dxa" w:w="7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Regla, plazo o texto que el área usuaria debe confirmar.</w:t>
            </w:r>
          </w:p>
        </w:tc>
      </w:tr>
      <w:tr>
        <w:trPr>
          <w:cantSplit/>
        </w:trPr>
        <w:tc>
          <w:tcPr>
            <w:tcW w:type="dxa" w:w="19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Sustento</w:t>
            </w:r>
          </w:p>
        </w:tc>
        <w:tc>
          <w:tcPr>
            <w:tcW w:type="dxa" w:w="797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Archivo que respalda el hallazgo, relativo a la raíz del repositorio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backend/…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frontend/…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), y la función o componente cuando aplica.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i/>
          <w:iCs/>
          <w:color w:val="526176"/>
          <w:sz w:val="18"/>
          <w:szCs w:val="18"/>
        </w:rPr>
        <w:t xml:space="preserve">No contiene credenciales, secretos ni datos personales reales. Las capturas de pantalla usan datos ficticios.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1. Resumen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ARGO NAVIS se integra hoy con dos servicios del SNM: el </w:t>
      </w: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20"/>
          <w:szCs w:val="20"/>
        </w:rPr>
        <w:t xml:space="preserve">Active Directory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(inicio de sesión de los funcionarios) y el </w:t>
      </w: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20"/>
          <w:szCs w:val="20"/>
        </w:rPr>
        <w:t xml:space="preserve">servidor de correo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(avisos). Todo lo demás corre dentro del propio servidor (base de datos y documentos) o queda </w:t>
      </w: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20"/>
          <w:szCs w:val="20"/>
        </w:rPr>
        <w:t xml:space="preserve">fuera del sistema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: la consulta de impedimentos en SIMPLUS, el aviso a Operaciones y el trámite de custodia se hacen a mano.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2099"/>
        <w:gridCol w:w="7872"/>
      </w:tblGrid>
      <w:tr>
        <w:trPr>
          <w:cantSplit/>
          <w:tblHeader/>
        </w:trPr>
        <w:tc>
          <w:tcPr>
            <w:tcW w:type="dxa" w:w="2099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787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Integraciones</w:t>
            </w:r>
          </w:p>
        </w:tc>
      </w:tr>
      <w:tr>
        <w:trPr>
          <w:cantSplit/>
        </w:trPr>
        <w:tc>
          <w:tcPr>
            <w:tcW w:type="dxa" w:w="2099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Operativa</w:t>
            </w:r>
          </w:p>
        </w:tc>
        <w:tc>
          <w:tcPr>
            <w:tcW w:type="dxa" w:w="78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I-01 Active Directory · I-02 Correo (SMTP) · I-04 PostgreSQL · I-05 Documentos · I-06 Verificación pública del QR</w:t>
            </w:r>
          </w:p>
        </w:tc>
      </w:tr>
      <w:tr>
        <w:trPr>
          <w:cantSplit/>
        </w:trPr>
        <w:tc>
          <w:tcPr>
            <w:tcW w:type="dxa" w:w="2099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Parcial / por configurar</w:t>
            </w:r>
          </w:p>
        </w:tc>
        <w:tc>
          <w:tcPr>
            <w:tcW w:type="dxa" w:w="78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I-03 Buzón de UCVMM</w:t>
            </w:r>
          </w:p>
        </w:tc>
      </w:tr>
      <w:tr>
        <w:trPr>
          <w:cantSplit/>
        </w:trPr>
        <w:tc>
          <w:tcPr>
            <w:tcW w:type="dxa" w:w="2099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No integrada</w:t>
            </w:r>
          </w:p>
        </w:tc>
        <w:tc>
          <w:tcPr>
            <w:tcW w:type="dxa" w:w="78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I-07 SIMPLUS</w:t>
            </w:r>
          </w:p>
        </w:tc>
      </w:tr>
      <w:tr>
        <w:trPr>
          <w:cantSplit/>
        </w:trPr>
        <w:tc>
          <w:tcPr>
            <w:tcW w:type="dxa" w:w="2099"/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26176"/>
                <w:sz w:val="16"/>
                <w:szCs w:val="16"/>
              </w:rPr>
              <w:t xml:space="preserve">Manual / fuera del sistema</w:t>
            </w:r>
          </w:p>
        </w:tc>
        <w:tc>
          <w:tcPr>
            <w:tcW w:type="dxa" w:w="78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I-08 Aviso a Operaciones · I-09 Solicitud de Custodia</w:t>
            </w:r>
          </w:p>
        </w:tc>
      </w:tr>
      <w:tr>
        <w:trPr>
          <w:cantSplit/>
        </w:trPr>
        <w:tc>
          <w:tcPr>
            <w:tcW w:type="dxa" w:w="2099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Pendiente</w:t>
            </w:r>
          </w:p>
        </w:tc>
        <w:tc>
          <w:tcPr>
            <w:tcW w:type="dxa" w:w="78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I-10 Transbordos · I-11 HTTPS · I-12 LDAPS · I-13 Respaldo externo · I-14 Antivirus · I-15 Segundo factor · I-16 Límite distribuido</w:t>
            </w:r>
          </w:p>
        </w:tc>
      </w:tr>
      <w:tr>
        <w:trPr>
          <w:cantSplit/>
        </w:trPr>
        <w:tc>
          <w:tcPr>
            <w:tcW w:type="dxa" w:w="2099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Infraestructura</w:t>
            </w:r>
          </w:p>
        </w:tc>
        <w:tc>
          <w:tcPr>
            <w:tcW w:type="dxa" w:w="78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I-17 VPN de las agencias (fuera del código)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CAD5E1" w:sz="4"/>
          <w:left w:val="single" w:color="003DA5" w:sz="2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autofit"/>
      </w:tblPr>
      <w:tblGrid>
        <w:gridCol w:w="100"/>
      </w:tblGrid>
      <w:tr>
        <w:tc>
          <w:tcPr>
            <w:shd w:fill="EE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9"/>
                <w:szCs w:val="19"/>
              </w:rPr>
              <w:t xml:space="preserve">Sin servicios de terceros.</w:t>
            </w:r>
            <w:r>
              <w:rPr>
                <w:rFonts w:ascii="Calibri" w:cs="Calibri" w:eastAsia="Calibri" w:hAnsi="Calibri"/>
                <w:color w:val="17283E"/>
                <w:sz w:val="19"/>
                <w:szCs w:val="19"/>
              </w:rPr>
              <w:t xml:space="preserve"> ARGO NAVIS no usa CDN, APIs externas ni servicios en la nube: el frontend, las fuentes y las librerías de vista previa (Word y Excel) se sirven desde el propio servidor, y la política de seguridad de contenido (CSP) lo impide. Sustento: </w:t>
            </w:r>
            <w:r>
              <w:rPr>
                <w:rFonts w:ascii="Consolas" w:cs="Consolas" w:eastAsia="Consolas" w:hAnsi="Consolas"/>
                <w:color w:val="17283E"/>
                <w:sz w:val="17"/>
                <w:szCs w:val="17"/>
              </w:rPr>
              <w:t xml:space="preserve">frontend/nginx.conf</w:t>
            </w:r>
            <w:r>
              <w:rPr>
                <w:rFonts w:ascii="Calibri" w:cs="Calibri" w:eastAsia="Calibri" w:hAnsi="Calibri"/>
                <w:color w:val="17283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17283E"/>
                <w:sz w:val="17"/>
                <w:szCs w:val="17"/>
              </w:rPr>
              <w:t xml:space="preserve">backend/app/main.py</w:t>
            </w:r>
            <w:r>
              <w:rPr>
                <w:rFonts w:ascii="Calibri" w:cs="Calibri" w:eastAsia="Calibri" w:hAnsi="Calibri"/>
                <w:color w:val="17283E"/>
                <w:sz w:val="19"/>
                <w:szCs w:val="19"/>
              </w:rPr>
              <w:t xml:space="preserve"> (_CABECERAS_SPA).</w:t>
            </w:r>
          </w:p>
        </w:tc>
      </w:tr>
    </w:tbl>
    <w:p>
      <w:pPr>
        <w:spacing w:after="140"/>
      </w:pP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19"/>
          <w:szCs w:val="19"/>
        </w:rPr>
        <w:t xml:space="preserve">Pruebas de integración: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19"/>
          <w:szCs w:val="19"/>
        </w:rPr>
        <w:t xml:space="preserve"> el Active Directory se prueba contra un servidor LDAP simulado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7283E"/>
          <w:sz w:val="17"/>
          <w:szCs w:val="17"/>
        </w:rPr>
        <w:t xml:space="preserve">backend/tests/test_ldap.py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19"/>
          <w:szCs w:val="19"/>
        </w:rPr>
        <w:t xml:space="preserve">); los correos se arman y verifican sin enviarse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7283E"/>
          <w:sz w:val="17"/>
          <w:szCs w:val="17"/>
        </w:rPr>
        <w:t xml:space="preserve">backend/tests/test_correo.py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19"/>
          <w:szCs w:val="19"/>
        </w:rPr>
        <w:t xml:space="preserve">); la base de datos se prueba sobre una base temporal real (todas las pruebas de flujo). No hay pruebas automatizadas contra el AD ni el SMTP reales.</w:t>
      </w:r>
    </w:p>
    <w:p>
      <w:pPr>
        <w:sectPr>
          <w:headerReference w:type="default" r:id="rId8"/>
          <w:footerReference w:type="default" r:id="rId9"/>
          <w:pgSz w:w="12240" w:h="15840" w:orient="portrait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2. Inventario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Abreviaturas del sustento: </w:t>
      </w:r>
      <w:r>
        <w:rPr>
          <w:rFonts w:ascii="Calibri" w:cs="Calibri" w:eastAsia="Calibri" w:hAnsi="Calibri"/>
          <w:b/>
          <w:bCs/>
          <w:i w:val="false"/>
          <w:iCs w:val="false"/>
          <w:color w:val="526176"/>
          <w:sz w:val="18"/>
          <w:szCs w:val="18"/>
        </w:rPr>
        <w:t xml:space="preserve">B: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 =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backend/app/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; </w:t>
      </w:r>
      <w:r>
        <w:rPr>
          <w:rFonts w:ascii="Calibri" w:cs="Calibri" w:eastAsia="Calibri" w:hAnsi="Calibri"/>
          <w:b/>
          <w:bCs/>
          <w:i w:val="false"/>
          <w:iCs w:val="false"/>
          <w:color w:val="526176"/>
          <w:sz w:val="18"/>
          <w:szCs w:val="18"/>
        </w:rPr>
        <w:t xml:space="preserve">F: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 =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frontend/src/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. La columna Configuración muestra nombres de variables, nunca sus valores.</w:t>
      </w:r>
    </w:p>
    <w:p>
      <w:pPr>
        <w:pStyle w:val="Heading2"/>
      </w:pPr>
      <w:r>
        <w:t xml:space="preserve">Operativas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440"/>
        <w:gridCol w:w="1521"/>
        <w:gridCol w:w="880"/>
        <w:gridCol w:w="2081"/>
        <w:gridCol w:w="1521"/>
        <w:gridCol w:w="1201"/>
        <w:gridCol w:w="1521"/>
        <w:gridCol w:w="1921"/>
        <w:gridCol w:w="2482"/>
      </w:tblGrid>
      <w:tr>
        <w:trPr>
          <w:cantSplit/>
          <w:tblHeader/>
        </w:trPr>
        <w:tc>
          <w:tcPr>
            <w:tcW w:type="dxa" w:w="44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5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Integración</w:t>
            </w:r>
          </w:p>
        </w:tc>
        <w:tc>
          <w:tcPr>
            <w:tcW w:type="dxa" w:w="88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08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Propósito</w:t>
            </w:r>
          </w:p>
        </w:tc>
        <w:tc>
          <w:tcPr>
            <w:tcW w:type="dxa" w:w="15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Protocolo / medio</w:t>
            </w:r>
          </w:p>
        </w:tc>
        <w:tc>
          <w:tcPr>
            <w:tcW w:type="dxa" w:w="120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15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Configuración</w:t>
            </w:r>
          </w:p>
        </w:tc>
        <w:tc>
          <w:tcPr>
            <w:tcW w:type="dxa" w:w="19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  <w:tc>
          <w:tcPr>
            <w:tcW w:type="dxa" w:w="248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type="dxa" w:w="4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I-01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Active Directory del SNM</w:t>
            </w:r>
          </w:p>
        </w:tc>
        <w:tc>
          <w:tcPr>
            <w:tcW w:type="dxa" w:w="8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Interna</w:t>
            </w:r>
          </w:p>
        </w:tc>
        <w:tc>
          <w:tcPr>
            <w:tcW w:type="dxa" w:w="20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Validar la contraseña de los funcionarios; buscar personas para darlas de alta.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LDAP (389). LDAPS (636) o StartTLS disponibles, apagados.</w:t>
            </w:r>
          </w:p>
        </w:tc>
        <w:tc>
          <w:tcPr>
            <w:tcW w:type="dxa" w:w="120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Operativa (sin TLS)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LDAP_HOST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LDAP_PORT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LDAP_BASE_DN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LDAP_BIND_USER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LDAP_BIND_PASSWORD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LDAP_USAR_SSL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LDAP_STARTTLS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LDAP_CA_CERT</w:t>
            </w:r>
          </w:p>
        </w:tc>
        <w:tc>
          <w:tcPr>
            <w:tcW w:type="dxa" w:w="19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core/ldap.py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domain/services/auth_service.py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(_login_ad);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api/v1/admin.py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(buscar_en_ad)</w:t>
            </w:r>
          </w:p>
        </w:tc>
        <w:tc>
          <w:tcPr>
            <w:tcW w:type="dxa" w:w="24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Solo se consulta por cuentas registradas y activas. Sin TLS la contraseña viaja en claro hasta el controlador de dominio (ver I-12). Si no responde: 503.</w:t>
            </w:r>
          </w:p>
        </w:tc>
      </w:tr>
      <w:tr>
        <w:trPr>
          <w:cantSplit/>
        </w:trPr>
        <w:tc>
          <w:tcPr>
            <w:tcW w:type="dxa" w:w="44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I-02</w:t>
            </w:r>
          </w:p>
        </w:tc>
        <w:tc>
          <w:tcPr>
            <w:tcW w:type="dxa" w:w="15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Servidor de correo del SNM</w:t>
            </w:r>
          </w:p>
        </w:tc>
        <w:tc>
          <w:tcPr>
            <w:tcW w:type="dxa" w:w="88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Interna</w:t>
            </w:r>
          </w:p>
        </w:tc>
        <w:tc>
          <w:tcPr>
            <w:tcW w:type="dxa" w:w="208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Avisos de cada paso: solicitud recibida o corregida, aprobada, devuelta, denegada y expirada.</w:t>
            </w:r>
          </w:p>
        </w:tc>
        <w:tc>
          <w:tcPr>
            <w:tcW w:type="dxa" w:w="15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SMTP, puerto 25, sin TLS; usuario y contraseña opcionales.</w:t>
            </w:r>
          </w:p>
        </w:tc>
        <w:tc>
          <w:tcPr>
            <w:tcW w:type="dxa" w:w="120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Operativa (requiere MAIL_HOST)</w:t>
            </w:r>
          </w:p>
        </w:tc>
        <w:tc>
          <w:tcPr>
            <w:tcW w:type="dxa" w:w="15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MAIL_HOST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MAIL_PORT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MAIL_FROM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MAIL_FROM_NAME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MAIL_USERNAME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MAIL_PASSWORD</w:t>
            </w:r>
          </w:p>
        </w:tc>
        <w:tc>
          <w:tcPr>
            <w:tcW w:type="dxa" w:w="19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core/email.py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(enviar_aviso);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domain/services/notificacion_service.py</w:t>
            </w:r>
          </w:p>
        </w:tc>
        <w:tc>
          <w:tcPr>
            <w:tcW w:type="dxa" w:w="248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Envío en segundo plano después de confirmar la operación. Si falla, queda en el log y </w:t>
            </w: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no se reintenta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. Sin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MAIL_HOST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no se envía nada.</w:t>
            </w:r>
          </w:p>
        </w:tc>
      </w:tr>
      <w:tr>
        <w:trPr>
          <w:cantSplit/>
        </w:trPr>
        <w:tc>
          <w:tcPr>
            <w:tcW w:type="dxa" w:w="4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I-04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PostgreSQL 15</w:t>
            </w:r>
          </w:p>
        </w:tc>
        <w:tc>
          <w:tcPr>
            <w:tcW w:type="dxa" w:w="8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Interna (mismo servidor)</w:t>
            </w:r>
          </w:p>
        </w:tc>
        <w:tc>
          <w:tcPr>
            <w:tcW w:type="dxa" w:w="20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Datos, catálogos, historial y bitácora.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TCP local (contenedor); asyncpg.</w:t>
            </w:r>
          </w:p>
        </w:tc>
        <w:tc>
          <w:tcPr>
            <w:tcW w:type="dxa" w:w="120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Operativa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DATABASE_URL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POSTGRES_*</w:t>
            </w:r>
          </w:p>
        </w:tc>
        <w:tc>
          <w:tcPr>
            <w:tcW w:type="dxa" w:w="19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infrastructure/database.py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docker-compose-prod.yml</w:t>
            </w:r>
          </w:p>
        </w:tc>
        <w:tc>
          <w:tcPr>
            <w:tcW w:type="dxa" w:w="24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Puerto publicado solo en 127.0.0.1. Esquema por migraciones de Alembic.</w:t>
            </w:r>
          </w:p>
        </w:tc>
      </w:tr>
      <w:tr>
        <w:trPr>
          <w:cantSplit/>
        </w:trPr>
        <w:tc>
          <w:tcPr>
            <w:tcW w:type="dxa" w:w="44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I-05</w:t>
            </w:r>
          </w:p>
        </w:tc>
        <w:tc>
          <w:tcPr>
            <w:tcW w:type="dxa" w:w="15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Almacenamiento de documentos</w:t>
            </w:r>
          </w:p>
        </w:tc>
        <w:tc>
          <w:tcPr>
            <w:tcW w:type="dxa" w:w="88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Interna (mismo servidor)</w:t>
            </w:r>
          </w:p>
        </w:tc>
        <w:tc>
          <w:tcPr>
            <w:tcW w:type="dxa" w:w="208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Archivos de los expedientes, una carpeta por solicitud.</w:t>
            </w:r>
          </w:p>
        </w:tc>
        <w:tc>
          <w:tcPr>
            <w:tcW w:type="dxa" w:w="15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 de archivos (volumen Docker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documentos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).</w:t>
            </w:r>
          </w:p>
        </w:tc>
        <w:tc>
          <w:tcPr>
            <w:tcW w:type="dxa" w:w="120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Operativa</w:t>
            </w:r>
          </w:p>
        </w:tc>
        <w:tc>
          <w:tcPr>
            <w:tcW w:type="dxa" w:w="15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STORAGE_PATH</w:t>
            </w:r>
          </w:p>
        </w:tc>
        <w:tc>
          <w:tcPr>
            <w:tcW w:type="dxa" w:w="19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infrastructure/almacenamiento.py</w:t>
            </w:r>
          </w:p>
        </w:tc>
        <w:tc>
          <w:tcPr>
            <w:tcW w:type="dxa" w:w="248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Rutas relativas en la base de datos; respaldo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backup.sh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en el mismo servidor (ver I-13).</w:t>
            </w:r>
          </w:p>
        </w:tc>
      </w:tr>
      <w:tr>
        <w:trPr>
          <w:cantSplit/>
        </w:trPr>
        <w:tc>
          <w:tcPr>
            <w:tcW w:type="dxa" w:w="4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I-06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Verificación pública del QR</w:t>
            </w:r>
          </w:p>
        </w:tc>
        <w:tc>
          <w:tcPr>
            <w:tcW w:type="dxa" w:w="8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Externa (terceros)</w:t>
            </w:r>
          </w:p>
        </w:tc>
        <w:tc>
          <w:tcPr>
            <w:tcW w:type="dxa" w:w="20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Que una autoridad o un tercero compruebe que la autorización es auténtica y vigente.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HTTP: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/verificar/{código}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(página)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GET /api/v1/verificacion/{código}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.</w:t>
            </w:r>
          </w:p>
        </w:tc>
        <w:tc>
          <w:tcPr>
            <w:tcW w:type="dxa" w:w="120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Operativa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APP_URL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(dirección del QR),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LIMITE_VERIFICACIONES_POR_MINUTO</w:t>
            </w:r>
          </w:p>
        </w:tc>
        <w:tc>
          <w:tcPr>
            <w:tcW w:type="dxa" w:w="19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api/v1/verificacion.py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core/pdf_autorizacion.py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modulos/solicitudes/PaginaVerificacion.tsx</w:t>
            </w:r>
          </w:p>
        </w:tc>
        <w:tc>
          <w:tcPr>
            <w:tcW w:type="dxa" w:w="24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Sin sesión; datos mínimos y pasaporte enmascarado. </w:t>
            </w: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Validar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quién verifica y desde qué red: si el servidor solo es accesible por la VPN o la intranet, un verificador externo no podrá abrir el enlace.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Parciales, no integradas y manuales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440"/>
        <w:gridCol w:w="1521"/>
        <w:gridCol w:w="880"/>
        <w:gridCol w:w="2081"/>
        <w:gridCol w:w="1521"/>
        <w:gridCol w:w="1201"/>
        <w:gridCol w:w="1521"/>
        <w:gridCol w:w="1921"/>
        <w:gridCol w:w="2482"/>
      </w:tblGrid>
      <w:tr>
        <w:trPr>
          <w:cantSplit/>
          <w:tblHeader/>
        </w:trPr>
        <w:tc>
          <w:tcPr>
            <w:tcW w:type="dxa" w:w="44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5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Integración</w:t>
            </w:r>
          </w:p>
        </w:tc>
        <w:tc>
          <w:tcPr>
            <w:tcW w:type="dxa" w:w="88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08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Propósito</w:t>
            </w:r>
          </w:p>
        </w:tc>
        <w:tc>
          <w:tcPr>
            <w:tcW w:type="dxa" w:w="15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Protocolo / medio</w:t>
            </w:r>
          </w:p>
        </w:tc>
        <w:tc>
          <w:tcPr>
            <w:tcW w:type="dxa" w:w="120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15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Configuración</w:t>
            </w:r>
          </w:p>
        </w:tc>
        <w:tc>
          <w:tcPr>
            <w:tcW w:type="dxa" w:w="19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  <w:tc>
          <w:tcPr>
            <w:tcW w:type="dxa" w:w="248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type="dxa" w:w="4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I-03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Buzón de UCVMM</w:t>
            </w:r>
          </w:p>
        </w:tc>
        <w:tc>
          <w:tcPr>
            <w:tcW w:type="dxa" w:w="8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Interna</w:t>
            </w:r>
          </w:p>
        </w:tc>
        <w:tc>
          <w:tcPr>
            <w:tcW w:type="dxa" w:w="20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Recibir el aviso de cada solicitud nueva o corregida.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Correo (vía I-02).</w:t>
            </w:r>
          </w:p>
        </w:tc>
        <w:tc>
          <w:tcPr>
            <w:tcW w:type="dxa" w:w="1201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Por configurar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CORREO_UCVMM</w:t>
            </w:r>
          </w:p>
        </w:tc>
        <w:tc>
          <w:tcPr>
            <w:tcW w:type="dxa" w:w="19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ServicioNotificacion._correos_ucvmm</w:t>
            </w:r>
          </w:p>
        </w:tc>
        <w:tc>
          <w:tcPr>
            <w:tcW w:type="dxa" w:w="24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Vacío por defecto: sin él, UCVMM no recibe correos y depende de revisar su bandeja. </w:t>
            </w: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Validar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el buzón con UCVMM.</w:t>
            </w:r>
          </w:p>
        </w:tc>
      </w:tr>
      <w:tr>
        <w:trPr>
          <w:cantSplit/>
        </w:trPr>
        <w:tc>
          <w:tcPr>
            <w:tcW w:type="dxa" w:w="44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I-07</w:t>
            </w:r>
          </w:p>
        </w:tc>
        <w:tc>
          <w:tcPr>
            <w:tcW w:type="dxa" w:w="15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SIMPLUS</w:t>
            </w:r>
          </w:p>
        </w:tc>
        <w:tc>
          <w:tcPr>
            <w:tcW w:type="dxa" w:w="88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Interna (otro sistema)</w:t>
            </w:r>
          </w:p>
        </w:tc>
        <w:tc>
          <w:tcPr>
            <w:tcW w:type="dxa" w:w="208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Verificar impedimentos de cada tripulante.</w:t>
            </w:r>
          </w:p>
        </w:tc>
        <w:tc>
          <w:tcPr>
            <w:tcW w:type="dxa" w:w="15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Ninguno: UCVMM consulta SIMPLUS y marca el resultado a mano.</w:t>
            </w:r>
          </w:p>
        </w:tc>
        <w:tc>
          <w:tcPr>
            <w:tcW w:type="dxa" w:w="1201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No integrada</w:t>
            </w:r>
          </w:p>
        </w:tc>
        <w:tc>
          <w:tcPr>
            <w:tcW w:type="dxa" w:w="15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9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modulos/solicitudes/SeccionTripulantes.tsx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registrar_impedimentos</w:t>
            </w:r>
          </w:p>
        </w:tc>
        <w:tc>
          <w:tcPr>
            <w:tcW w:type="dxa" w:w="248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Riesgo de error al transcribir. Integrarlo requiere una interfaz de SIMPLUS (por definir con DTI).</w:t>
            </w:r>
          </w:p>
        </w:tc>
      </w:tr>
      <w:tr>
        <w:trPr>
          <w:cantSplit/>
        </w:trPr>
        <w:tc>
          <w:tcPr>
            <w:tcW w:type="dxa" w:w="4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I-08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Operaciones (aviso de impedimento)</w:t>
            </w:r>
          </w:p>
        </w:tc>
        <w:tc>
          <w:tcPr>
            <w:tcW w:type="dxa" w:w="8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Interna (área)</w:t>
            </w:r>
          </w:p>
        </w:tc>
        <w:tc>
          <w:tcPr>
            <w:tcW w:type="dxa" w:w="20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Informar a Operaciones cuando un tripulante tiene impedimento.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Fuera del sistema; el modal de aprobar pide confirmarlo.</w:t>
            </w:r>
          </w:p>
        </w:tc>
        <w:tc>
          <w:tcPr>
            <w:tcW w:type="dxa" w:w="1201"/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26176"/>
                <w:sz w:val="16"/>
                <w:szCs w:val="16"/>
              </w:rPr>
              <w:t xml:space="preserve">Manual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9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modulos/solicitudes/ModalDecision.tsx</w:t>
            </w:r>
          </w:p>
        </w:tc>
        <w:tc>
          <w:tcPr>
            <w:tcW w:type="dxa" w:w="24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queda registro en ARGO NAVIS de que se informó. </w:t>
            </w: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Validar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si debe registrarse o notificarse.</w:t>
            </w:r>
          </w:p>
        </w:tc>
      </w:tr>
      <w:tr>
        <w:trPr>
          <w:cantSplit/>
        </w:trPr>
        <w:tc>
          <w:tcPr>
            <w:tcW w:type="dxa" w:w="44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I-09</w:t>
            </w:r>
          </w:p>
        </w:tc>
        <w:tc>
          <w:tcPr>
            <w:tcW w:type="dxa" w:w="15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Solicitud de Custodia</w:t>
            </w:r>
          </w:p>
        </w:tc>
        <w:tc>
          <w:tcPr>
            <w:tcW w:type="dxa" w:w="88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Interna (otro trámite)</w:t>
            </w:r>
          </w:p>
        </w:tc>
        <w:tc>
          <w:tcPr>
            <w:tcW w:type="dxa" w:w="208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Custodia de tripulantes de nacionalidad restringida.</w:t>
            </w:r>
          </w:p>
        </w:tc>
        <w:tc>
          <w:tcPr>
            <w:tcW w:type="dxa" w:w="15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Fuera del sistema; ARGO NAVIS solo avisa a la agencia (correo y PDF) en los 4 trámites con aviso.</w:t>
            </w:r>
          </w:p>
        </w:tc>
        <w:tc>
          <w:tcPr>
            <w:tcW w:type="dxa" w:w="1201"/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26176"/>
                <w:sz w:val="16"/>
                <w:szCs w:val="16"/>
              </w:rPr>
              <w:t xml:space="preserve">Fuera del sistema</w:t>
            </w:r>
          </w:p>
        </w:tc>
        <w:tc>
          <w:tcPr>
            <w:tcW w:type="dxa" w:w="15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tipos_tramite.aviso_custodia</w:t>
            </w:r>
          </w:p>
        </w:tc>
        <w:tc>
          <w:tcPr>
            <w:tcW w:type="dxa" w:w="19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notificacion_service.aprobada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core/pdf_autorizacion.py</w:t>
            </w:r>
          </w:p>
        </w:tc>
        <w:tc>
          <w:tcPr>
            <w:tcW w:type="dxa" w:w="248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documento de UCVMM dice que falta por levantar. No modelada.</w:t>
            </w:r>
          </w:p>
        </w:tc>
      </w:tr>
      <w:tr>
        <w:trPr>
          <w:cantSplit/>
        </w:trPr>
        <w:tc>
          <w:tcPr>
            <w:tcW w:type="dxa" w:w="4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I-10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Solicitud de Transbordos</w:t>
            </w:r>
          </w:p>
        </w:tc>
        <w:tc>
          <w:tcPr>
            <w:tcW w:type="dxa" w:w="8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Interna (otro trámite)</w:t>
            </w:r>
          </w:p>
        </w:tc>
        <w:tc>
          <w:tcPr>
            <w:tcW w:type="dxa" w:w="20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Trámite de transbordos.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201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No modelada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9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24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documento de UCVMM dice que falta por levantar.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Pendientes de infraestructura o decisión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440"/>
        <w:gridCol w:w="1521"/>
        <w:gridCol w:w="880"/>
        <w:gridCol w:w="2081"/>
        <w:gridCol w:w="1521"/>
        <w:gridCol w:w="1201"/>
        <w:gridCol w:w="1521"/>
        <w:gridCol w:w="1921"/>
        <w:gridCol w:w="2482"/>
      </w:tblGrid>
      <w:tr>
        <w:trPr>
          <w:cantSplit/>
          <w:tblHeader/>
        </w:trPr>
        <w:tc>
          <w:tcPr>
            <w:tcW w:type="dxa" w:w="44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5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Integración</w:t>
            </w:r>
          </w:p>
        </w:tc>
        <w:tc>
          <w:tcPr>
            <w:tcW w:type="dxa" w:w="88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08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Propósito</w:t>
            </w:r>
          </w:p>
        </w:tc>
        <w:tc>
          <w:tcPr>
            <w:tcW w:type="dxa" w:w="15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Protocolo / medio</w:t>
            </w:r>
          </w:p>
        </w:tc>
        <w:tc>
          <w:tcPr>
            <w:tcW w:type="dxa" w:w="120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15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Configuración</w:t>
            </w:r>
          </w:p>
        </w:tc>
        <w:tc>
          <w:tcPr>
            <w:tcW w:type="dxa" w:w="192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  <w:tc>
          <w:tcPr>
            <w:tcW w:type="dxa" w:w="248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type="dxa" w:w="4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I-11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Certificado del servidor (HTTPS)</w:t>
            </w:r>
          </w:p>
        </w:tc>
        <w:tc>
          <w:tcPr>
            <w:tcW w:type="dxa" w:w="8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Infraestructura</w:t>
            </w:r>
          </w:p>
        </w:tc>
        <w:tc>
          <w:tcPr>
            <w:tcW w:type="dxa" w:w="20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Cifrar el tráfico del navegador.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TLS en nginx (443) y redirección del 80.</w:t>
            </w:r>
          </w:p>
        </w:tc>
        <w:tc>
          <w:tcPr>
            <w:tcW w:type="dxa" w:w="1201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Pendiente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frontend/nginx.conf</w:t>
            </w:r>
          </w:p>
        </w:tc>
        <w:tc>
          <w:tcPr>
            <w:tcW w:type="dxa" w:w="19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README → Producción</w:t>
            </w:r>
          </w:p>
        </w:tc>
        <w:tc>
          <w:tcPr>
            <w:tcW w:type="dxa" w:w="24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Hoy HTTP en el puerto 80: contraseñas y documentos viajan sin cifrar dentro de la red o la VPN.</w:t>
            </w:r>
          </w:p>
        </w:tc>
      </w:tr>
      <w:tr>
        <w:trPr>
          <w:cantSplit/>
        </w:trPr>
        <w:tc>
          <w:tcPr>
            <w:tcW w:type="dxa" w:w="44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I-12</w:t>
            </w:r>
          </w:p>
        </w:tc>
        <w:tc>
          <w:tcPr>
            <w:tcW w:type="dxa" w:w="15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Certificado del controlador de dominio (LDAPS)</w:t>
            </w:r>
          </w:p>
        </w:tc>
        <w:tc>
          <w:tcPr>
            <w:tcW w:type="dxa" w:w="88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Infraestructura</w:t>
            </w:r>
          </w:p>
        </w:tc>
        <w:tc>
          <w:tcPr>
            <w:tcW w:type="dxa" w:w="208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Cifrar la validación de contraseñas con el AD.</w:t>
            </w:r>
          </w:p>
        </w:tc>
        <w:tc>
          <w:tcPr>
            <w:tcW w:type="dxa" w:w="15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LDAPS 636 o StartTLS.</w:t>
            </w:r>
          </w:p>
        </w:tc>
        <w:tc>
          <w:tcPr>
            <w:tcW w:type="dxa" w:w="1201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Pendiente</w:t>
            </w:r>
          </w:p>
        </w:tc>
        <w:tc>
          <w:tcPr>
            <w:tcW w:type="dxa" w:w="15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LDAP_USAR_SSL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LDAP_STARTTLS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LDAP_CA_CERT</w:t>
            </w:r>
          </w:p>
        </w:tc>
        <w:tc>
          <w:tcPr>
            <w:tcW w:type="dxa" w:w="19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core/ldap.py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README</w:t>
            </w:r>
          </w:p>
        </w:tc>
        <w:tc>
          <w:tcPr>
            <w:tcW w:type="dxa" w:w="248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código ya lo soporta; falta el certificado de la CA interna.</w:t>
            </w:r>
          </w:p>
        </w:tc>
      </w:tr>
      <w:tr>
        <w:trPr>
          <w:cantSplit/>
        </w:trPr>
        <w:tc>
          <w:tcPr>
            <w:tcW w:type="dxa" w:w="4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I-13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Respaldo fuera del servidor</w:t>
            </w:r>
          </w:p>
        </w:tc>
        <w:tc>
          <w:tcPr>
            <w:tcW w:type="dxa" w:w="8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Infraestructura</w:t>
            </w:r>
          </w:p>
        </w:tc>
        <w:tc>
          <w:tcPr>
            <w:tcW w:type="dxa" w:w="20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Proteger los respaldos ante la pérdida del disco.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Copia a NAS o servidor de respaldos (scp/rsync).</w:t>
            </w:r>
          </w:p>
        </w:tc>
        <w:tc>
          <w:tcPr>
            <w:tcW w:type="dxa" w:w="1201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Pendiente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DIR_BACKUPS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RETENER_DIAS</w:t>
            </w:r>
          </w:p>
        </w:tc>
        <w:tc>
          <w:tcPr>
            <w:tcW w:type="dxa" w:w="19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backup.sh</w:t>
            </w:r>
          </w:p>
        </w:tc>
        <w:tc>
          <w:tcPr>
            <w:tcW w:type="dxa" w:w="24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Hoy los respaldos diarios quedan en el mismo servidor.</w:t>
            </w:r>
          </w:p>
        </w:tc>
      </w:tr>
      <w:tr>
        <w:trPr>
          <w:cantSplit/>
        </w:trPr>
        <w:tc>
          <w:tcPr>
            <w:tcW w:type="dxa" w:w="44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I-14</w:t>
            </w:r>
          </w:p>
        </w:tc>
        <w:tc>
          <w:tcPr>
            <w:tcW w:type="dxa" w:w="15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Antivirus de archivos (ClamAV)</w:t>
            </w:r>
          </w:p>
        </w:tc>
        <w:tc>
          <w:tcPr>
            <w:tcW w:type="dxa" w:w="88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Infraestructura</w:t>
            </w:r>
          </w:p>
        </w:tc>
        <w:tc>
          <w:tcPr>
            <w:tcW w:type="dxa" w:w="208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Analizar lo que suben las agencias.</w:t>
            </w:r>
          </w:p>
        </w:tc>
        <w:tc>
          <w:tcPr>
            <w:tcW w:type="dxa" w:w="15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Servicio clamd.</w:t>
            </w:r>
          </w:p>
        </w:tc>
        <w:tc>
          <w:tcPr>
            <w:tcW w:type="dxa" w:w="1201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Pendiente (decidido: por ahora no)</w:t>
            </w:r>
          </w:p>
        </w:tc>
        <w:tc>
          <w:tcPr>
            <w:tcW w:type="dxa" w:w="15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9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CLAUDE.md (pendiente 9)</w:t>
            </w:r>
          </w:p>
        </w:tc>
        <w:tc>
          <w:tcPr>
            <w:tcW w:type="dxa" w:w="248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Mitigado en parte: formato, contenido y macros se validan.</w:t>
            </w:r>
          </w:p>
        </w:tc>
      </w:tr>
      <w:tr>
        <w:trPr>
          <w:cantSplit/>
        </w:trPr>
        <w:tc>
          <w:tcPr>
            <w:tcW w:type="dxa" w:w="4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I-15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Segundo factor (TOTP) para agencias</w:t>
            </w:r>
          </w:p>
        </w:tc>
        <w:tc>
          <w:tcPr>
            <w:tcW w:type="dxa" w:w="8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Seguridad</w:t>
            </w:r>
          </w:p>
        </w:tc>
        <w:tc>
          <w:tcPr>
            <w:tcW w:type="dxa" w:w="20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Reforzar el inicio de sesión de las cuentas externas.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TOTP (aplicación de autenticación).</w:t>
            </w:r>
          </w:p>
        </w:tc>
        <w:tc>
          <w:tcPr>
            <w:tcW w:type="dxa" w:w="1201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Pendiente (más adelante)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9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CLAUDE.md (pendiente 8)</w:t>
            </w:r>
          </w:p>
        </w:tc>
        <w:tc>
          <w:tcPr>
            <w:tcW w:type="dxa" w:w="24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Decidido para más adelante (16/10/2026).</w:t>
            </w:r>
          </w:p>
        </w:tc>
      </w:tr>
      <w:tr>
        <w:trPr>
          <w:cantSplit/>
        </w:trPr>
        <w:tc>
          <w:tcPr>
            <w:tcW w:type="dxa" w:w="44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I-16</w:t>
            </w:r>
          </w:p>
        </w:tc>
        <w:tc>
          <w:tcPr>
            <w:tcW w:type="dxa" w:w="15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Redis para el límite de peticiones</w:t>
            </w:r>
          </w:p>
        </w:tc>
        <w:tc>
          <w:tcPr>
            <w:tcW w:type="dxa" w:w="88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Infraestructura</w:t>
            </w:r>
          </w:p>
        </w:tc>
        <w:tc>
          <w:tcPr>
            <w:tcW w:type="dxa" w:w="208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Compartir el límite entre varios procesos o servidores.</w:t>
            </w:r>
          </w:p>
        </w:tc>
        <w:tc>
          <w:tcPr>
            <w:tcW w:type="dxa" w:w="15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Redis.</w:t>
            </w:r>
          </w:p>
        </w:tc>
        <w:tc>
          <w:tcPr>
            <w:tcW w:type="dxa" w:w="1201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Pendiente (si se escala)</w:t>
            </w:r>
          </w:p>
        </w:tc>
        <w:tc>
          <w:tcPr>
            <w:tcW w:type="dxa" w:w="15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92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core/rate_limit.py</w:t>
            </w:r>
          </w:p>
        </w:tc>
        <w:tc>
          <w:tcPr>
            <w:tcW w:type="dxa" w:w="248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Hoy el límite vive en la memoria del proceso: correcto con un proceso (Docker); con varios, el límite se multiplica.</w:t>
            </w:r>
          </w:p>
        </w:tc>
      </w:tr>
      <w:tr>
        <w:trPr>
          <w:cantSplit/>
        </w:trPr>
        <w:tc>
          <w:tcPr>
            <w:tcW w:type="dxa" w:w="44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I-17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VPN de las agencias</w:t>
            </w:r>
          </w:p>
        </w:tc>
        <w:tc>
          <w:tcPr>
            <w:tcW w:type="dxa" w:w="8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Infraestructura</w:t>
            </w:r>
          </w:p>
        </w:tc>
        <w:tc>
          <w:tcPr>
            <w:tcW w:type="dxa" w:w="208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Acceso de las agencias navieras (y funcionarios) al sistema.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VPN institucional.</w:t>
            </w:r>
          </w:p>
        </w:tc>
        <w:tc>
          <w:tcPr>
            <w:tcW w:type="dxa" w:w="1201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Fuera del código</w:t>
            </w:r>
          </w:p>
        </w:tc>
        <w:tc>
          <w:tcPr>
            <w:tcW w:type="dxa" w:w="15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92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CLAUDE.md (endurecimiento)</w:t>
            </w:r>
          </w:p>
        </w:tc>
        <w:tc>
          <w:tcPr>
            <w:tcW w:type="dxa" w:w="248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Las reglas de seguridad tratan a las agencias como no confiables aunque entren por la VPN. Confirmar con DTI su alcance y quién la administra.</w:t>
            </w:r>
          </w:p>
        </w:tc>
      </w:tr>
    </w:tbl>
    <w:p>
      <w:pPr>
        <w:spacing w:before="0" w:after="0" w:line="20" w:lineRule="exact"/>
      </w:pPr>
    </w:p>
    <w:p>
      <w:pPr>
        <w:sectPr>
          <w:headerReference w:type="default" r:id="rId10"/>
          <w:footerReference w:type="default" r:id="rId11"/>
          <w:pgSz w:w="15840" w:h="12240" w:orient="landscape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3. Configuración necesaria para operar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Para que las integraciones funcionen en producción hay que definir en el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7283E"/>
          <w:sz w:val="18"/>
          <w:szCs w:val="18"/>
        </w:rPr>
        <w:t xml:space="preserve">.env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del servidor (los valores no se documentan aquí):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7283E"/>
          <w:sz w:val="20"/>
          <w:szCs w:val="20"/>
        </w:rPr>
        <w:t xml:space="preserve">Active Directory: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17283E"/>
          <w:sz w:val="18"/>
          <w:szCs w:val="18"/>
        </w:rPr>
        <w:t xml:space="preserve">LDAP_HOST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7283E"/>
          <w:sz w:val="18"/>
          <w:szCs w:val="18"/>
        </w:rPr>
        <w:t xml:space="preserve">LDAP_BASE_DN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7283E"/>
          <w:sz w:val="18"/>
          <w:szCs w:val="18"/>
        </w:rPr>
        <w:t xml:space="preserve">LDAP_BIND_USER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17283E"/>
          <w:sz w:val="18"/>
          <w:szCs w:val="18"/>
        </w:rPr>
        <w:t xml:space="preserve">LDAP_BIND_PASSWORD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; con el certificado, </w:t>
      </w:r>
      <w:r>
        <w:rPr>
          <w:rFonts w:ascii="Consolas" w:cs="Consolas" w:eastAsia="Consolas" w:hAnsi="Consolas"/>
          <w:color w:val="17283E"/>
          <w:sz w:val="18"/>
          <w:szCs w:val="18"/>
        </w:rPr>
        <w:t xml:space="preserve">LDAP_USAR_SSL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o </w:t>
      </w:r>
      <w:r>
        <w:rPr>
          <w:rFonts w:ascii="Consolas" w:cs="Consolas" w:eastAsia="Consolas" w:hAnsi="Consolas"/>
          <w:color w:val="17283E"/>
          <w:sz w:val="18"/>
          <w:szCs w:val="18"/>
        </w:rPr>
        <w:t xml:space="preserve">LDAP_STARTTLS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17283E"/>
          <w:sz w:val="18"/>
          <w:szCs w:val="18"/>
        </w:rPr>
        <w:t xml:space="preserve">LDAP_CA_CERT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7283E"/>
          <w:sz w:val="20"/>
          <w:szCs w:val="20"/>
        </w:rPr>
        <w:t xml:space="preserve">Correo: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17283E"/>
          <w:sz w:val="18"/>
          <w:szCs w:val="18"/>
        </w:rPr>
        <w:t xml:space="preserve">MAIL_HOST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17283E"/>
          <w:sz w:val="18"/>
          <w:szCs w:val="18"/>
        </w:rPr>
        <w:t xml:space="preserve">MAIL_FROM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17283E"/>
          <w:sz w:val="18"/>
          <w:szCs w:val="18"/>
        </w:rPr>
        <w:t xml:space="preserve">CORREO_UCVMM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para que UCVMM reciba los avisos.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7283E"/>
          <w:sz w:val="20"/>
          <w:szCs w:val="20"/>
        </w:rPr>
        <w:t xml:space="preserve">Enlaces y QR: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17283E"/>
          <w:sz w:val="18"/>
          <w:szCs w:val="18"/>
        </w:rPr>
        <w:t xml:space="preserve">APP_URL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con la dirección por la que usuarios y verificadores llegan al sistema.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7283E"/>
          <w:sz w:val="20"/>
          <w:szCs w:val="20"/>
        </w:rPr>
        <w:t xml:space="preserve">Agencias: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17283E"/>
          <w:sz w:val="18"/>
          <w:szCs w:val="18"/>
        </w:rPr>
        <w:t xml:space="preserve">PERMITIR_LOGIN_LOCAL=true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. Sin esto, en producción solo entran las cuentas del AD (el valor por defecto es </w:t>
      </w:r>
      <w:r>
        <w:rPr>
          <w:rFonts w:ascii="Consolas" w:cs="Consolas" w:eastAsia="Consolas" w:hAnsi="Consolas"/>
          <w:color w:val="17283E"/>
          <w:sz w:val="18"/>
          <w:szCs w:val="18"/>
        </w:rPr>
        <w:t xml:space="preserve">false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7283E"/>
          <w:sz w:val="20"/>
          <w:szCs w:val="20"/>
        </w:rPr>
        <w:t xml:space="preserve">Freno del AD: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17283E"/>
          <w:sz w:val="18"/>
          <w:szCs w:val="18"/>
        </w:rPr>
        <w:t xml:space="preserve">LOGIN_AD_MAX_FALLOS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17283E"/>
          <w:sz w:val="18"/>
          <w:szCs w:val="18"/>
        </w:rPr>
        <w:t xml:space="preserve">LOGIN_AD_MINUTOS_ESPERA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según la política de bloqueo del dominio (TI).</w:t>
      </w:r>
    </w:p>
    <w:p>
      <w:pPr>
        <w:spacing w:after="60"/>
      </w:pPr>
    </w:p>
    <w:p>
      <w:pPr>
        <w:pStyle w:val="Heading1"/>
      </w:pPr>
      <w:r>
        <w:t xml:space="preserve">4. Puntos a validar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573"/>
        <w:gridCol w:w="7564"/>
        <w:gridCol w:w="1833"/>
      </w:tblGrid>
      <w:tr>
        <w:trPr>
          <w:cantSplit/>
          <w:tblHeader/>
        </w:trPr>
        <w:tc>
          <w:tcPr>
            <w:tcW w:type="dxa" w:w="57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N.º</w:t>
            </w:r>
          </w:p>
        </w:tc>
        <w:tc>
          <w:tcPr>
            <w:tcW w:type="dxa" w:w="756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Pregunta</w:t>
            </w:r>
          </w:p>
        </w:tc>
        <w:tc>
          <w:tcPr>
            <w:tcW w:type="dxa" w:w="183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 quién</w:t>
            </w:r>
          </w:p>
        </w:tc>
      </w:tr>
      <w:tr>
        <w:trPr>
          <w:cantSplit/>
        </w:trPr>
        <w:tc>
          <w:tcPr>
            <w:tcW w:type="dxa" w:w="5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1</w:t>
            </w:r>
          </w:p>
        </w:tc>
        <w:tc>
          <w:tcPr>
            <w:tcW w:type="dxa" w:w="75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¿Qué buzón de UCVMM recibe los avisos de solicitudes nuevas y corregidas?</w:t>
            </w:r>
          </w:p>
        </w:tc>
        <w:tc>
          <w:tcPr>
            <w:tcW w:type="dxa" w:w="1833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UCVMM</w:t>
            </w:r>
          </w:p>
        </w:tc>
      </w:tr>
      <w:tr>
        <w:trPr>
          <w:cantSplit/>
        </w:trPr>
        <w:tc>
          <w:tcPr>
            <w:tcW w:type="dxa" w:w="57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2</w:t>
            </w:r>
          </w:p>
        </w:tc>
        <w:tc>
          <w:tcPr>
            <w:tcW w:type="dxa" w:w="756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¿Quiénes verifican el QR (autoridad portuaria, capitanía, otros) y desde qué red? Define si la verificación debe publicarse fuera de la VPN.</w:t>
            </w:r>
          </w:p>
        </w:tc>
        <w:tc>
          <w:tcPr>
            <w:tcW w:type="dxa" w:w="1833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UCVMM / DTI</w:t>
            </w:r>
          </w:p>
        </w:tc>
      </w:tr>
      <w:tr>
        <w:trPr>
          <w:cantSplit/>
        </w:trPr>
        <w:tc>
          <w:tcPr>
            <w:tcW w:type="dxa" w:w="5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3</w:t>
            </w:r>
          </w:p>
        </w:tc>
        <w:tc>
          <w:tcPr>
            <w:tcW w:type="dxa" w:w="75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¿Debe quedar registro en ARGO NAVIS del aviso a Operaciones cuando hay impedimento?</w:t>
            </w:r>
          </w:p>
        </w:tc>
        <w:tc>
          <w:tcPr>
            <w:tcW w:type="dxa" w:w="1833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UCVMM</w:t>
            </w:r>
          </w:p>
        </w:tc>
      </w:tr>
      <w:tr>
        <w:trPr>
          <w:cantSplit/>
        </w:trPr>
        <w:tc>
          <w:tcPr>
            <w:tcW w:type="dxa" w:w="57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</w:t>
            </w:r>
          </w:p>
        </w:tc>
        <w:tc>
          <w:tcPr>
            <w:tcW w:type="dxa" w:w="756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¿Existe una interfaz de SIMPLUS para consultar impedimentos desde ARGO NAVIS?</w:t>
            </w:r>
          </w:p>
        </w:tc>
        <w:tc>
          <w:tcPr>
            <w:tcW w:type="dxa" w:w="1833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DTI</w:t>
            </w:r>
          </w:p>
        </w:tc>
      </w:tr>
      <w:tr>
        <w:trPr>
          <w:cantSplit/>
        </w:trPr>
        <w:tc>
          <w:tcPr>
            <w:tcW w:type="dxa" w:w="57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5</w:t>
            </w:r>
          </w:p>
        </w:tc>
        <w:tc>
          <w:tcPr>
            <w:tcW w:type="dxa" w:w="75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¿El servidor de correo del SNM admite TLS (STARTTLS) para los avisos?</w:t>
            </w:r>
          </w:p>
        </w:tc>
        <w:tc>
          <w:tcPr>
            <w:tcW w:type="dxa" w:w="1833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DTI</w:t>
            </w:r>
          </w:p>
        </w:tc>
      </w:tr>
      <w:tr>
        <w:trPr>
          <w:cantSplit/>
        </w:trPr>
        <w:tc>
          <w:tcPr>
            <w:tcW w:type="dxa" w:w="57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6</w:t>
            </w:r>
          </w:p>
        </w:tc>
        <w:tc>
          <w:tcPr>
            <w:tcW w:type="dxa" w:w="756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Fecha estimada de los certificados de HTTPS y del controlador de dominio.</w:t>
            </w:r>
          </w:p>
        </w:tc>
        <w:tc>
          <w:tcPr>
            <w:tcW w:type="dxa" w:w="1833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DTI</w:t>
            </w:r>
          </w:p>
        </w:tc>
      </w:tr>
    </w:tbl>
    <w:p>
      <w:pPr>
        <w:spacing w:before="0" w:after="0" w:line="20" w:lineRule="exact"/>
      </w:pPr>
    </w:p>
    <w:sectPr>
      <w:headerReference w:type="default" r:id="rId12"/>
      <w:footerReference w:type="default" r:id="rId13"/>
      <w:pgSz w:w="12240" w:h="15840" w:orient="portrait"/>
      <w:pgMar w:top="1134" w:right="1134" w:bottom="1134" w:left="1134" w:header="6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07 Inventario de integraciones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07 Inventario de integraciones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07 Inventario de integraciones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07 Inventario de integraciones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83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280" w:after="120"/>
    </w:pPr>
    <w:rPr>
      <w:rFonts w:ascii="Calibri" w:cs="Calibri" w:eastAsia="Calibri" w:hAnsi="Calibri"/>
      <w:b/>
      <w:bCs/>
      <w:color w:val="10233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20" w:after="100"/>
    </w:pPr>
    <w:rPr>
      <w:rFonts w:ascii="Calibri" w:cs="Calibri" w:eastAsia="Calibri" w:hAnsi="Calibri"/>
      <w:b/>
      <w:bCs/>
      <w:color w:val="10233F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rFonts w:ascii="Calibri" w:cs="Calibri" w:eastAsia="Calibri" w:hAnsi="Calibri"/>
      <w:b/>
      <w:bCs/>
      <w:color w:val="17283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ARGO NAVIS · 07 Inventario de integraciones</dc:title>
  <dc:subject>Documentación funcional y técnica (línea base)</dc:subject>
  <dc:creator>ARGO NAVIS — equipo de desarrollo</dc:creator>
  <cp:keywords>ARGO NAVIS, NAVIS, SNM, UCVMM, Autorizaciones Marítimas</cp:keywords>
  <dc:description>Servicios internos y externos con los que ARGO NAVIS se comunica: operativos, simulados, manuales o pendientes</dc:description>
  <cp:lastModifiedBy>Un-named</cp:lastModifiedBy>
  <cp:revision>1</cp:revision>
  <dcterms:created xsi:type="dcterms:W3CDTF">2026-10-20T12:41:50.255Z</dcterms:created>
  <dcterms:modified xsi:type="dcterms:W3CDTF">2026-10-20T12:41:50.255Z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